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8EBDF">
      <w:pPr>
        <w:pStyle w:val="8"/>
        <w:spacing w:line="282" w:lineRule="auto"/>
        <w:rPr>
          <w:color w:val="auto"/>
          <w:highlight w:val="none"/>
        </w:rPr>
      </w:pPr>
    </w:p>
    <w:p w14:paraId="2F7DAA2C">
      <w:pPr>
        <w:keepNext w:val="0"/>
        <w:keepLines w:val="0"/>
        <w:pageBreakBefore w:val="0"/>
        <w:widowControl/>
        <w:tabs>
          <w:tab w:val="left" w:pos="3157"/>
        </w:tabs>
        <w:kinsoku w:val="0"/>
        <w:wordWrap/>
        <w:overflowPunct/>
        <w:topLinePunct w:val="0"/>
        <w:autoSpaceDE w:val="0"/>
        <w:autoSpaceDN w:val="0"/>
        <w:bidi w:val="0"/>
        <w:adjustRightInd w:val="0"/>
        <w:snapToGrid w:val="0"/>
        <w:spacing w:before="104" w:line="360" w:lineRule="auto"/>
        <w:jc w:val="center"/>
        <w:textAlignment w:val="baseline"/>
        <w:rPr>
          <w:rFonts w:ascii="宋体" w:hAnsi="宋体" w:eastAsia="宋体" w:cs="宋体"/>
          <w:color w:val="auto"/>
          <w:sz w:val="32"/>
          <w:szCs w:val="32"/>
          <w:highlight w:val="none"/>
        </w:rPr>
      </w:pPr>
      <w:r>
        <w:rPr>
          <w:rFonts w:hint="eastAsia" w:ascii="宋体" w:hAnsi="宋体" w:eastAsia="宋体" w:cs="Times New Roman"/>
          <w:i/>
          <w:color w:val="auto"/>
          <w:sz w:val="36"/>
          <w:szCs w:val="36"/>
          <w:highlight w:val="none"/>
          <w:u w:val="single"/>
          <w:lang w:eastAsia="zh-CN"/>
        </w:rPr>
        <w:t>绍兴滨海新区土地综合整治项目-2025年耕地功能恢复暨高标准农田建设（国投集团）项目</w:t>
      </w:r>
    </w:p>
    <w:p w14:paraId="708C438C">
      <w:pPr>
        <w:pStyle w:val="8"/>
        <w:spacing w:line="340" w:lineRule="auto"/>
        <w:rPr>
          <w:color w:val="auto"/>
          <w:highlight w:val="none"/>
        </w:rPr>
      </w:pPr>
    </w:p>
    <w:p w14:paraId="0AA5757F">
      <w:pPr>
        <w:pStyle w:val="8"/>
        <w:spacing w:line="340" w:lineRule="auto"/>
        <w:rPr>
          <w:color w:val="auto"/>
          <w:highlight w:val="none"/>
        </w:rPr>
      </w:pPr>
    </w:p>
    <w:p w14:paraId="6114D446">
      <w:pPr>
        <w:spacing w:before="234" w:line="220" w:lineRule="auto"/>
        <w:ind w:left="2240"/>
        <w:outlineLvl w:val="0"/>
        <w:rPr>
          <w:rFonts w:ascii="宋体" w:hAnsi="宋体" w:eastAsia="宋体" w:cs="宋体"/>
          <w:color w:val="auto"/>
          <w:sz w:val="72"/>
          <w:szCs w:val="72"/>
          <w:highlight w:val="none"/>
        </w:rPr>
      </w:pPr>
      <w:bookmarkStart w:id="0" w:name="_Toc31686"/>
      <w:r>
        <w:rPr>
          <w:rFonts w:ascii="宋体" w:hAnsi="宋体" w:eastAsia="宋体" w:cs="宋体"/>
          <w:b/>
          <w:bCs/>
          <w:color w:val="auto"/>
          <w:spacing w:val="-32"/>
          <w:sz w:val="72"/>
          <w:szCs w:val="72"/>
          <w:highlight w:val="none"/>
        </w:rPr>
        <w:t>招</w:t>
      </w:r>
      <w:r>
        <w:rPr>
          <w:rFonts w:ascii="宋体" w:hAnsi="宋体" w:eastAsia="宋体" w:cs="宋体"/>
          <w:color w:val="auto"/>
          <w:spacing w:val="35"/>
          <w:sz w:val="72"/>
          <w:szCs w:val="72"/>
          <w:highlight w:val="none"/>
        </w:rPr>
        <w:t xml:space="preserve"> </w:t>
      </w:r>
      <w:r>
        <w:rPr>
          <w:rFonts w:ascii="宋体" w:hAnsi="宋体" w:eastAsia="宋体" w:cs="宋体"/>
          <w:b/>
          <w:bCs/>
          <w:color w:val="auto"/>
          <w:spacing w:val="-32"/>
          <w:sz w:val="72"/>
          <w:szCs w:val="72"/>
          <w:highlight w:val="none"/>
        </w:rPr>
        <w:t>标</w:t>
      </w:r>
      <w:r>
        <w:rPr>
          <w:rFonts w:ascii="宋体" w:hAnsi="宋体" w:eastAsia="宋体" w:cs="宋体"/>
          <w:color w:val="auto"/>
          <w:spacing w:val="38"/>
          <w:sz w:val="72"/>
          <w:szCs w:val="72"/>
          <w:highlight w:val="none"/>
        </w:rPr>
        <w:t xml:space="preserve"> </w:t>
      </w:r>
      <w:r>
        <w:rPr>
          <w:rFonts w:ascii="宋体" w:hAnsi="宋体" w:eastAsia="宋体" w:cs="宋体"/>
          <w:b/>
          <w:bCs/>
          <w:color w:val="auto"/>
          <w:spacing w:val="-32"/>
          <w:sz w:val="72"/>
          <w:szCs w:val="72"/>
          <w:highlight w:val="none"/>
        </w:rPr>
        <w:t>文</w:t>
      </w:r>
      <w:r>
        <w:rPr>
          <w:rFonts w:ascii="宋体" w:hAnsi="宋体" w:eastAsia="宋体" w:cs="宋体"/>
          <w:color w:val="auto"/>
          <w:spacing w:val="28"/>
          <w:sz w:val="72"/>
          <w:szCs w:val="72"/>
          <w:highlight w:val="none"/>
        </w:rPr>
        <w:t xml:space="preserve"> </w:t>
      </w:r>
      <w:r>
        <w:rPr>
          <w:rFonts w:ascii="宋体" w:hAnsi="宋体" w:eastAsia="宋体" w:cs="宋体"/>
          <w:b/>
          <w:bCs/>
          <w:color w:val="auto"/>
          <w:spacing w:val="-32"/>
          <w:sz w:val="72"/>
          <w:szCs w:val="72"/>
          <w:highlight w:val="none"/>
        </w:rPr>
        <w:t>件</w:t>
      </w:r>
      <w:bookmarkEnd w:id="0"/>
    </w:p>
    <w:p w14:paraId="76EC89DC">
      <w:pPr>
        <w:pStyle w:val="8"/>
        <w:spacing w:line="282" w:lineRule="auto"/>
        <w:rPr>
          <w:color w:val="auto"/>
          <w:highlight w:val="none"/>
        </w:rPr>
      </w:pPr>
    </w:p>
    <w:p w14:paraId="646D17DF">
      <w:pPr>
        <w:pStyle w:val="8"/>
        <w:spacing w:line="283" w:lineRule="auto"/>
        <w:rPr>
          <w:color w:val="auto"/>
          <w:highlight w:val="none"/>
        </w:rPr>
      </w:pPr>
    </w:p>
    <w:p w14:paraId="7E41FDF9">
      <w:pPr>
        <w:spacing w:before="87" w:line="226" w:lineRule="auto"/>
        <w:jc w:val="center"/>
        <w:rPr>
          <w:rFonts w:ascii="宋体" w:hAnsi="宋体" w:eastAsia="宋体" w:cs="宋体"/>
          <w:color w:val="auto"/>
          <w:sz w:val="27"/>
          <w:szCs w:val="27"/>
          <w:highlight w:val="none"/>
        </w:rPr>
      </w:pPr>
      <w:r>
        <w:rPr>
          <w:rFonts w:ascii="宋体" w:hAnsi="宋体" w:eastAsia="宋体" w:cs="宋体"/>
          <w:color w:val="auto"/>
          <w:sz w:val="27"/>
          <w:szCs w:val="27"/>
          <w:highlight w:val="none"/>
        </w:rPr>
        <w:t>（招标编号：A3306021280001622）</w:t>
      </w:r>
    </w:p>
    <w:p w14:paraId="1929949C">
      <w:pPr>
        <w:pStyle w:val="8"/>
        <w:rPr>
          <w:color w:val="auto"/>
          <w:highlight w:val="none"/>
        </w:rPr>
      </w:pPr>
    </w:p>
    <w:p w14:paraId="25C2D439">
      <w:pPr>
        <w:pStyle w:val="8"/>
        <w:rPr>
          <w:color w:val="auto"/>
          <w:highlight w:val="none"/>
        </w:rPr>
      </w:pPr>
    </w:p>
    <w:p w14:paraId="288B1199">
      <w:pPr>
        <w:pStyle w:val="8"/>
        <w:spacing w:line="241" w:lineRule="auto"/>
        <w:rPr>
          <w:color w:val="auto"/>
          <w:highlight w:val="none"/>
        </w:rPr>
      </w:pPr>
    </w:p>
    <w:p w14:paraId="2CF3A1EB">
      <w:pPr>
        <w:pStyle w:val="8"/>
        <w:spacing w:line="241" w:lineRule="auto"/>
        <w:rPr>
          <w:color w:val="auto"/>
          <w:highlight w:val="none"/>
        </w:rPr>
      </w:pPr>
    </w:p>
    <w:p w14:paraId="32CD6E51">
      <w:pPr>
        <w:pStyle w:val="8"/>
        <w:spacing w:line="241" w:lineRule="auto"/>
        <w:rPr>
          <w:color w:val="auto"/>
          <w:highlight w:val="none"/>
        </w:rPr>
      </w:pPr>
    </w:p>
    <w:p w14:paraId="60E50099">
      <w:pPr>
        <w:pStyle w:val="8"/>
        <w:spacing w:line="241" w:lineRule="auto"/>
        <w:rPr>
          <w:color w:val="auto"/>
          <w:highlight w:val="none"/>
        </w:rPr>
      </w:pPr>
    </w:p>
    <w:p w14:paraId="1A2F22BD">
      <w:pPr>
        <w:pStyle w:val="8"/>
        <w:spacing w:line="241" w:lineRule="auto"/>
        <w:rPr>
          <w:color w:val="auto"/>
          <w:highlight w:val="none"/>
        </w:rPr>
      </w:pPr>
    </w:p>
    <w:p w14:paraId="4DFB5B2A">
      <w:pPr>
        <w:pStyle w:val="8"/>
        <w:spacing w:line="241" w:lineRule="auto"/>
        <w:rPr>
          <w:color w:val="auto"/>
          <w:highlight w:val="none"/>
        </w:rPr>
      </w:pPr>
    </w:p>
    <w:p w14:paraId="4DF4AEB9">
      <w:pPr>
        <w:pStyle w:val="8"/>
        <w:spacing w:line="241" w:lineRule="auto"/>
        <w:rPr>
          <w:color w:val="auto"/>
          <w:highlight w:val="none"/>
        </w:rPr>
      </w:pPr>
    </w:p>
    <w:p w14:paraId="67CC1D9C">
      <w:pPr>
        <w:pStyle w:val="8"/>
        <w:spacing w:line="241" w:lineRule="auto"/>
        <w:rPr>
          <w:color w:val="auto"/>
          <w:highlight w:val="none"/>
        </w:rPr>
      </w:pPr>
    </w:p>
    <w:p w14:paraId="662F5879">
      <w:pPr>
        <w:pStyle w:val="8"/>
        <w:spacing w:line="241" w:lineRule="auto"/>
        <w:rPr>
          <w:color w:val="auto"/>
          <w:highlight w:val="none"/>
        </w:rPr>
      </w:pPr>
    </w:p>
    <w:p w14:paraId="73484B07">
      <w:pPr>
        <w:pStyle w:val="8"/>
        <w:spacing w:line="241" w:lineRule="auto"/>
        <w:rPr>
          <w:color w:val="auto"/>
          <w:highlight w:val="none"/>
        </w:rPr>
      </w:pPr>
    </w:p>
    <w:p w14:paraId="4D6E17ED">
      <w:pPr>
        <w:pStyle w:val="8"/>
        <w:spacing w:line="241" w:lineRule="auto"/>
        <w:rPr>
          <w:color w:val="auto"/>
          <w:highlight w:val="none"/>
        </w:rPr>
      </w:pPr>
    </w:p>
    <w:p w14:paraId="5B165D15">
      <w:pPr>
        <w:pStyle w:val="8"/>
        <w:spacing w:line="241" w:lineRule="auto"/>
        <w:rPr>
          <w:color w:val="auto"/>
          <w:highlight w:val="none"/>
        </w:rPr>
      </w:pPr>
    </w:p>
    <w:p w14:paraId="6796FBA2">
      <w:pPr>
        <w:pStyle w:val="8"/>
        <w:spacing w:line="241" w:lineRule="auto"/>
        <w:rPr>
          <w:color w:val="auto"/>
          <w:highlight w:val="none"/>
        </w:rPr>
      </w:pPr>
    </w:p>
    <w:p w14:paraId="268248AE">
      <w:pPr>
        <w:pStyle w:val="8"/>
        <w:spacing w:line="241" w:lineRule="auto"/>
        <w:rPr>
          <w:color w:val="auto"/>
          <w:highlight w:val="none"/>
        </w:rPr>
      </w:pPr>
    </w:p>
    <w:p w14:paraId="516A7192">
      <w:pPr>
        <w:pStyle w:val="8"/>
        <w:spacing w:line="241" w:lineRule="auto"/>
        <w:rPr>
          <w:color w:val="auto"/>
          <w:highlight w:val="none"/>
        </w:rPr>
      </w:pPr>
    </w:p>
    <w:p w14:paraId="454DB3F9">
      <w:pPr>
        <w:pStyle w:val="8"/>
        <w:spacing w:line="241" w:lineRule="auto"/>
        <w:rPr>
          <w:color w:val="auto"/>
          <w:highlight w:val="none"/>
        </w:rPr>
      </w:pPr>
    </w:p>
    <w:p w14:paraId="209CE32F">
      <w:pPr>
        <w:pStyle w:val="8"/>
        <w:spacing w:line="241" w:lineRule="auto"/>
        <w:rPr>
          <w:color w:val="auto"/>
          <w:highlight w:val="none"/>
        </w:rPr>
      </w:pPr>
    </w:p>
    <w:p w14:paraId="54AA701F">
      <w:pPr>
        <w:pStyle w:val="8"/>
        <w:spacing w:line="241" w:lineRule="auto"/>
        <w:rPr>
          <w:color w:val="auto"/>
          <w:highlight w:val="none"/>
        </w:rPr>
      </w:pPr>
    </w:p>
    <w:p w14:paraId="10B41951">
      <w:pPr>
        <w:pStyle w:val="8"/>
        <w:spacing w:line="241" w:lineRule="auto"/>
        <w:rPr>
          <w:color w:val="auto"/>
          <w:highlight w:val="none"/>
        </w:rPr>
      </w:pPr>
    </w:p>
    <w:p w14:paraId="214DB928">
      <w:pPr>
        <w:spacing w:before="154" w:line="182" w:lineRule="auto"/>
        <w:ind w:left="526"/>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
          <w:sz w:val="36"/>
          <w:szCs w:val="36"/>
          <w:highlight w:val="none"/>
        </w:rPr>
        <w:t>招   标</w:t>
      </w:r>
      <w:r>
        <w:rPr>
          <w:rFonts w:ascii="微软雅黑" w:hAnsi="微软雅黑" w:eastAsia="微软雅黑" w:cs="微软雅黑"/>
          <w:color w:val="auto"/>
          <w:spacing w:val="3"/>
          <w:sz w:val="36"/>
          <w:szCs w:val="36"/>
          <w:highlight w:val="none"/>
        </w:rPr>
        <w:t xml:space="preserve">  </w:t>
      </w:r>
      <w:r>
        <w:rPr>
          <w:rFonts w:ascii="微软雅黑" w:hAnsi="微软雅黑" w:eastAsia="微软雅黑" w:cs="微软雅黑"/>
          <w:color w:val="auto"/>
          <w:spacing w:val="-1"/>
          <w:sz w:val="36"/>
          <w:szCs w:val="36"/>
          <w:highlight w:val="none"/>
        </w:rPr>
        <w:t>人：</w:t>
      </w:r>
      <w:r>
        <w:rPr>
          <w:rFonts w:ascii="微软雅黑" w:hAnsi="微软雅黑" w:eastAsia="微软雅黑" w:cs="微软雅黑"/>
          <w:color w:val="auto"/>
          <w:sz w:val="36"/>
          <w:szCs w:val="36"/>
          <w:highlight w:val="none"/>
          <w:u w:val="single" w:color="auto"/>
        </w:rPr>
        <w:t xml:space="preserve">  </w:t>
      </w:r>
      <w:r>
        <w:rPr>
          <w:rFonts w:hint="eastAsia" w:ascii="微软雅黑" w:hAnsi="微软雅黑" w:eastAsia="微软雅黑" w:cs="微软雅黑"/>
          <w:color w:val="auto"/>
          <w:sz w:val="36"/>
          <w:szCs w:val="36"/>
          <w:highlight w:val="none"/>
          <w:u w:val="single" w:color="auto"/>
          <w:lang w:eastAsia="zh-CN"/>
        </w:rPr>
        <w:t>绍兴滨海新区滨投农业开发有限公司</w:t>
      </w:r>
      <w:r>
        <w:rPr>
          <w:rFonts w:ascii="微软雅黑" w:hAnsi="微软雅黑" w:eastAsia="微软雅黑" w:cs="微软雅黑"/>
          <w:color w:val="auto"/>
          <w:sz w:val="36"/>
          <w:szCs w:val="36"/>
          <w:highlight w:val="none"/>
          <w:u w:val="single" w:color="auto"/>
        </w:rPr>
        <w:t xml:space="preserve">  </w:t>
      </w:r>
    </w:p>
    <w:p w14:paraId="1D842E1C">
      <w:pPr>
        <w:pStyle w:val="8"/>
        <w:spacing w:line="301" w:lineRule="auto"/>
        <w:rPr>
          <w:color w:val="auto"/>
          <w:highlight w:val="none"/>
        </w:rPr>
      </w:pPr>
    </w:p>
    <w:p w14:paraId="5FD23B15">
      <w:pPr>
        <w:spacing w:before="155" w:line="182" w:lineRule="auto"/>
        <w:ind w:left="526"/>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
          <w:sz w:val="36"/>
          <w:szCs w:val="36"/>
          <w:highlight w:val="none"/>
        </w:rPr>
        <w:t>招标代理机构：</w:t>
      </w:r>
      <w:r>
        <w:rPr>
          <w:rFonts w:ascii="微软雅黑" w:hAnsi="微软雅黑" w:eastAsia="微软雅黑" w:cs="微软雅黑"/>
          <w:color w:val="auto"/>
          <w:spacing w:val="-1"/>
          <w:sz w:val="36"/>
          <w:szCs w:val="36"/>
          <w:highlight w:val="none"/>
          <w:u w:val="single" w:color="auto"/>
        </w:rPr>
        <w:t xml:space="preserve"> </w:t>
      </w:r>
      <w:r>
        <w:rPr>
          <w:rFonts w:hint="eastAsia" w:ascii="微软雅黑" w:hAnsi="微软雅黑" w:eastAsia="微软雅黑" w:cs="微软雅黑"/>
          <w:color w:val="auto"/>
          <w:sz w:val="36"/>
          <w:szCs w:val="36"/>
          <w:highlight w:val="none"/>
          <w:u w:val="single" w:color="auto"/>
        </w:rPr>
        <w:t xml:space="preserve"> </w:t>
      </w:r>
      <w:r>
        <w:rPr>
          <w:rFonts w:hint="eastAsia" w:ascii="微软雅黑" w:hAnsi="微软雅黑" w:eastAsia="微软雅黑" w:cs="微软雅黑"/>
          <w:color w:val="auto"/>
          <w:sz w:val="36"/>
          <w:szCs w:val="36"/>
          <w:highlight w:val="none"/>
          <w:u w:val="single" w:color="auto"/>
          <w:lang w:val="en-US" w:eastAsia="zh-CN"/>
        </w:rPr>
        <w:t>泰宇建筑工程技术咨询有限公司</w:t>
      </w:r>
      <w:r>
        <w:rPr>
          <w:rFonts w:hint="eastAsia" w:ascii="微软雅黑" w:hAnsi="微软雅黑" w:eastAsia="微软雅黑" w:cs="微软雅黑"/>
          <w:color w:val="auto"/>
          <w:sz w:val="36"/>
          <w:szCs w:val="36"/>
          <w:highlight w:val="none"/>
          <w:u w:val="single" w:color="auto"/>
        </w:rPr>
        <w:t xml:space="preserve">  </w:t>
      </w:r>
    </w:p>
    <w:p w14:paraId="79252A94">
      <w:pPr>
        <w:pStyle w:val="8"/>
        <w:spacing w:line="305" w:lineRule="auto"/>
        <w:rPr>
          <w:color w:val="auto"/>
          <w:highlight w:val="none"/>
        </w:rPr>
      </w:pPr>
    </w:p>
    <w:p w14:paraId="56F72504">
      <w:pPr>
        <w:pStyle w:val="8"/>
        <w:spacing w:line="305" w:lineRule="auto"/>
        <w:rPr>
          <w:color w:val="auto"/>
          <w:highlight w:val="none"/>
        </w:rPr>
      </w:pPr>
    </w:p>
    <w:p w14:paraId="7A933C4D">
      <w:pPr>
        <w:pStyle w:val="8"/>
        <w:spacing w:line="306" w:lineRule="auto"/>
        <w:rPr>
          <w:color w:val="auto"/>
          <w:highlight w:val="none"/>
        </w:rPr>
      </w:pPr>
    </w:p>
    <w:p w14:paraId="26323234">
      <w:pPr>
        <w:tabs>
          <w:tab w:val="left" w:pos="3970"/>
        </w:tabs>
        <w:spacing w:before="130" w:line="183" w:lineRule="auto"/>
        <w:ind w:left="2770"/>
        <w:rPr>
          <w:rFonts w:ascii="微软雅黑" w:hAnsi="微软雅黑" w:eastAsia="微软雅黑" w:cs="微软雅黑"/>
          <w:color w:val="auto"/>
          <w:sz w:val="30"/>
          <w:szCs w:val="30"/>
          <w:highlight w:val="none"/>
        </w:rPr>
      </w:pPr>
      <w:r>
        <w:rPr>
          <w:rFonts w:hint="eastAsia" w:ascii="微软雅黑" w:hAnsi="微软雅黑" w:eastAsia="微软雅黑" w:cs="微软雅黑"/>
          <w:color w:val="auto"/>
          <w:sz w:val="30"/>
          <w:szCs w:val="30"/>
          <w:highlight w:val="none"/>
          <w:u w:val="single" w:color="auto"/>
          <w:lang w:val="en-US" w:eastAsia="zh-CN"/>
        </w:rPr>
        <w:t>2025</w:t>
      </w:r>
      <w:r>
        <w:rPr>
          <w:rFonts w:ascii="微软雅黑" w:hAnsi="微软雅黑" w:eastAsia="微软雅黑" w:cs="微软雅黑"/>
          <w:color w:val="auto"/>
          <w:spacing w:val="-83"/>
          <w:sz w:val="30"/>
          <w:szCs w:val="30"/>
          <w:highlight w:val="none"/>
        </w:rPr>
        <w:t xml:space="preserve"> </w:t>
      </w:r>
      <w:r>
        <w:rPr>
          <w:rFonts w:ascii="微软雅黑" w:hAnsi="微软雅黑" w:eastAsia="微软雅黑" w:cs="微软雅黑"/>
          <w:color w:val="auto"/>
          <w:spacing w:val="-3"/>
          <w:sz w:val="30"/>
          <w:szCs w:val="30"/>
          <w:highlight w:val="none"/>
        </w:rPr>
        <w:t>年</w:t>
      </w:r>
      <w:r>
        <w:rPr>
          <w:rFonts w:ascii="微软雅黑" w:hAnsi="微软雅黑" w:eastAsia="微软雅黑" w:cs="微软雅黑"/>
          <w:color w:val="auto"/>
          <w:spacing w:val="6"/>
          <w:sz w:val="30"/>
          <w:szCs w:val="30"/>
          <w:highlight w:val="none"/>
          <w:u w:val="single" w:color="auto"/>
        </w:rPr>
        <w:t xml:space="preserve"> </w:t>
      </w:r>
      <w:r>
        <w:rPr>
          <w:rFonts w:hint="eastAsia" w:ascii="微软雅黑" w:hAnsi="微软雅黑" w:eastAsia="微软雅黑" w:cs="微软雅黑"/>
          <w:color w:val="auto"/>
          <w:spacing w:val="6"/>
          <w:sz w:val="30"/>
          <w:szCs w:val="30"/>
          <w:highlight w:val="none"/>
          <w:u w:val="single" w:color="auto"/>
          <w:lang w:val="en-US" w:eastAsia="zh-CN"/>
        </w:rPr>
        <w:t xml:space="preserve"> 8 </w:t>
      </w:r>
      <w:r>
        <w:rPr>
          <w:rFonts w:ascii="微软雅黑" w:hAnsi="微软雅黑" w:eastAsia="微软雅黑" w:cs="微软雅黑"/>
          <w:color w:val="auto"/>
          <w:spacing w:val="6"/>
          <w:sz w:val="30"/>
          <w:szCs w:val="30"/>
          <w:highlight w:val="none"/>
          <w:u w:val="single" w:color="auto"/>
        </w:rPr>
        <w:t xml:space="preserve"> </w:t>
      </w:r>
      <w:r>
        <w:rPr>
          <w:rFonts w:ascii="微软雅黑" w:hAnsi="微软雅黑" w:eastAsia="微软雅黑" w:cs="微软雅黑"/>
          <w:color w:val="auto"/>
          <w:spacing w:val="-71"/>
          <w:sz w:val="30"/>
          <w:szCs w:val="30"/>
          <w:highlight w:val="none"/>
        </w:rPr>
        <w:t xml:space="preserve"> </w:t>
      </w:r>
      <w:r>
        <w:rPr>
          <w:rFonts w:ascii="微软雅黑" w:hAnsi="微软雅黑" w:eastAsia="微软雅黑" w:cs="微软雅黑"/>
          <w:color w:val="auto"/>
          <w:spacing w:val="-3"/>
          <w:sz w:val="30"/>
          <w:szCs w:val="30"/>
          <w:highlight w:val="none"/>
        </w:rPr>
        <w:t>月</w:t>
      </w:r>
    </w:p>
    <w:p w14:paraId="4104C656">
      <w:pPr>
        <w:spacing w:line="183" w:lineRule="auto"/>
        <w:rPr>
          <w:rFonts w:ascii="微软雅黑" w:hAnsi="微软雅黑" w:eastAsia="微软雅黑" w:cs="微软雅黑"/>
          <w:color w:val="auto"/>
          <w:sz w:val="30"/>
          <w:szCs w:val="30"/>
          <w:highlight w:val="none"/>
        </w:rPr>
        <w:sectPr>
          <w:footerReference r:id="rId5" w:type="default"/>
          <w:pgSz w:w="11905" w:h="16840"/>
          <w:pgMar w:top="1431" w:right="1529" w:bottom="1252" w:left="1785" w:header="0" w:footer="1093" w:gutter="0"/>
          <w:cols w:space="720" w:num="1"/>
        </w:sectPr>
      </w:pPr>
    </w:p>
    <w:p w14:paraId="01D4FE3F">
      <w:pPr>
        <w:spacing w:before="59" w:line="222" w:lineRule="auto"/>
        <w:ind w:left="3698"/>
        <w:rPr>
          <w:rFonts w:ascii="宋体" w:hAnsi="宋体" w:eastAsia="宋体" w:cs="宋体"/>
          <w:color w:val="auto"/>
          <w:sz w:val="30"/>
          <w:szCs w:val="30"/>
          <w:highlight w:val="none"/>
        </w:rPr>
      </w:pPr>
      <w:r>
        <w:rPr>
          <w:rFonts w:ascii="宋体" w:hAnsi="宋体" w:eastAsia="宋体" w:cs="宋体"/>
          <w:b/>
          <w:bCs/>
          <w:color w:val="auto"/>
          <w:spacing w:val="-38"/>
          <w:sz w:val="30"/>
          <w:szCs w:val="30"/>
          <w:highlight w:val="none"/>
        </w:rPr>
        <w:t>目</w:t>
      </w:r>
      <w:r>
        <w:rPr>
          <w:rFonts w:ascii="宋体" w:hAnsi="宋体" w:eastAsia="宋体" w:cs="宋体"/>
          <w:color w:val="auto"/>
          <w:spacing w:val="2"/>
          <w:sz w:val="30"/>
          <w:szCs w:val="30"/>
          <w:highlight w:val="none"/>
        </w:rPr>
        <w:t xml:space="preserve">      </w:t>
      </w:r>
      <w:r>
        <w:rPr>
          <w:rFonts w:ascii="宋体" w:hAnsi="宋体" w:eastAsia="宋体" w:cs="宋体"/>
          <w:b/>
          <w:bCs/>
          <w:color w:val="auto"/>
          <w:spacing w:val="-38"/>
          <w:sz w:val="30"/>
          <w:szCs w:val="30"/>
          <w:highlight w:val="none"/>
        </w:rPr>
        <w:t>录</w:t>
      </w:r>
    </w:p>
    <w:p w14:paraId="70E1EB07">
      <w:pPr>
        <w:pStyle w:val="8"/>
        <w:spacing w:line="249" w:lineRule="auto"/>
        <w:rPr>
          <w:color w:val="auto"/>
          <w:highlight w:val="none"/>
        </w:rPr>
      </w:pPr>
    </w:p>
    <w:p w14:paraId="04228658">
      <w:pPr>
        <w:pStyle w:val="8"/>
        <w:spacing w:line="249" w:lineRule="auto"/>
        <w:rPr>
          <w:color w:val="auto"/>
          <w:highlight w:val="none"/>
        </w:rPr>
      </w:pPr>
    </w:p>
    <w:sdt>
      <w:sdtPr>
        <w:rPr>
          <w:rFonts w:ascii="宋体" w:hAnsi="宋体" w:eastAsia="宋体" w:cs="Arial"/>
          <w:snapToGrid w:val="0"/>
          <w:color w:val="auto"/>
          <w:kern w:val="0"/>
          <w:sz w:val="21"/>
          <w:szCs w:val="21"/>
          <w:highlight w:val="none"/>
          <w:lang w:val="en-US" w:eastAsia="en-US" w:bidi="ar-SA"/>
        </w:rPr>
        <w:id w:val="147458264"/>
        <w15:color w:val="DBDBDB"/>
        <w:docPartObj>
          <w:docPartGallery w:val="Table of Contents"/>
          <w:docPartUnique/>
        </w:docPartObj>
      </w:sdtPr>
      <w:sdtEndPr>
        <w:rPr>
          <w:rFonts w:ascii="宋体" w:hAnsi="宋体" w:eastAsia="宋体" w:cs="Arial"/>
          <w:snapToGrid w:val="0"/>
          <w:color w:val="auto"/>
          <w:kern w:val="0"/>
          <w:sz w:val="21"/>
          <w:szCs w:val="21"/>
          <w:highlight w:val="none"/>
          <w:lang w:val="en-US" w:eastAsia="en-US" w:bidi="ar-SA"/>
        </w:rPr>
      </w:sdtEndPr>
      <w:sdtContent>
        <w:p w14:paraId="78865AA8">
          <w:pPr>
            <w:spacing w:before="0" w:beforeLines="0" w:after="0" w:afterLines="0" w:line="240" w:lineRule="auto"/>
            <w:ind w:left="0" w:leftChars="0" w:right="0" w:rightChars="0" w:firstLine="0" w:firstLineChars="0"/>
            <w:jc w:val="center"/>
            <w:rPr>
              <w:color w:val="auto"/>
              <w:highlight w:val="none"/>
            </w:rPr>
          </w:pPr>
        </w:p>
        <w:p w14:paraId="407C9923">
          <w:pPr>
            <w:pStyle w:val="21"/>
            <w:tabs>
              <w:tab w:val="right" w:leader="dot" w:pos="8591"/>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_Toc31686 </w:instrText>
          </w:r>
          <w:r>
            <w:rPr>
              <w:color w:val="auto"/>
              <w:highlight w:val="none"/>
            </w:rPr>
            <w:fldChar w:fldCharType="separate"/>
          </w:r>
          <w:r>
            <w:rPr>
              <w:color w:val="auto"/>
              <w:highlight w:val="none"/>
            </w:rPr>
            <w:fldChar w:fldCharType="end"/>
          </w:r>
        </w:p>
        <w:p w14:paraId="2C4AAFC8">
          <w:pPr>
            <w:pStyle w:val="21"/>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_Toc8432 </w:instrText>
          </w:r>
          <w:r>
            <w:rPr>
              <w:color w:val="auto"/>
              <w:sz w:val="21"/>
              <w:szCs w:val="21"/>
              <w:highlight w:val="none"/>
            </w:rPr>
            <w:fldChar w:fldCharType="separate"/>
          </w:r>
          <w:r>
            <w:rPr>
              <w:rFonts w:ascii="黑体" w:hAnsi="黑体" w:eastAsia="黑体" w:cs="黑体"/>
              <w:bCs/>
              <w:color w:val="auto"/>
              <w:spacing w:val="-21"/>
              <w:sz w:val="21"/>
              <w:szCs w:val="52"/>
              <w:highlight w:val="none"/>
            </w:rPr>
            <w:t>第</w:t>
          </w:r>
          <w:r>
            <w:rPr>
              <w:rFonts w:ascii="黑体" w:hAnsi="黑体" w:eastAsia="黑体" w:cs="黑体"/>
              <w:color w:val="auto"/>
              <w:spacing w:val="31"/>
              <w:sz w:val="21"/>
              <w:szCs w:val="52"/>
              <w:highlight w:val="none"/>
            </w:rPr>
            <w:t xml:space="preserve"> </w:t>
          </w:r>
          <w:r>
            <w:rPr>
              <w:rFonts w:ascii="黑体" w:hAnsi="黑体" w:eastAsia="黑体" w:cs="黑体"/>
              <w:bCs/>
              <w:color w:val="auto"/>
              <w:spacing w:val="-21"/>
              <w:sz w:val="21"/>
              <w:szCs w:val="52"/>
              <w:highlight w:val="none"/>
            </w:rPr>
            <w:t>一</w:t>
          </w:r>
          <w:r>
            <w:rPr>
              <w:rFonts w:ascii="黑体" w:hAnsi="黑体" w:eastAsia="黑体" w:cs="黑体"/>
              <w:color w:val="auto"/>
              <w:spacing w:val="29"/>
              <w:sz w:val="21"/>
              <w:szCs w:val="52"/>
              <w:highlight w:val="none"/>
            </w:rPr>
            <w:t xml:space="preserve"> </w:t>
          </w:r>
          <w:r>
            <w:rPr>
              <w:rFonts w:ascii="黑体" w:hAnsi="黑体" w:eastAsia="黑体" w:cs="黑体"/>
              <w:bCs/>
              <w:color w:val="auto"/>
              <w:spacing w:val="-21"/>
              <w:sz w:val="21"/>
              <w:szCs w:val="52"/>
              <w:highlight w:val="none"/>
            </w:rPr>
            <w:t>卷</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_Toc8432 \h </w:instrText>
          </w:r>
          <w:r>
            <w:rPr>
              <w:color w:val="auto"/>
              <w:sz w:val="21"/>
              <w:szCs w:val="21"/>
              <w:highlight w:val="none"/>
            </w:rPr>
            <w:fldChar w:fldCharType="separate"/>
          </w:r>
          <w:r>
            <w:rPr>
              <w:color w:val="auto"/>
              <w:sz w:val="21"/>
              <w:szCs w:val="21"/>
              <w:highlight w:val="none"/>
            </w:rPr>
            <w:t>1</w:t>
          </w:r>
          <w:r>
            <w:rPr>
              <w:color w:val="auto"/>
              <w:sz w:val="21"/>
              <w:szCs w:val="21"/>
              <w:highlight w:val="none"/>
            </w:rPr>
            <w:fldChar w:fldCharType="end"/>
          </w:r>
          <w:r>
            <w:rPr>
              <w:color w:val="auto"/>
              <w:sz w:val="21"/>
              <w:szCs w:val="21"/>
              <w:highlight w:val="none"/>
            </w:rPr>
            <w:fldChar w:fldCharType="end"/>
          </w:r>
        </w:p>
        <w:p w14:paraId="1BDFD52C">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_Toc467 </w:instrText>
          </w:r>
          <w:r>
            <w:rPr>
              <w:color w:val="auto"/>
              <w:sz w:val="21"/>
              <w:szCs w:val="21"/>
              <w:highlight w:val="none"/>
            </w:rPr>
            <w:fldChar w:fldCharType="separate"/>
          </w:r>
          <w:r>
            <w:rPr>
              <w:rFonts w:ascii="宋体" w:hAnsi="宋体" w:eastAsia="宋体" w:cs="宋体"/>
              <w:bCs/>
              <w:color w:val="auto"/>
              <w:spacing w:val="-5"/>
              <w:sz w:val="21"/>
              <w:szCs w:val="40"/>
              <w:highlight w:val="none"/>
            </w:rPr>
            <w:t>第一章</w:t>
          </w:r>
          <w:r>
            <w:rPr>
              <w:rFonts w:ascii="宋体" w:hAnsi="宋体" w:eastAsia="宋体" w:cs="宋体"/>
              <w:color w:val="auto"/>
              <w:spacing w:val="-5"/>
              <w:sz w:val="21"/>
              <w:szCs w:val="40"/>
              <w:highlight w:val="none"/>
            </w:rPr>
            <w:t xml:space="preserve">  </w:t>
          </w:r>
          <w:r>
            <w:rPr>
              <w:rFonts w:ascii="宋体" w:hAnsi="宋体" w:eastAsia="宋体" w:cs="宋体"/>
              <w:bCs/>
              <w:color w:val="auto"/>
              <w:spacing w:val="-5"/>
              <w:sz w:val="21"/>
              <w:szCs w:val="40"/>
              <w:highlight w:val="none"/>
            </w:rPr>
            <w:t>招标公告（适用于资格后审招标）</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_Toc467 \h </w:instrText>
          </w:r>
          <w:r>
            <w:rPr>
              <w:color w:val="auto"/>
              <w:sz w:val="21"/>
              <w:szCs w:val="21"/>
              <w:highlight w:val="none"/>
            </w:rPr>
            <w:fldChar w:fldCharType="separate"/>
          </w:r>
          <w:r>
            <w:rPr>
              <w:color w:val="auto"/>
              <w:sz w:val="21"/>
              <w:szCs w:val="21"/>
              <w:highlight w:val="none"/>
            </w:rPr>
            <w:t>2</w:t>
          </w:r>
          <w:r>
            <w:rPr>
              <w:color w:val="auto"/>
              <w:sz w:val="21"/>
              <w:szCs w:val="21"/>
              <w:highlight w:val="none"/>
            </w:rPr>
            <w:fldChar w:fldCharType="end"/>
          </w:r>
          <w:r>
            <w:rPr>
              <w:color w:val="auto"/>
              <w:sz w:val="21"/>
              <w:szCs w:val="21"/>
              <w:highlight w:val="none"/>
            </w:rPr>
            <w:fldChar w:fldCharType="end"/>
          </w:r>
        </w:p>
        <w:p w14:paraId="07AB80FC">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_Toc20153 </w:instrText>
          </w:r>
          <w:r>
            <w:rPr>
              <w:color w:val="auto"/>
              <w:sz w:val="21"/>
              <w:szCs w:val="21"/>
              <w:highlight w:val="none"/>
            </w:rPr>
            <w:fldChar w:fldCharType="separate"/>
          </w:r>
          <w:r>
            <w:rPr>
              <w:rFonts w:ascii="Times New Roman" w:hAnsi="Times New Roman" w:eastAsia="Times New Roman" w:cs="Times New Roman"/>
              <w:bCs/>
              <w:color w:val="auto"/>
              <w:sz w:val="21"/>
              <w:szCs w:val="28"/>
              <w:highlight w:val="none"/>
            </w:rPr>
            <w:t>1</w:t>
          </w:r>
          <w:r>
            <w:rPr>
              <w:rFonts w:ascii="Times New Roman" w:hAnsi="Times New Roman" w:eastAsia="Times New Roman" w:cs="Times New Roman"/>
              <w:bCs/>
              <w:color w:val="auto"/>
              <w:spacing w:val="11"/>
              <w:sz w:val="21"/>
              <w:szCs w:val="28"/>
              <w:highlight w:val="none"/>
            </w:rPr>
            <w:t xml:space="preserve">  </w:t>
          </w:r>
          <w:r>
            <w:rPr>
              <w:rFonts w:ascii="宋体" w:hAnsi="宋体" w:eastAsia="宋体" w:cs="宋体"/>
              <w:bCs/>
              <w:color w:val="auto"/>
              <w:sz w:val="21"/>
              <w:szCs w:val="28"/>
              <w:highlight w:val="none"/>
            </w:rPr>
            <w:t>招标条件</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_Toc20153 \h </w:instrText>
          </w:r>
          <w:r>
            <w:rPr>
              <w:color w:val="auto"/>
              <w:sz w:val="21"/>
              <w:szCs w:val="21"/>
              <w:highlight w:val="none"/>
            </w:rPr>
            <w:fldChar w:fldCharType="separate"/>
          </w:r>
          <w:r>
            <w:rPr>
              <w:color w:val="auto"/>
              <w:sz w:val="21"/>
              <w:szCs w:val="21"/>
              <w:highlight w:val="none"/>
            </w:rPr>
            <w:t>2</w:t>
          </w:r>
          <w:r>
            <w:rPr>
              <w:color w:val="auto"/>
              <w:sz w:val="21"/>
              <w:szCs w:val="21"/>
              <w:highlight w:val="none"/>
            </w:rPr>
            <w:fldChar w:fldCharType="end"/>
          </w:r>
          <w:r>
            <w:rPr>
              <w:color w:val="auto"/>
              <w:sz w:val="21"/>
              <w:szCs w:val="21"/>
              <w:highlight w:val="none"/>
            </w:rPr>
            <w:fldChar w:fldCharType="end"/>
          </w:r>
        </w:p>
        <w:p w14:paraId="673C8AFF">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_Toc14153 </w:instrText>
          </w:r>
          <w:r>
            <w:rPr>
              <w:color w:val="auto"/>
              <w:sz w:val="21"/>
              <w:szCs w:val="21"/>
              <w:highlight w:val="none"/>
            </w:rPr>
            <w:fldChar w:fldCharType="separate"/>
          </w:r>
          <w:r>
            <w:rPr>
              <w:rFonts w:ascii="Times New Roman" w:hAnsi="Times New Roman" w:eastAsia="Times New Roman" w:cs="Times New Roman"/>
              <w:bCs/>
              <w:color w:val="auto"/>
              <w:spacing w:val="6"/>
              <w:sz w:val="21"/>
              <w:szCs w:val="28"/>
              <w:highlight w:val="none"/>
            </w:rPr>
            <w:t xml:space="preserve">2  </w:t>
          </w:r>
          <w:r>
            <w:rPr>
              <w:rFonts w:ascii="宋体" w:hAnsi="宋体" w:eastAsia="宋体" w:cs="宋体"/>
              <w:bCs/>
              <w:color w:val="auto"/>
              <w:spacing w:val="6"/>
              <w:sz w:val="21"/>
              <w:szCs w:val="28"/>
              <w:highlight w:val="none"/>
            </w:rPr>
            <w:t>项目概况与招标范围</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_Toc14153 \h </w:instrText>
          </w:r>
          <w:r>
            <w:rPr>
              <w:color w:val="auto"/>
              <w:sz w:val="21"/>
              <w:szCs w:val="21"/>
              <w:highlight w:val="none"/>
            </w:rPr>
            <w:fldChar w:fldCharType="separate"/>
          </w:r>
          <w:r>
            <w:rPr>
              <w:color w:val="auto"/>
              <w:sz w:val="21"/>
              <w:szCs w:val="21"/>
              <w:highlight w:val="none"/>
            </w:rPr>
            <w:t>2</w:t>
          </w:r>
          <w:r>
            <w:rPr>
              <w:color w:val="auto"/>
              <w:sz w:val="21"/>
              <w:szCs w:val="21"/>
              <w:highlight w:val="none"/>
            </w:rPr>
            <w:fldChar w:fldCharType="end"/>
          </w:r>
          <w:r>
            <w:rPr>
              <w:color w:val="auto"/>
              <w:sz w:val="21"/>
              <w:szCs w:val="21"/>
              <w:highlight w:val="none"/>
            </w:rPr>
            <w:fldChar w:fldCharType="end"/>
          </w:r>
        </w:p>
        <w:p w14:paraId="458538BE">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_Toc30205 </w:instrText>
          </w:r>
          <w:r>
            <w:rPr>
              <w:color w:val="auto"/>
              <w:sz w:val="21"/>
              <w:szCs w:val="21"/>
              <w:highlight w:val="none"/>
            </w:rPr>
            <w:fldChar w:fldCharType="separate"/>
          </w:r>
          <w:r>
            <w:rPr>
              <w:rFonts w:ascii="Times New Roman" w:hAnsi="Times New Roman" w:eastAsia="Times New Roman" w:cs="Times New Roman"/>
              <w:bCs/>
              <w:color w:val="auto"/>
              <w:spacing w:val="6"/>
              <w:sz w:val="21"/>
              <w:szCs w:val="28"/>
              <w:highlight w:val="none"/>
            </w:rPr>
            <w:t xml:space="preserve">3  </w:t>
          </w:r>
          <w:r>
            <w:rPr>
              <w:rFonts w:ascii="宋体" w:hAnsi="宋体" w:eastAsia="宋体" w:cs="宋体"/>
              <w:bCs/>
              <w:color w:val="auto"/>
              <w:spacing w:val="6"/>
              <w:sz w:val="21"/>
              <w:szCs w:val="28"/>
              <w:highlight w:val="none"/>
            </w:rPr>
            <w:t>投标人资格要求</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_Toc30205 \h </w:instrText>
          </w:r>
          <w:r>
            <w:rPr>
              <w:color w:val="auto"/>
              <w:sz w:val="21"/>
              <w:szCs w:val="21"/>
              <w:highlight w:val="none"/>
            </w:rPr>
            <w:fldChar w:fldCharType="separate"/>
          </w:r>
          <w:r>
            <w:rPr>
              <w:color w:val="auto"/>
              <w:sz w:val="21"/>
              <w:szCs w:val="21"/>
              <w:highlight w:val="none"/>
            </w:rPr>
            <w:t>3</w:t>
          </w:r>
          <w:r>
            <w:rPr>
              <w:color w:val="auto"/>
              <w:sz w:val="21"/>
              <w:szCs w:val="21"/>
              <w:highlight w:val="none"/>
            </w:rPr>
            <w:fldChar w:fldCharType="end"/>
          </w:r>
          <w:r>
            <w:rPr>
              <w:color w:val="auto"/>
              <w:sz w:val="21"/>
              <w:szCs w:val="21"/>
              <w:highlight w:val="none"/>
            </w:rPr>
            <w:fldChar w:fldCharType="end"/>
          </w:r>
        </w:p>
        <w:p w14:paraId="11ACDE21">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_Toc24100 </w:instrText>
          </w:r>
          <w:r>
            <w:rPr>
              <w:color w:val="auto"/>
              <w:sz w:val="21"/>
              <w:szCs w:val="21"/>
              <w:highlight w:val="none"/>
            </w:rPr>
            <w:fldChar w:fldCharType="separate"/>
          </w:r>
          <w:r>
            <w:rPr>
              <w:rFonts w:ascii="Times New Roman" w:hAnsi="Times New Roman" w:eastAsia="Times New Roman" w:cs="Times New Roman"/>
              <w:bCs/>
              <w:color w:val="auto"/>
              <w:spacing w:val="5"/>
              <w:sz w:val="21"/>
              <w:szCs w:val="28"/>
              <w:highlight w:val="none"/>
            </w:rPr>
            <w:t xml:space="preserve">5  </w:t>
          </w:r>
          <w:r>
            <w:rPr>
              <w:rFonts w:ascii="宋体" w:hAnsi="宋体" w:eastAsia="宋体" w:cs="宋体"/>
              <w:bCs/>
              <w:color w:val="auto"/>
              <w:spacing w:val="5"/>
              <w:sz w:val="21"/>
              <w:szCs w:val="28"/>
              <w:highlight w:val="none"/>
            </w:rPr>
            <w:t>投标文件的递交</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_Toc24100 \h </w:instrText>
          </w:r>
          <w:r>
            <w:rPr>
              <w:color w:val="auto"/>
              <w:sz w:val="21"/>
              <w:szCs w:val="21"/>
              <w:highlight w:val="none"/>
            </w:rPr>
            <w:fldChar w:fldCharType="separate"/>
          </w:r>
          <w:r>
            <w:rPr>
              <w:color w:val="auto"/>
              <w:sz w:val="21"/>
              <w:szCs w:val="21"/>
              <w:highlight w:val="none"/>
            </w:rPr>
            <w:t>4</w:t>
          </w:r>
          <w:r>
            <w:rPr>
              <w:color w:val="auto"/>
              <w:sz w:val="21"/>
              <w:szCs w:val="21"/>
              <w:highlight w:val="none"/>
            </w:rPr>
            <w:fldChar w:fldCharType="end"/>
          </w:r>
          <w:r>
            <w:rPr>
              <w:color w:val="auto"/>
              <w:sz w:val="21"/>
              <w:szCs w:val="21"/>
              <w:highlight w:val="none"/>
            </w:rPr>
            <w:fldChar w:fldCharType="end"/>
          </w:r>
        </w:p>
        <w:p w14:paraId="28E4C684">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_Toc20634 </w:instrText>
          </w:r>
          <w:r>
            <w:rPr>
              <w:color w:val="auto"/>
              <w:sz w:val="21"/>
              <w:szCs w:val="21"/>
              <w:highlight w:val="none"/>
            </w:rPr>
            <w:fldChar w:fldCharType="separate"/>
          </w:r>
          <w:r>
            <w:rPr>
              <w:rFonts w:ascii="Times New Roman" w:hAnsi="Times New Roman" w:eastAsia="Times New Roman" w:cs="Times New Roman"/>
              <w:bCs/>
              <w:color w:val="auto"/>
              <w:spacing w:val="5"/>
              <w:sz w:val="21"/>
              <w:szCs w:val="28"/>
              <w:highlight w:val="none"/>
            </w:rPr>
            <w:t xml:space="preserve">6  </w:t>
          </w:r>
          <w:r>
            <w:rPr>
              <w:rFonts w:ascii="宋体" w:hAnsi="宋体" w:eastAsia="宋体" w:cs="宋体"/>
              <w:bCs/>
              <w:color w:val="auto"/>
              <w:spacing w:val="5"/>
              <w:sz w:val="21"/>
              <w:szCs w:val="28"/>
              <w:highlight w:val="none"/>
            </w:rPr>
            <w:t>发布公告的媒介</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_Toc20634 \h </w:instrText>
          </w:r>
          <w:r>
            <w:rPr>
              <w:color w:val="auto"/>
              <w:sz w:val="21"/>
              <w:szCs w:val="21"/>
              <w:highlight w:val="none"/>
            </w:rPr>
            <w:fldChar w:fldCharType="separate"/>
          </w:r>
          <w:r>
            <w:rPr>
              <w:color w:val="auto"/>
              <w:sz w:val="21"/>
              <w:szCs w:val="21"/>
              <w:highlight w:val="none"/>
            </w:rPr>
            <w:t>4</w:t>
          </w:r>
          <w:r>
            <w:rPr>
              <w:color w:val="auto"/>
              <w:sz w:val="21"/>
              <w:szCs w:val="21"/>
              <w:highlight w:val="none"/>
            </w:rPr>
            <w:fldChar w:fldCharType="end"/>
          </w:r>
          <w:r>
            <w:rPr>
              <w:color w:val="auto"/>
              <w:sz w:val="21"/>
              <w:szCs w:val="21"/>
              <w:highlight w:val="none"/>
            </w:rPr>
            <w:fldChar w:fldCharType="end"/>
          </w:r>
        </w:p>
        <w:p w14:paraId="655A74FE">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_Toc29034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7</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2"/>
              <w:sz w:val="21"/>
              <w:szCs w:val="28"/>
              <w:highlight w:val="none"/>
            </w:rPr>
            <w:t>联系方式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_Toc29034 \h </w:instrText>
          </w:r>
          <w:r>
            <w:rPr>
              <w:color w:val="auto"/>
              <w:sz w:val="21"/>
              <w:szCs w:val="21"/>
              <w:highlight w:val="none"/>
            </w:rPr>
            <w:fldChar w:fldCharType="separate"/>
          </w:r>
          <w:r>
            <w:rPr>
              <w:color w:val="auto"/>
              <w:sz w:val="21"/>
              <w:szCs w:val="21"/>
              <w:highlight w:val="none"/>
            </w:rPr>
            <w:t>4</w:t>
          </w:r>
          <w:r>
            <w:rPr>
              <w:color w:val="auto"/>
              <w:sz w:val="21"/>
              <w:szCs w:val="21"/>
              <w:highlight w:val="none"/>
            </w:rPr>
            <w:fldChar w:fldCharType="end"/>
          </w:r>
          <w:r>
            <w:rPr>
              <w:color w:val="auto"/>
              <w:sz w:val="21"/>
              <w:szCs w:val="21"/>
              <w:highlight w:val="none"/>
            </w:rPr>
            <w:fldChar w:fldCharType="end"/>
          </w:r>
        </w:p>
        <w:p w14:paraId="20DC3C05">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_Toc31631 </w:instrText>
          </w:r>
          <w:r>
            <w:rPr>
              <w:color w:val="auto"/>
              <w:sz w:val="21"/>
              <w:szCs w:val="21"/>
              <w:highlight w:val="none"/>
            </w:rPr>
            <w:fldChar w:fldCharType="separate"/>
          </w:r>
          <w:r>
            <w:rPr>
              <w:rFonts w:ascii="黑体" w:hAnsi="黑体" w:eastAsia="黑体" w:cs="黑体"/>
              <w:bCs/>
              <w:color w:val="auto"/>
              <w:spacing w:val="7"/>
              <w:sz w:val="21"/>
              <w:szCs w:val="28"/>
              <w:highlight w:val="none"/>
            </w:rPr>
            <w:t>投标人资格条件要求附表</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_Toc31631 \h </w:instrText>
          </w:r>
          <w:r>
            <w:rPr>
              <w:color w:val="auto"/>
              <w:sz w:val="21"/>
              <w:szCs w:val="21"/>
              <w:highlight w:val="none"/>
            </w:rPr>
            <w:fldChar w:fldCharType="separate"/>
          </w:r>
          <w:r>
            <w:rPr>
              <w:color w:val="auto"/>
              <w:sz w:val="21"/>
              <w:szCs w:val="21"/>
              <w:highlight w:val="none"/>
            </w:rPr>
            <w:t>5</w:t>
          </w:r>
          <w:r>
            <w:rPr>
              <w:color w:val="auto"/>
              <w:sz w:val="21"/>
              <w:szCs w:val="21"/>
              <w:highlight w:val="none"/>
            </w:rPr>
            <w:fldChar w:fldCharType="end"/>
          </w:r>
          <w:r>
            <w:rPr>
              <w:color w:val="auto"/>
              <w:sz w:val="21"/>
              <w:szCs w:val="21"/>
              <w:highlight w:val="none"/>
            </w:rPr>
            <w:fldChar w:fldCharType="end"/>
          </w:r>
        </w:p>
        <w:p w14:paraId="0C07FF85">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_Toc22480 </w:instrText>
          </w:r>
          <w:r>
            <w:rPr>
              <w:color w:val="auto"/>
              <w:sz w:val="21"/>
              <w:szCs w:val="21"/>
              <w:highlight w:val="none"/>
            </w:rPr>
            <w:fldChar w:fldCharType="separate"/>
          </w:r>
          <w:r>
            <w:rPr>
              <w:rFonts w:ascii="宋体" w:hAnsi="宋体" w:eastAsia="宋体" w:cs="宋体"/>
              <w:bCs/>
              <w:color w:val="auto"/>
              <w:spacing w:val="-4"/>
              <w:sz w:val="21"/>
              <w:szCs w:val="40"/>
              <w:highlight w:val="none"/>
            </w:rPr>
            <w:t>第二章</w:t>
          </w:r>
          <w:r>
            <w:rPr>
              <w:rFonts w:ascii="宋体" w:hAnsi="宋体" w:eastAsia="宋体" w:cs="宋体"/>
              <w:color w:val="auto"/>
              <w:spacing w:val="-4"/>
              <w:sz w:val="21"/>
              <w:szCs w:val="40"/>
              <w:highlight w:val="none"/>
            </w:rPr>
            <w:t xml:space="preserve"> </w:t>
          </w:r>
          <w:r>
            <w:rPr>
              <w:rFonts w:ascii="宋体" w:hAnsi="宋体" w:eastAsia="宋体" w:cs="宋体"/>
              <w:bCs/>
              <w:color w:val="auto"/>
              <w:spacing w:val="-4"/>
              <w:sz w:val="21"/>
              <w:szCs w:val="40"/>
              <w:highlight w:val="none"/>
            </w:rPr>
            <w:t>投标人须知</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_Toc22480 \h </w:instrText>
          </w:r>
          <w:r>
            <w:rPr>
              <w:color w:val="auto"/>
              <w:sz w:val="21"/>
              <w:szCs w:val="21"/>
              <w:highlight w:val="none"/>
            </w:rPr>
            <w:fldChar w:fldCharType="separate"/>
          </w:r>
          <w:r>
            <w:rPr>
              <w:color w:val="auto"/>
              <w:sz w:val="21"/>
              <w:szCs w:val="21"/>
              <w:highlight w:val="none"/>
            </w:rPr>
            <w:t>7</w:t>
          </w:r>
          <w:r>
            <w:rPr>
              <w:color w:val="auto"/>
              <w:sz w:val="21"/>
              <w:szCs w:val="21"/>
              <w:highlight w:val="none"/>
            </w:rPr>
            <w:fldChar w:fldCharType="end"/>
          </w:r>
          <w:r>
            <w:rPr>
              <w:color w:val="auto"/>
              <w:sz w:val="21"/>
              <w:szCs w:val="21"/>
              <w:highlight w:val="none"/>
            </w:rPr>
            <w:fldChar w:fldCharType="end"/>
          </w:r>
        </w:p>
        <w:p w14:paraId="127354E0">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_Toc20911 </w:instrText>
          </w:r>
          <w:r>
            <w:rPr>
              <w:color w:val="auto"/>
              <w:sz w:val="21"/>
              <w:szCs w:val="21"/>
              <w:highlight w:val="none"/>
            </w:rPr>
            <w:fldChar w:fldCharType="separate"/>
          </w:r>
          <w:r>
            <w:rPr>
              <w:rFonts w:ascii="宋体" w:hAnsi="宋体" w:eastAsia="宋体" w:cs="宋体"/>
              <w:bCs/>
              <w:color w:val="auto"/>
              <w:spacing w:val="6"/>
              <w:sz w:val="21"/>
              <w:szCs w:val="28"/>
              <w:highlight w:val="none"/>
            </w:rPr>
            <w:t>投标人须知前附表</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_Toc20911 \h </w:instrText>
          </w:r>
          <w:r>
            <w:rPr>
              <w:color w:val="auto"/>
              <w:sz w:val="21"/>
              <w:szCs w:val="21"/>
              <w:highlight w:val="none"/>
            </w:rPr>
            <w:fldChar w:fldCharType="separate"/>
          </w:r>
          <w:r>
            <w:rPr>
              <w:color w:val="auto"/>
              <w:sz w:val="21"/>
              <w:szCs w:val="21"/>
              <w:highlight w:val="none"/>
            </w:rPr>
            <w:t>7</w:t>
          </w:r>
          <w:r>
            <w:rPr>
              <w:color w:val="auto"/>
              <w:sz w:val="21"/>
              <w:szCs w:val="21"/>
              <w:highlight w:val="none"/>
            </w:rPr>
            <w:fldChar w:fldCharType="end"/>
          </w:r>
          <w:r>
            <w:rPr>
              <w:color w:val="auto"/>
              <w:sz w:val="21"/>
              <w:szCs w:val="21"/>
              <w:highlight w:val="none"/>
            </w:rPr>
            <w:fldChar w:fldCharType="end"/>
          </w:r>
        </w:p>
        <w:p w14:paraId="6AFAB0AE">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_Toc31776 </w:instrText>
          </w:r>
          <w:r>
            <w:rPr>
              <w:color w:val="auto"/>
              <w:sz w:val="21"/>
              <w:szCs w:val="21"/>
              <w:highlight w:val="none"/>
            </w:rPr>
            <w:fldChar w:fldCharType="separate"/>
          </w:r>
          <w:r>
            <w:rPr>
              <w:rFonts w:ascii="Times New Roman" w:hAnsi="Times New Roman" w:eastAsia="Times New Roman" w:cs="Times New Roman"/>
              <w:bCs/>
              <w:color w:val="auto"/>
              <w:spacing w:val="-6"/>
              <w:sz w:val="21"/>
              <w:szCs w:val="28"/>
              <w:highlight w:val="none"/>
            </w:rPr>
            <w:t>1</w:t>
          </w:r>
          <w:r>
            <w:rPr>
              <w:rFonts w:ascii="Times New Roman" w:hAnsi="Times New Roman" w:eastAsia="Times New Roman" w:cs="Times New Roman"/>
              <w:bCs/>
              <w:color w:val="auto"/>
              <w:spacing w:val="12"/>
              <w:sz w:val="21"/>
              <w:szCs w:val="28"/>
              <w:highlight w:val="none"/>
            </w:rPr>
            <w:t xml:space="preserve">  </w:t>
          </w:r>
          <w:r>
            <w:rPr>
              <w:rFonts w:ascii="宋体" w:hAnsi="宋体" w:eastAsia="宋体" w:cs="宋体"/>
              <w:bCs/>
              <w:color w:val="auto"/>
              <w:spacing w:val="-6"/>
              <w:sz w:val="21"/>
              <w:szCs w:val="28"/>
              <w:highlight w:val="none"/>
            </w:rPr>
            <w:t>总则</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_Toc31776 \h </w:instrText>
          </w:r>
          <w:r>
            <w:rPr>
              <w:color w:val="auto"/>
              <w:sz w:val="21"/>
              <w:szCs w:val="21"/>
              <w:highlight w:val="none"/>
            </w:rPr>
            <w:fldChar w:fldCharType="separate"/>
          </w:r>
          <w:r>
            <w:rPr>
              <w:color w:val="auto"/>
              <w:sz w:val="21"/>
              <w:szCs w:val="21"/>
              <w:highlight w:val="none"/>
            </w:rPr>
            <w:t>24</w:t>
          </w:r>
          <w:r>
            <w:rPr>
              <w:color w:val="auto"/>
              <w:sz w:val="21"/>
              <w:szCs w:val="21"/>
              <w:highlight w:val="none"/>
            </w:rPr>
            <w:fldChar w:fldCharType="end"/>
          </w:r>
          <w:r>
            <w:rPr>
              <w:color w:val="auto"/>
              <w:sz w:val="21"/>
              <w:szCs w:val="21"/>
              <w:highlight w:val="none"/>
            </w:rPr>
            <w:fldChar w:fldCharType="end"/>
          </w:r>
        </w:p>
        <w:p w14:paraId="7707E0A7">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_Toc10446 </w:instrText>
          </w:r>
          <w:r>
            <w:rPr>
              <w:color w:val="auto"/>
              <w:sz w:val="21"/>
              <w:szCs w:val="21"/>
              <w:highlight w:val="none"/>
            </w:rPr>
            <w:fldChar w:fldCharType="separate"/>
          </w:r>
          <w:r>
            <w:rPr>
              <w:rFonts w:ascii="Times New Roman" w:hAnsi="Times New Roman" w:eastAsia="Times New Roman" w:cs="Times New Roman"/>
              <w:bCs/>
              <w:color w:val="auto"/>
              <w:spacing w:val="3"/>
              <w:sz w:val="21"/>
              <w:szCs w:val="28"/>
              <w:highlight w:val="none"/>
            </w:rPr>
            <w:t>2</w:t>
          </w:r>
          <w:r>
            <w:rPr>
              <w:rFonts w:ascii="Times New Roman" w:hAnsi="Times New Roman" w:eastAsia="Times New Roman" w:cs="Times New Roman"/>
              <w:bCs/>
              <w:color w:val="auto"/>
              <w:spacing w:val="9"/>
              <w:sz w:val="21"/>
              <w:szCs w:val="28"/>
              <w:highlight w:val="none"/>
            </w:rPr>
            <w:t xml:space="preserve">  </w:t>
          </w:r>
          <w:r>
            <w:rPr>
              <w:rFonts w:ascii="宋体" w:hAnsi="宋体" w:eastAsia="宋体" w:cs="宋体"/>
              <w:bCs/>
              <w:color w:val="auto"/>
              <w:spacing w:val="3"/>
              <w:sz w:val="21"/>
              <w:szCs w:val="28"/>
              <w:highlight w:val="none"/>
            </w:rPr>
            <w:t>招标文件</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_Toc10446 \h </w:instrText>
          </w:r>
          <w:r>
            <w:rPr>
              <w:color w:val="auto"/>
              <w:sz w:val="21"/>
              <w:szCs w:val="21"/>
              <w:highlight w:val="none"/>
            </w:rPr>
            <w:fldChar w:fldCharType="separate"/>
          </w:r>
          <w:r>
            <w:rPr>
              <w:color w:val="auto"/>
              <w:sz w:val="21"/>
              <w:szCs w:val="21"/>
              <w:highlight w:val="none"/>
            </w:rPr>
            <w:t>27</w:t>
          </w:r>
          <w:r>
            <w:rPr>
              <w:color w:val="auto"/>
              <w:sz w:val="21"/>
              <w:szCs w:val="21"/>
              <w:highlight w:val="none"/>
            </w:rPr>
            <w:fldChar w:fldCharType="end"/>
          </w:r>
          <w:r>
            <w:rPr>
              <w:color w:val="auto"/>
              <w:sz w:val="21"/>
              <w:szCs w:val="21"/>
              <w:highlight w:val="none"/>
            </w:rPr>
            <w:fldChar w:fldCharType="end"/>
          </w:r>
        </w:p>
        <w:p w14:paraId="606901AC">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_Toc559 </w:instrText>
          </w:r>
          <w:r>
            <w:rPr>
              <w:color w:val="auto"/>
              <w:sz w:val="21"/>
              <w:szCs w:val="21"/>
              <w:highlight w:val="none"/>
            </w:rPr>
            <w:fldChar w:fldCharType="separate"/>
          </w:r>
          <w:r>
            <w:rPr>
              <w:rFonts w:ascii="Times New Roman" w:hAnsi="Times New Roman" w:eastAsia="Times New Roman" w:cs="Times New Roman"/>
              <w:bCs/>
              <w:color w:val="auto"/>
              <w:spacing w:val="3"/>
              <w:sz w:val="21"/>
              <w:szCs w:val="28"/>
              <w:highlight w:val="none"/>
            </w:rPr>
            <w:t>3</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3"/>
              <w:sz w:val="21"/>
              <w:szCs w:val="28"/>
              <w:highlight w:val="none"/>
            </w:rPr>
            <w:t>投标文件</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_Toc559 \h </w:instrText>
          </w:r>
          <w:r>
            <w:rPr>
              <w:color w:val="auto"/>
              <w:sz w:val="21"/>
              <w:szCs w:val="21"/>
              <w:highlight w:val="none"/>
            </w:rPr>
            <w:fldChar w:fldCharType="separate"/>
          </w:r>
          <w:r>
            <w:rPr>
              <w:color w:val="auto"/>
              <w:sz w:val="21"/>
              <w:szCs w:val="21"/>
              <w:highlight w:val="none"/>
            </w:rPr>
            <w:t>28</w:t>
          </w:r>
          <w:r>
            <w:rPr>
              <w:color w:val="auto"/>
              <w:sz w:val="21"/>
              <w:szCs w:val="21"/>
              <w:highlight w:val="none"/>
            </w:rPr>
            <w:fldChar w:fldCharType="end"/>
          </w:r>
          <w:r>
            <w:rPr>
              <w:color w:val="auto"/>
              <w:sz w:val="21"/>
              <w:szCs w:val="21"/>
              <w:highlight w:val="none"/>
            </w:rPr>
            <w:fldChar w:fldCharType="end"/>
          </w:r>
        </w:p>
        <w:p w14:paraId="40DE71A1">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_Toc28031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4</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1"/>
              <w:sz w:val="21"/>
              <w:szCs w:val="28"/>
              <w:highlight w:val="none"/>
            </w:rPr>
            <w:t>投标</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_Toc28031 \h </w:instrText>
          </w:r>
          <w:r>
            <w:rPr>
              <w:color w:val="auto"/>
              <w:sz w:val="21"/>
              <w:szCs w:val="21"/>
              <w:highlight w:val="none"/>
            </w:rPr>
            <w:fldChar w:fldCharType="separate"/>
          </w:r>
          <w:r>
            <w:rPr>
              <w:color w:val="auto"/>
              <w:sz w:val="21"/>
              <w:szCs w:val="21"/>
              <w:highlight w:val="none"/>
            </w:rPr>
            <w:t>30</w:t>
          </w:r>
          <w:r>
            <w:rPr>
              <w:color w:val="auto"/>
              <w:sz w:val="21"/>
              <w:szCs w:val="21"/>
              <w:highlight w:val="none"/>
            </w:rPr>
            <w:fldChar w:fldCharType="end"/>
          </w:r>
          <w:r>
            <w:rPr>
              <w:color w:val="auto"/>
              <w:sz w:val="21"/>
              <w:szCs w:val="21"/>
              <w:highlight w:val="none"/>
            </w:rPr>
            <w:fldChar w:fldCharType="end"/>
          </w:r>
        </w:p>
        <w:p w14:paraId="638D7B90">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_Toc17445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5</w:t>
          </w:r>
          <w:r>
            <w:rPr>
              <w:rFonts w:ascii="Times New Roman" w:hAnsi="Times New Roman" w:eastAsia="Times New Roman" w:cs="Times New Roman"/>
              <w:bCs/>
              <w:color w:val="auto"/>
              <w:spacing w:val="9"/>
              <w:sz w:val="21"/>
              <w:szCs w:val="28"/>
              <w:highlight w:val="none"/>
            </w:rPr>
            <w:t xml:space="preserve">  </w:t>
          </w:r>
          <w:r>
            <w:rPr>
              <w:rFonts w:ascii="宋体" w:hAnsi="宋体" w:eastAsia="宋体" w:cs="宋体"/>
              <w:bCs/>
              <w:color w:val="auto"/>
              <w:spacing w:val="-1"/>
              <w:sz w:val="21"/>
              <w:szCs w:val="28"/>
              <w:highlight w:val="none"/>
            </w:rPr>
            <w:t>开标</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_Toc17445 \h </w:instrText>
          </w:r>
          <w:r>
            <w:rPr>
              <w:color w:val="auto"/>
              <w:sz w:val="21"/>
              <w:szCs w:val="21"/>
              <w:highlight w:val="none"/>
            </w:rPr>
            <w:fldChar w:fldCharType="separate"/>
          </w:r>
          <w:r>
            <w:rPr>
              <w:color w:val="auto"/>
              <w:sz w:val="21"/>
              <w:szCs w:val="21"/>
              <w:highlight w:val="none"/>
            </w:rPr>
            <w:t>31</w:t>
          </w:r>
          <w:r>
            <w:rPr>
              <w:color w:val="auto"/>
              <w:sz w:val="21"/>
              <w:szCs w:val="21"/>
              <w:highlight w:val="none"/>
            </w:rPr>
            <w:fldChar w:fldCharType="end"/>
          </w:r>
          <w:r>
            <w:rPr>
              <w:color w:val="auto"/>
              <w:sz w:val="21"/>
              <w:szCs w:val="21"/>
              <w:highlight w:val="none"/>
            </w:rPr>
            <w:fldChar w:fldCharType="end"/>
          </w:r>
        </w:p>
        <w:p w14:paraId="5F79C3B5">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_Toc14750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6</w:t>
          </w:r>
          <w:r>
            <w:rPr>
              <w:rFonts w:ascii="Times New Roman" w:hAnsi="Times New Roman" w:eastAsia="Times New Roman" w:cs="Times New Roman"/>
              <w:bCs/>
              <w:color w:val="auto"/>
              <w:spacing w:val="8"/>
              <w:sz w:val="21"/>
              <w:szCs w:val="28"/>
              <w:highlight w:val="none"/>
            </w:rPr>
            <w:t xml:space="preserve">  </w:t>
          </w:r>
          <w:r>
            <w:rPr>
              <w:rFonts w:ascii="宋体" w:hAnsi="宋体" w:eastAsia="宋体" w:cs="宋体"/>
              <w:bCs/>
              <w:color w:val="auto"/>
              <w:spacing w:val="-1"/>
              <w:sz w:val="21"/>
              <w:szCs w:val="28"/>
              <w:highlight w:val="none"/>
            </w:rPr>
            <w:t>评标</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_Toc14750 \h </w:instrText>
          </w:r>
          <w:r>
            <w:rPr>
              <w:color w:val="auto"/>
              <w:sz w:val="21"/>
              <w:szCs w:val="21"/>
              <w:highlight w:val="none"/>
            </w:rPr>
            <w:fldChar w:fldCharType="separate"/>
          </w:r>
          <w:r>
            <w:rPr>
              <w:color w:val="auto"/>
              <w:sz w:val="21"/>
              <w:szCs w:val="21"/>
              <w:highlight w:val="none"/>
            </w:rPr>
            <w:t>32</w:t>
          </w:r>
          <w:r>
            <w:rPr>
              <w:color w:val="auto"/>
              <w:sz w:val="21"/>
              <w:szCs w:val="21"/>
              <w:highlight w:val="none"/>
            </w:rPr>
            <w:fldChar w:fldCharType="end"/>
          </w:r>
          <w:r>
            <w:rPr>
              <w:color w:val="auto"/>
              <w:sz w:val="21"/>
              <w:szCs w:val="21"/>
              <w:highlight w:val="none"/>
            </w:rPr>
            <w:fldChar w:fldCharType="end"/>
          </w:r>
        </w:p>
        <w:p w14:paraId="057874AE">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_Toc25445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7</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2"/>
              <w:sz w:val="21"/>
              <w:szCs w:val="28"/>
              <w:highlight w:val="none"/>
            </w:rPr>
            <w:t>合同授予</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_Toc25445 \h </w:instrText>
          </w:r>
          <w:r>
            <w:rPr>
              <w:color w:val="auto"/>
              <w:sz w:val="21"/>
              <w:szCs w:val="21"/>
              <w:highlight w:val="none"/>
            </w:rPr>
            <w:fldChar w:fldCharType="separate"/>
          </w:r>
          <w:r>
            <w:rPr>
              <w:color w:val="auto"/>
              <w:sz w:val="21"/>
              <w:szCs w:val="21"/>
              <w:highlight w:val="none"/>
            </w:rPr>
            <w:t>32</w:t>
          </w:r>
          <w:r>
            <w:rPr>
              <w:color w:val="auto"/>
              <w:sz w:val="21"/>
              <w:szCs w:val="21"/>
              <w:highlight w:val="none"/>
            </w:rPr>
            <w:fldChar w:fldCharType="end"/>
          </w:r>
          <w:r>
            <w:rPr>
              <w:color w:val="auto"/>
              <w:sz w:val="21"/>
              <w:szCs w:val="21"/>
              <w:highlight w:val="none"/>
            </w:rPr>
            <w:fldChar w:fldCharType="end"/>
          </w:r>
        </w:p>
        <w:p w14:paraId="12113929">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_Toc9265 </w:instrText>
          </w:r>
          <w:r>
            <w:rPr>
              <w:color w:val="auto"/>
              <w:sz w:val="21"/>
              <w:szCs w:val="21"/>
              <w:highlight w:val="none"/>
            </w:rPr>
            <w:fldChar w:fldCharType="separate"/>
          </w:r>
          <w:r>
            <w:rPr>
              <w:rFonts w:ascii="Times New Roman" w:hAnsi="Times New Roman" w:eastAsia="Times New Roman" w:cs="Times New Roman"/>
              <w:bCs/>
              <w:color w:val="auto"/>
              <w:spacing w:val="6"/>
              <w:sz w:val="21"/>
              <w:szCs w:val="28"/>
              <w:highlight w:val="none"/>
            </w:rPr>
            <w:t xml:space="preserve">8  </w:t>
          </w:r>
          <w:r>
            <w:rPr>
              <w:rFonts w:ascii="宋体" w:hAnsi="宋体" w:eastAsia="宋体" w:cs="宋体"/>
              <w:bCs/>
              <w:color w:val="auto"/>
              <w:spacing w:val="6"/>
              <w:sz w:val="21"/>
              <w:szCs w:val="28"/>
              <w:highlight w:val="none"/>
            </w:rPr>
            <w:t>重新招标和不再招标</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_Toc9265 \h </w:instrText>
          </w:r>
          <w:r>
            <w:rPr>
              <w:color w:val="auto"/>
              <w:sz w:val="21"/>
              <w:szCs w:val="21"/>
              <w:highlight w:val="none"/>
            </w:rPr>
            <w:fldChar w:fldCharType="separate"/>
          </w:r>
          <w:r>
            <w:rPr>
              <w:color w:val="auto"/>
              <w:sz w:val="21"/>
              <w:szCs w:val="21"/>
              <w:highlight w:val="none"/>
            </w:rPr>
            <w:t>35</w:t>
          </w:r>
          <w:r>
            <w:rPr>
              <w:color w:val="auto"/>
              <w:sz w:val="21"/>
              <w:szCs w:val="21"/>
              <w:highlight w:val="none"/>
            </w:rPr>
            <w:fldChar w:fldCharType="end"/>
          </w:r>
          <w:r>
            <w:rPr>
              <w:color w:val="auto"/>
              <w:sz w:val="21"/>
              <w:szCs w:val="21"/>
              <w:highlight w:val="none"/>
            </w:rPr>
            <w:fldChar w:fldCharType="end"/>
          </w:r>
        </w:p>
        <w:p w14:paraId="7CBAC8BD">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_Toc20824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9</w:t>
          </w:r>
          <w:r>
            <w:rPr>
              <w:rFonts w:ascii="Times New Roman" w:hAnsi="Times New Roman" w:eastAsia="Times New Roman" w:cs="Times New Roman"/>
              <w:bCs/>
              <w:color w:val="auto"/>
              <w:spacing w:val="13"/>
              <w:sz w:val="21"/>
              <w:szCs w:val="28"/>
              <w:highlight w:val="none"/>
            </w:rPr>
            <w:t xml:space="preserve">  </w:t>
          </w:r>
          <w:r>
            <w:rPr>
              <w:rFonts w:ascii="宋体" w:hAnsi="宋体" w:eastAsia="宋体" w:cs="宋体"/>
              <w:bCs/>
              <w:color w:val="auto"/>
              <w:spacing w:val="2"/>
              <w:sz w:val="21"/>
              <w:szCs w:val="28"/>
              <w:highlight w:val="none"/>
            </w:rPr>
            <w:t>纪律和监督</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_Toc20824 \h </w:instrText>
          </w:r>
          <w:r>
            <w:rPr>
              <w:color w:val="auto"/>
              <w:sz w:val="21"/>
              <w:szCs w:val="21"/>
              <w:highlight w:val="none"/>
            </w:rPr>
            <w:fldChar w:fldCharType="separate"/>
          </w:r>
          <w:r>
            <w:rPr>
              <w:color w:val="auto"/>
              <w:sz w:val="21"/>
              <w:szCs w:val="21"/>
              <w:highlight w:val="none"/>
            </w:rPr>
            <w:t>36</w:t>
          </w:r>
          <w:r>
            <w:rPr>
              <w:color w:val="auto"/>
              <w:sz w:val="21"/>
              <w:szCs w:val="21"/>
              <w:highlight w:val="none"/>
            </w:rPr>
            <w:fldChar w:fldCharType="end"/>
          </w:r>
          <w:r>
            <w:rPr>
              <w:color w:val="auto"/>
              <w:sz w:val="21"/>
              <w:szCs w:val="21"/>
              <w:highlight w:val="none"/>
            </w:rPr>
            <w:fldChar w:fldCharType="end"/>
          </w:r>
        </w:p>
        <w:p w14:paraId="6A3F1523">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_Toc15730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10</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1"/>
              <w:sz w:val="21"/>
              <w:szCs w:val="28"/>
              <w:highlight w:val="none"/>
            </w:rPr>
            <w:t>其他内容</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_Toc15730 \h </w:instrText>
          </w:r>
          <w:r>
            <w:rPr>
              <w:color w:val="auto"/>
              <w:sz w:val="21"/>
              <w:szCs w:val="21"/>
              <w:highlight w:val="none"/>
            </w:rPr>
            <w:fldChar w:fldCharType="separate"/>
          </w:r>
          <w:r>
            <w:rPr>
              <w:color w:val="auto"/>
              <w:sz w:val="21"/>
              <w:szCs w:val="21"/>
              <w:highlight w:val="none"/>
            </w:rPr>
            <w:t>37</w:t>
          </w:r>
          <w:r>
            <w:rPr>
              <w:color w:val="auto"/>
              <w:sz w:val="21"/>
              <w:szCs w:val="21"/>
              <w:highlight w:val="none"/>
            </w:rPr>
            <w:fldChar w:fldCharType="end"/>
          </w:r>
          <w:r>
            <w:rPr>
              <w:color w:val="auto"/>
              <w:sz w:val="21"/>
              <w:szCs w:val="21"/>
              <w:highlight w:val="none"/>
            </w:rPr>
            <w:fldChar w:fldCharType="end"/>
          </w:r>
        </w:p>
        <w:p w14:paraId="4247C97D">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_Toc6116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11</w:t>
          </w:r>
          <w:r>
            <w:rPr>
              <w:rFonts w:ascii="Times New Roman" w:hAnsi="Times New Roman" w:eastAsia="Times New Roman" w:cs="Times New Roman"/>
              <w:bCs/>
              <w:color w:val="auto"/>
              <w:spacing w:val="17"/>
              <w:sz w:val="21"/>
              <w:szCs w:val="28"/>
              <w:highlight w:val="none"/>
            </w:rPr>
            <w:t xml:space="preserve">  </w:t>
          </w:r>
          <w:r>
            <w:rPr>
              <w:rFonts w:ascii="宋体" w:hAnsi="宋体" w:eastAsia="宋体" w:cs="宋体"/>
              <w:bCs/>
              <w:color w:val="auto"/>
              <w:spacing w:val="2"/>
              <w:sz w:val="21"/>
              <w:szCs w:val="28"/>
              <w:highlight w:val="none"/>
            </w:rPr>
            <w:t>需要补充的内容</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_Toc6116 \h </w:instrText>
          </w:r>
          <w:r>
            <w:rPr>
              <w:color w:val="auto"/>
              <w:sz w:val="21"/>
              <w:szCs w:val="21"/>
              <w:highlight w:val="none"/>
            </w:rPr>
            <w:fldChar w:fldCharType="separate"/>
          </w:r>
          <w:r>
            <w:rPr>
              <w:color w:val="auto"/>
              <w:sz w:val="21"/>
              <w:szCs w:val="21"/>
              <w:highlight w:val="none"/>
            </w:rPr>
            <w:t>37</w:t>
          </w:r>
          <w:r>
            <w:rPr>
              <w:color w:val="auto"/>
              <w:sz w:val="21"/>
              <w:szCs w:val="21"/>
              <w:highlight w:val="none"/>
            </w:rPr>
            <w:fldChar w:fldCharType="end"/>
          </w:r>
          <w:r>
            <w:rPr>
              <w:color w:val="auto"/>
              <w:sz w:val="21"/>
              <w:szCs w:val="21"/>
              <w:highlight w:val="none"/>
            </w:rPr>
            <w:fldChar w:fldCharType="end"/>
          </w:r>
        </w:p>
        <w:p w14:paraId="5C022BBE">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_Toc32764 </w:instrText>
          </w:r>
          <w:r>
            <w:rPr>
              <w:color w:val="auto"/>
              <w:sz w:val="21"/>
              <w:szCs w:val="21"/>
              <w:highlight w:val="none"/>
            </w:rPr>
            <w:fldChar w:fldCharType="separate"/>
          </w:r>
          <w:r>
            <w:rPr>
              <w:rFonts w:ascii="宋体" w:hAnsi="宋体" w:eastAsia="宋体" w:cs="宋体"/>
              <w:bCs/>
              <w:color w:val="auto"/>
              <w:spacing w:val="-5"/>
              <w:sz w:val="21"/>
              <w:szCs w:val="40"/>
              <w:highlight w:val="none"/>
            </w:rPr>
            <w:t>第三章</w:t>
          </w:r>
          <w:r>
            <w:rPr>
              <w:rFonts w:ascii="宋体" w:hAnsi="宋体" w:eastAsia="宋体" w:cs="宋体"/>
              <w:color w:val="auto"/>
              <w:spacing w:val="-5"/>
              <w:sz w:val="21"/>
              <w:szCs w:val="40"/>
              <w:highlight w:val="none"/>
            </w:rPr>
            <w:t xml:space="preserve"> </w:t>
          </w:r>
          <w:r>
            <w:rPr>
              <w:rFonts w:ascii="宋体" w:hAnsi="宋体" w:eastAsia="宋体" w:cs="宋体"/>
              <w:bCs/>
              <w:color w:val="auto"/>
              <w:spacing w:val="-5"/>
              <w:sz w:val="21"/>
              <w:szCs w:val="40"/>
              <w:highlight w:val="none"/>
            </w:rPr>
            <w:t>评标定标办法（综合评估法）</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_Toc32764 \h </w:instrText>
          </w:r>
          <w:r>
            <w:rPr>
              <w:color w:val="auto"/>
              <w:sz w:val="21"/>
              <w:szCs w:val="21"/>
              <w:highlight w:val="none"/>
            </w:rPr>
            <w:fldChar w:fldCharType="separate"/>
          </w:r>
          <w:r>
            <w:rPr>
              <w:color w:val="auto"/>
              <w:sz w:val="21"/>
              <w:szCs w:val="21"/>
              <w:highlight w:val="none"/>
            </w:rPr>
            <w:t>44</w:t>
          </w:r>
          <w:r>
            <w:rPr>
              <w:color w:val="auto"/>
              <w:sz w:val="21"/>
              <w:szCs w:val="21"/>
              <w:highlight w:val="none"/>
            </w:rPr>
            <w:fldChar w:fldCharType="end"/>
          </w:r>
          <w:r>
            <w:rPr>
              <w:color w:val="auto"/>
              <w:sz w:val="21"/>
              <w:szCs w:val="21"/>
              <w:highlight w:val="none"/>
            </w:rPr>
            <w:fldChar w:fldCharType="end"/>
          </w:r>
        </w:p>
        <w:p w14:paraId="42E5E238">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strike w:val="0"/>
              <w:dstrike w:val="0"/>
              <w:color w:val="auto"/>
              <w:sz w:val="21"/>
              <w:szCs w:val="21"/>
              <w:highlight w:val="none"/>
            </w:rPr>
          </w:pPr>
          <w:r>
            <w:rPr>
              <w:strike w:val="0"/>
              <w:dstrike w:val="0"/>
              <w:color w:val="auto"/>
              <w:sz w:val="21"/>
              <w:szCs w:val="21"/>
              <w:highlight w:val="none"/>
            </w:rPr>
            <w:fldChar w:fldCharType="begin"/>
          </w:r>
          <w:r>
            <w:rPr>
              <w:strike w:val="0"/>
              <w:dstrike w:val="0"/>
              <w:color w:val="auto"/>
              <w:sz w:val="21"/>
              <w:szCs w:val="21"/>
              <w:highlight w:val="none"/>
            </w:rPr>
            <w:instrText xml:space="preserve"> HYPERLINK \l _Toc9823 </w:instrText>
          </w:r>
          <w:r>
            <w:rPr>
              <w:strike w:val="0"/>
              <w:dstrike w:val="0"/>
              <w:color w:val="auto"/>
              <w:sz w:val="21"/>
              <w:szCs w:val="21"/>
              <w:highlight w:val="none"/>
            </w:rPr>
            <w:fldChar w:fldCharType="separate"/>
          </w:r>
          <w:r>
            <w:rPr>
              <w:rFonts w:ascii="Times New Roman" w:hAnsi="Times New Roman" w:eastAsia="Times New Roman" w:cs="Times New Roman"/>
              <w:bCs/>
              <w:strike w:val="0"/>
              <w:dstrike w:val="0"/>
              <w:color w:val="auto"/>
              <w:spacing w:val="-5"/>
              <w:sz w:val="21"/>
              <w:szCs w:val="28"/>
              <w:highlight w:val="none"/>
            </w:rPr>
            <w:t>1</w:t>
          </w:r>
          <w:r>
            <w:rPr>
              <w:rFonts w:ascii="Times New Roman" w:hAnsi="Times New Roman" w:eastAsia="Times New Roman" w:cs="Times New Roman"/>
              <w:bCs/>
              <w:strike w:val="0"/>
              <w:dstrike w:val="0"/>
              <w:color w:val="auto"/>
              <w:spacing w:val="10"/>
              <w:sz w:val="21"/>
              <w:szCs w:val="28"/>
              <w:highlight w:val="none"/>
            </w:rPr>
            <w:t xml:space="preserve">  </w:t>
          </w:r>
          <w:r>
            <w:rPr>
              <w:rFonts w:ascii="宋体" w:hAnsi="宋体" w:eastAsia="宋体" w:cs="宋体"/>
              <w:bCs/>
              <w:strike w:val="0"/>
              <w:dstrike w:val="0"/>
              <w:color w:val="auto"/>
              <w:spacing w:val="-5"/>
              <w:sz w:val="21"/>
              <w:szCs w:val="28"/>
              <w:highlight w:val="none"/>
            </w:rPr>
            <w:t>依据</w:t>
          </w:r>
          <w:r>
            <w:rPr>
              <w:strike w:val="0"/>
              <w:dstrike w:val="0"/>
              <w:color w:val="auto"/>
              <w:sz w:val="21"/>
              <w:szCs w:val="21"/>
              <w:highlight w:val="none"/>
            </w:rPr>
            <w:tab/>
          </w:r>
          <w:r>
            <w:rPr>
              <w:strike w:val="0"/>
              <w:dstrike w:val="0"/>
              <w:color w:val="auto"/>
              <w:sz w:val="21"/>
              <w:szCs w:val="21"/>
              <w:highlight w:val="none"/>
            </w:rPr>
            <w:fldChar w:fldCharType="begin"/>
          </w:r>
          <w:r>
            <w:rPr>
              <w:strike w:val="0"/>
              <w:dstrike w:val="0"/>
              <w:color w:val="auto"/>
              <w:sz w:val="21"/>
              <w:szCs w:val="21"/>
              <w:highlight w:val="none"/>
            </w:rPr>
            <w:instrText xml:space="preserve"> PAGEREF _Toc9823 \h </w:instrText>
          </w:r>
          <w:r>
            <w:rPr>
              <w:strike w:val="0"/>
              <w:dstrike w:val="0"/>
              <w:color w:val="auto"/>
              <w:sz w:val="21"/>
              <w:szCs w:val="21"/>
              <w:highlight w:val="none"/>
            </w:rPr>
            <w:fldChar w:fldCharType="separate"/>
          </w:r>
          <w:r>
            <w:rPr>
              <w:strike w:val="0"/>
              <w:dstrike w:val="0"/>
              <w:color w:val="auto"/>
              <w:sz w:val="21"/>
              <w:szCs w:val="21"/>
              <w:highlight w:val="none"/>
            </w:rPr>
            <w:t>44</w:t>
          </w:r>
          <w:r>
            <w:rPr>
              <w:strike w:val="0"/>
              <w:dstrike w:val="0"/>
              <w:color w:val="auto"/>
              <w:sz w:val="21"/>
              <w:szCs w:val="21"/>
              <w:highlight w:val="none"/>
            </w:rPr>
            <w:fldChar w:fldCharType="end"/>
          </w:r>
          <w:r>
            <w:rPr>
              <w:strike w:val="0"/>
              <w:dstrike w:val="0"/>
              <w:color w:val="auto"/>
              <w:sz w:val="21"/>
              <w:szCs w:val="21"/>
              <w:highlight w:val="none"/>
            </w:rPr>
            <w:fldChar w:fldCharType="end"/>
          </w:r>
        </w:p>
        <w:p w14:paraId="38905A12">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strike w:val="0"/>
              <w:dstrike w:val="0"/>
              <w:color w:val="auto"/>
              <w:sz w:val="21"/>
              <w:szCs w:val="21"/>
              <w:highlight w:val="none"/>
            </w:rPr>
          </w:pPr>
          <w:r>
            <w:rPr>
              <w:strike w:val="0"/>
              <w:dstrike w:val="0"/>
              <w:color w:val="auto"/>
              <w:sz w:val="21"/>
              <w:szCs w:val="21"/>
              <w:highlight w:val="none"/>
            </w:rPr>
            <w:fldChar w:fldCharType="begin"/>
          </w:r>
          <w:r>
            <w:rPr>
              <w:strike w:val="0"/>
              <w:dstrike w:val="0"/>
              <w:color w:val="auto"/>
              <w:sz w:val="21"/>
              <w:szCs w:val="21"/>
              <w:highlight w:val="none"/>
            </w:rPr>
            <w:instrText xml:space="preserve"> HYPERLINK \l _Toc2149 </w:instrText>
          </w:r>
          <w:r>
            <w:rPr>
              <w:strike w:val="0"/>
              <w:dstrike w:val="0"/>
              <w:color w:val="auto"/>
              <w:sz w:val="21"/>
              <w:szCs w:val="21"/>
              <w:highlight w:val="none"/>
            </w:rPr>
            <w:fldChar w:fldCharType="separate"/>
          </w:r>
          <w:r>
            <w:rPr>
              <w:rFonts w:ascii="Times New Roman" w:hAnsi="Times New Roman" w:eastAsia="Times New Roman" w:cs="Times New Roman"/>
              <w:bCs/>
              <w:strike w:val="0"/>
              <w:dstrike w:val="0"/>
              <w:color w:val="auto"/>
              <w:spacing w:val="3"/>
              <w:sz w:val="21"/>
              <w:szCs w:val="28"/>
              <w:highlight w:val="none"/>
            </w:rPr>
            <w:t>2</w:t>
          </w:r>
          <w:r>
            <w:rPr>
              <w:rFonts w:ascii="Times New Roman" w:hAnsi="Times New Roman" w:eastAsia="Times New Roman" w:cs="Times New Roman"/>
              <w:bCs/>
              <w:strike w:val="0"/>
              <w:dstrike w:val="0"/>
              <w:color w:val="auto"/>
              <w:spacing w:val="9"/>
              <w:sz w:val="21"/>
              <w:szCs w:val="28"/>
              <w:highlight w:val="none"/>
            </w:rPr>
            <w:t xml:space="preserve">  </w:t>
          </w:r>
          <w:r>
            <w:rPr>
              <w:rFonts w:ascii="宋体" w:hAnsi="宋体" w:eastAsia="宋体" w:cs="宋体"/>
              <w:bCs/>
              <w:strike w:val="0"/>
              <w:dstrike w:val="0"/>
              <w:color w:val="auto"/>
              <w:spacing w:val="3"/>
              <w:sz w:val="21"/>
              <w:szCs w:val="28"/>
              <w:highlight w:val="none"/>
            </w:rPr>
            <w:t>评标原则</w:t>
          </w:r>
          <w:r>
            <w:rPr>
              <w:strike w:val="0"/>
              <w:dstrike w:val="0"/>
              <w:color w:val="auto"/>
              <w:sz w:val="21"/>
              <w:szCs w:val="21"/>
              <w:highlight w:val="none"/>
            </w:rPr>
            <w:tab/>
          </w:r>
          <w:r>
            <w:rPr>
              <w:strike w:val="0"/>
              <w:dstrike w:val="0"/>
              <w:color w:val="auto"/>
              <w:sz w:val="21"/>
              <w:szCs w:val="21"/>
              <w:highlight w:val="none"/>
            </w:rPr>
            <w:fldChar w:fldCharType="begin"/>
          </w:r>
          <w:r>
            <w:rPr>
              <w:strike w:val="0"/>
              <w:dstrike w:val="0"/>
              <w:color w:val="auto"/>
              <w:sz w:val="21"/>
              <w:szCs w:val="21"/>
              <w:highlight w:val="none"/>
            </w:rPr>
            <w:instrText xml:space="preserve"> PAGEREF _Toc2149 \h </w:instrText>
          </w:r>
          <w:r>
            <w:rPr>
              <w:strike w:val="0"/>
              <w:dstrike w:val="0"/>
              <w:color w:val="auto"/>
              <w:sz w:val="21"/>
              <w:szCs w:val="21"/>
              <w:highlight w:val="none"/>
            </w:rPr>
            <w:fldChar w:fldCharType="separate"/>
          </w:r>
          <w:r>
            <w:rPr>
              <w:strike w:val="0"/>
              <w:dstrike w:val="0"/>
              <w:color w:val="auto"/>
              <w:sz w:val="21"/>
              <w:szCs w:val="21"/>
              <w:highlight w:val="none"/>
            </w:rPr>
            <w:t>44</w:t>
          </w:r>
          <w:r>
            <w:rPr>
              <w:strike w:val="0"/>
              <w:dstrike w:val="0"/>
              <w:color w:val="auto"/>
              <w:sz w:val="21"/>
              <w:szCs w:val="21"/>
              <w:highlight w:val="none"/>
            </w:rPr>
            <w:fldChar w:fldCharType="end"/>
          </w:r>
          <w:r>
            <w:rPr>
              <w:strike w:val="0"/>
              <w:dstrike w:val="0"/>
              <w:color w:val="auto"/>
              <w:sz w:val="21"/>
              <w:szCs w:val="21"/>
              <w:highlight w:val="none"/>
            </w:rPr>
            <w:fldChar w:fldCharType="end"/>
          </w:r>
        </w:p>
        <w:p w14:paraId="6FDC96C0">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strike w:val="0"/>
              <w:dstrike w:val="0"/>
              <w:color w:val="auto"/>
              <w:sz w:val="21"/>
              <w:szCs w:val="21"/>
              <w:highlight w:val="none"/>
            </w:rPr>
          </w:pPr>
          <w:r>
            <w:rPr>
              <w:strike w:val="0"/>
              <w:dstrike w:val="0"/>
              <w:color w:val="auto"/>
              <w:sz w:val="21"/>
              <w:szCs w:val="21"/>
              <w:highlight w:val="none"/>
            </w:rPr>
            <w:fldChar w:fldCharType="begin"/>
          </w:r>
          <w:r>
            <w:rPr>
              <w:strike w:val="0"/>
              <w:dstrike w:val="0"/>
              <w:color w:val="auto"/>
              <w:sz w:val="21"/>
              <w:szCs w:val="21"/>
              <w:highlight w:val="none"/>
            </w:rPr>
            <w:instrText xml:space="preserve"> HYPERLINK \l _Toc20274 </w:instrText>
          </w:r>
          <w:r>
            <w:rPr>
              <w:strike w:val="0"/>
              <w:dstrike w:val="0"/>
              <w:color w:val="auto"/>
              <w:sz w:val="21"/>
              <w:szCs w:val="21"/>
              <w:highlight w:val="none"/>
            </w:rPr>
            <w:fldChar w:fldCharType="separate"/>
          </w:r>
          <w:r>
            <w:rPr>
              <w:rFonts w:ascii="Times New Roman" w:hAnsi="Times New Roman" w:eastAsia="Times New Roman" w:cs="Times New Roman"/>
              <w:bCs/>
              <w:strike w:val="0"/>
              <w:dstrike w:val="0"/>
              <w:color w:val="auto"/>
              <w:spacing w:val="4"/>
              <w:sz w:val="21"/>
              <w:szCs w:val="28"/>
              <w:highlight w:val="none"/>
            </w:rPr>
            <w:t>3</w:t>
          </w:r>
          <w:r>
            <w:rPr>
              <w:rFonts w:ascii="Times New Roman" w:hAnsi="Times New Roman" w:eastAsia="Times New Roman" w:cs="Times New Roman"/>
              <w:bCs/>
              <w:strike w:val="0"/>
              <w:dstrike w:val="0"/>
              <w:color w:val="auto"/>
              <w:spacing w:val="7"/>
              <w:sz w:val="21"/>
              <w:szCs w:val="28"/>
              <w:highlight w:val="none"/>
            </w:rPr>
            <w:t xml:space="preserve">  </w:t>
          </w:r>
          <w:r>
            <w:rPr>
              <w:rFonts w:ascii="宋体" w:hAnsi="宋体" w:eastAsia="宋体" w:cs="宋体"/>
              <w:bCs/>
              <w:strike w:val="0"/>
              <w:dstrike w:val="0"/>
              <w:color w:val="auto"/>
              <w:spacing w:val="4"/>
              <w:sz w:val="21"/>
              <w:szCs w:val="28"/>
              <w:highlight w:val="none"/>
            </w:rPr>
            <w:t>评标组织</w:t>
          </w:r>
          <w:r>
            <w:rPr>
              <w:strike w:val="0"/>
              <w:dstrike w:val="0"/>
              <w:color w:val="auto"/>
              <w:sz w:val="21"/>
              <w:szCs w:val="21"/>
              <w:highlight w:val="none"/>
            </w:rPr>
            <w:tab/>
          </w:r>
          <w:r>
            <w:rPr>
              <w:strike w:val="0"/>
              <w:dstrike w:val="0"/>
              <w:color w:val="auto"/>
              <w:sz w:val="21"/>
              <w:szCs w:val="21"/>
              <w:highlight w:val="none"/>
            </w:rPr>
            <w:fldChar w:fldCharType="begin"/>
          </w:r>
          <w:r>
            <w:rPr>
              <w:strike w:val="0"/>
              <w:dstrike w:val="0"/>
              <w:color w:val="auto"/>
              <w:sz w:val="21"/>
              <w:szCs w:val="21"/>
              <w:highlight w:val="none"/>
            </w:rPr>
            <w:instrText xml:space="preserve"> PAGEREF _Toc20274 \h </w:instrText>
          </w:r>
          <w:r>
            <w:rPr>
              <w:strike w:val="0"/>
              <w:dstrike w:val="0"/>
              <w:color w:val="auto"/>
              <w:sz w:val="21"/>
              <w:szCs w:val="21"/>
              <w:highlight w:val="none"/>
            </w:rPr>
            <w:fldChar w:fldCharType="separate"/>
          </w:r>
          <w:r>
            <w:rPr>
              <w:strike w:val="0"/>
              <w:dstrike w:val="0"/>
              <w:color w:val="auto"/>
              <w:sz w:val="21"/>
              <w:szCs w:val="21"/>
              <w:highlight w:val="none"/>
            </w:rPr>
            <w:t>44</w:t>
          </w:r>
          <w:r>
            <w:rPr>
              <w:strike w:val="0"/>
              <w:dstrike w:val="0"/>
              <w:color w:val="auto"/>
              <w:sz w:val="21"/>
              <w:szCs w:val="21"/>
              <w:highlight w:val="none"/>
            </w:rPr>
            <w:fldChar w:fldCharType="end"/>
          </w:r>
          <w:r>
            <w:rPr>
              <w:strike w:val="0"/>
              <w:dstrike w:val="0"/>
              <w:color w:val="auto"/>
              <w:sz w:val="21"/>
              <w:szCs w:val="21"/>
              <w:highlight w:val="none"/>
            </w:rPr>
            <w:fldChar w:fldCharType="end"/>
          </w:r>
        </w:p>
        <w:p w14:paraId="0A1A98D1">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strike w:val="0"/>
              <w:dstrike w:val="0"/>
              <w:color w:val="auto"/>
              <w:sz w:val="21"/>
              <w:szCs w:val="21"/>
              <w:highlight w:val="none"/>
            </w:rPr>
          </w:pPr>
          <w:r>
            <w:rPr>
              <w:strike w:val="0"/>
              <w:dstrike w:val="0"/>
              <w:color w:val="auto"/>
              <w:sz w:val="21"/>
              <w:szCs w:val="21"/>
              <w:highlight w:val="none"/>
            </w:rPr>
            <w:fldChar w:fldCharType="begin"/>
          </w:r>
          <w:r>
            <w:rPr>
              <w:strike w:val="0"/>
              <w:dstrike w:val="0"/>
              <w:color w:val="auto"/>
              <w:sz w:val="21"/>
              <w:szCs w:val="21"/>
              <w:highlight w:val="none"/>
            </w:rPr>
            <w:instrText xml:space="preserve"> HYPERLINK \l _Toc11998 </w:instrText>
          </w:r>
          <w:r>
            <w:rPr>
              <w:strike w:val="0"/>
              <w:dstrike w:val="0"/>
              <w:color w:val="auto"/>
              <w:sz w:val="21"/>
              <w:szCs w:val="21"/>
              <w:highlight w:val="none"/>
            </w:rPr>
            <w:fldChar w:fldCharType="separate"/>
          </w:r>
          <w:r>
            <w:rPr>
              <w:rFonts w:ascii="Times New Roman" w:hAnsi="Times New Roman" w:eastAsia="Times New Roman" w:cs="Times New Roman"/>
              <w:bCs/>
              <w:strike w:val="0"/>
              <w:dstrike w:val="0"/>
              <w:color w:val="auto"/>
              <w:spacing w:val="5"/>
              <w:sz w:val="21"/>
              <w:szCs w:val="28"/>
              <w:highlight w:val="none"/>
            </w:rPr>
            <w:t xml:space="preserve">4  </w:t>
          </w:r>
          <w:r>
            <w:rPr>
              <w:rFonts w:ascii="宋体" w:hAnsi="宋体" w:eastAsia="宋体" w:cs="宋体"/>
              <w:bCs/>
              <w:strike w:val="0"/>
              <w:dstrike w:val="0"/>
              <w:color w:val="auto"/>
              <w:spacing w:val="5"/>
              <w:sz w:val="21"/>
              <w:szCs w:val="28"/>
              <w:highlight w:val="none"/>
            </w:rPr>
            <w:t>评标程序和内容</w:t>
          </w:r>
          <w:r>
            <w:rPr>
              <w:strike w:val="0"/>
              <w:dstrike w:val="0"/>
              <w:color w:val="auto"/>
              <w:sz w:val="21"/>
              <w:szCs w:val="21"/>
              <w:highlight w:val="none"/>
            </w:rPr>
            <w:tab/>
          </w:r>
          <w:r>
            <w:rPr>
              <w:strike w:val="0"/>
              <w:dstrike w:val="0"/>
              <w:color w:val="auto"/>
              <w:sz w:val="21"/>
              <w:szCs w:val="21"/>
              <w:highlight w:val="none"/>
            </w:rPr>
            <w:fldChar w:fldCharType="begin"/>
          </w:r>
          <w:r>
            <w:rPr>
              <w:strike w:val="0"/>
              <w:dstrike w:val="0"/>
              <w:color w:val="auto"/>
              <w:sz w:val="21"/>
              <w:szCs w:val="21"/>
              <w:highlight w:val="none"/>
            </w:rPr>
            <w:instrText xml:space="preserve"> PAGEREF _Toc11998 \h </w:instrText>
          </w:r>
          <w:r>
            <w:rPr>
              <w:strike w:val="0"/>
              <w:dstrike w:val="0"/>
              <w:color w:val="auto"/>
              <w:sz w:val="21"/>
              <w:szCs w:val="21"/>
              <w:highlight w:val="none"/>
            </w:rPr>
            <w:fldChar w:fldCharType="separate"/>
          </w:r>
          <w:r>
            <w:rPr>
              <w:strike w:val="0"/>
              <w:dstrike w:val="0"/>
              <w:color w:val="auto"/>
              <w:sz w:val="21"/>
              <w:szCs w:val="21"/>
              <w:highlight w:val="none"/>
            </w:rPr>
            <w:t>44</w:t>
          </w:r>
          <w:r>
            <w:rPr>
              <w:strike w:val="0"/>
              <w:dstrike w:val="0"/>
              <w:color w:val="auto"/>
              <w:sz w:val="21"/>
              <w:szCs w:val="21"/>
              <w:highlight w:val="none"/>
            </w:rPr>
            <w:fldChar w:fldCharType="end"/>
          </w:r>
          <w:r>
            <w:rPr>
              <w:strike w:val="0"/>
              <w:dstrike w:val="0"/>
              <w:color w:val="auto"/>
              <w:sz w:val="21"/>
              <w:szCs w:val="21"/>
              <w:highlight w:val="none"/>
            </w:rPr>
            <w:fldChar w:fldCharType="end"/>
          </w:r>
        </w:p>
        <w:p w14:paraId="08C7E158">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strike w:val="0"/>
              <w:dstrike w:val="0"/>
              <w:color w:val="auto"/>
              <w:sz w:val="21"/>
              <w:szCs w:val="21"/>
              <w:highlight w:val="none"/>
            </w:rPr>
          </w:pPr>
          <w:r>
            <w:rPr>
              <w:strike w:val="0"/>
              <w:dstrike w:val="0"/>
              <w:color w:val="auto"/>
              <w:sz w:val="21"/>
              <w:szCs w:val="21"/>
              <w:highlight w:val="none"/>
            </w:rPr>
            <w:fldChar w:fldCharType="begin"/>
          </w:r>
          <w:r>
            <w:rPr>
              <w:strike w:val="0"/>
              <w:dstrike w:val="0"/>
              <w:color w:val="auto"/>
              <w:sz w:val="21"/>
              <w:szCs w:val="21"/>
              <w:highlight w:val="none"/>
            </w:rPr>
            <w:instrText xml:space="preserve"> HYPERLINK \l _Toc17296 </w:instrText>
          </w:r>
          <w:r>
            <w:rPr>
              <w:strike w:val="0"/>
              <w:dstrike w:val="0"/>
              <w:color w:val="auto"/>
              <w:sz w:val="21"/>
              <w:szCs w:val="21"/>
              <w:highlight w:val="none"/>
            </w:rPr>
            <w:fldChar w:fldCharType="separate"/>
          </w:r>
          <w:r>
            <w:rPr>
              <w:rFonts w:ascii="Times New Roman" w:hAnsi="Times New Roman" w:eastAsia="Times New Roman" w:cs="Times New Roman"/>
              <w:bCs/>
              <w:strike w:val="0"/>
              <w:dstrike w:val="0"/>
              <w:color w:val="auto"/>
              <w:spacing w:val="-5"/>
              <w:sz w:val="21"/>
              <w:szCs w:val="28"/>
              <w:highlight w:val="none"/>
            </w:rPr>
            <w:t>1</w:t>
          </w:r>
          <w:r>
            <w:rPr>
              <w:rFonts w:ascii="Times New Roman" w:hAnsi="Times New Roman" w:eastAsia="Times New Roman" w:cs="Times New Roman"/>
              <w:bCs/>
              <w:strike w:val="0"/>
              <w:dstrike w:val="0"/>
              <w:color w:val="auto"/>
              <w:spacing w:val="10"/>
              <w:sz w:val="21"/>
              <w:szCs w:val="28"/>
              <w:highlight w:val="none"/>
            </w:rPr>
            <w:t xml:space="preserve">  </w:t>
          </w:r>
          <w:r>
            <w:rPr>
              <w:rFonts w:ascii="宋体" w:hAnsi="宋体" w:eastAsia="宋体" w:cs="宋体"/>
              <w:bCs/>
              <w:strike w:val="0"/>
              <w:dstrike w:val="0"/>
              <w:color w:val="auto"/>
              <w:spacing w:val="-5"/>
              <w:sz w:val="21"/>
              <w:szCs w:val="28"/>
              <w:highlight w:val="none"/>
            </w:rPr>
            <w:t>依据</w:t>
          </w:r>
          <w:r>
            <w:rPr>
              <w:strike w:val="0"/>
              <w:dstrike w:val="0"/>
              <w:color w:val="auto"/>
              <w:sz w:val="21"/>
              <w:szCs w:val="21"/>
              <w:highlight w:val="none"/>
            </w:rPr>
            <w:tab/>
          </w:r>
          <w:r>
            <w:rPr>
              <w:strike w:val="0"/>
              <w:dstrike w:val="0"/>
              <w:color w:val="auto"/>
              <w:sz w:val="21"/>
              <w:szCs w:val="21"/>
              <w:highlight w:val="none"/>
            </w:rPr>
            <w:fldChar w:fldCharType="begin"/>
          </w:r>
          <w:r>
            <w:rPr>
              <w:strike w:val="0"/>
              <w:dstrike w:val="0"/>
              <w:color w:val="auto"/>
              <w:sz w:val="21"/>
              <w:szCs w:val="21"/>
              <w:highlight w:val="none"/>
            </w:rPr>
            <w:instrText xml:space="preserve"> PAGEREF _Toc17296 \h </w:instrText>
          </w:r>
          <w:r>
            <w:rPr>
              <w:strike w:val="0"/>
              <w:dstrike w:val="0"/>
              <w:color w:val="auto"/>
              <w:sz w:val="21"/>
              <w:szCs w:val="21"/>
              <w:highlight w:val="none"/>
            </w:rPr>
            <w:fldChar w:fldCharType="separate"/>
          </w:r>
          <w:r>
            <w:rPr>
              <w:strike w:val="0"/>
              <w:dstrike w:val="0"/>
              <w:color w:val="auto"/>
              <w:sz w:val="21"/>
              <w:szCs w:val="21"/>
              <w:highlight w:val="none"/>
            </w:rPr>
            <w:t>94</w:t>
          </w:r>
          <w:r>
            <w:rPr>
              <w:strike w:val="0"/>
              <w:dstrike w:val="0"/>
              <w:color w:val="auto"/>
              <w:sz w:val="21"/>
              <w:szCs w:val="21"/>
              <w:highlight w:val="none"/>
            </w:rPr>
            <w:fldChar w:fldCharType="end"/>
          </w:r>
          <w:r>
            <w:rPr>
              <w:strike w:val="0"/>
              <w:dstrike w:val="0"/>
              <w:color w:val="auto"/>
              <w:sz w:val="21"/>
              <w:szCs w:val="21"/>
              <w:highlight w:val="none"/>
            </w:rPr>
            <w:fldChar w:fldCharType="end"/>
          </w:r>
        </w:p>
        <w:p w14:paraId="0E78FC3D">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strike w:val="0"/>
              <w:dstrike w:val="0"/>
              <w:color w:val="auto"/>
              <w:sz w:val="21"/>
              <w:szCs w:val="21"/>
              <w:highlight w:val="none"/>
            </w:rPr>
          </w:pPr>
          <w:r>
            <w:rPr>
              <w:strike w:val="0"/>
              <w:dstrike w:val="0"/>
              <w:color w:val="auto"/>
              <w:sz w:val="21"/>
              <w:szCs w:val="21"/>
              <w:highlight w:val="none"/>
            </w:rPr>
            <w:fldChar w:fldCharType="begin"/>
          </w:r>
          <w:r>
            <w:rPr>
              <w:strike w:val="0"/>
              <w:dstrike w:val="0"/>
              <w:color w:val="auto"/>
              <w:sz w:val="21"/>
              <w:szCs w:val="21"/>
              <w:highlight w:val="none"/>
            </w:rPr>
            <w:instrText xml:space="preserve"> HYPERLINK \l _Toc14983 </w:instrText>
          </w:r>
          <w:r>
            <w:rPr>
              <w:strike w:val="0"/>
              <w:dstrike w:val="0"/>
              <w:color w:val="auto"/>
              <w:sz w:val="21"/>
              <w:szCs w:val="21"/>
              <w:highlight w:val="none"/>
            </w:rPr>
            <w:fldChar w:fldCharType="separate"/>
          </w:r>
          <w:r>
            <w:rPr>
              <w:rFonts w:ascii="Times New Roman" w:hAnsi="Times New Roman" w:eastAsia="Times New Roman" w:cs="Times New Roman"/>
              <w:bCs/>
              <w:strike w:val="0"/>
              <w:dstrike w:val="0"/>
              <w:color w:val="auto"/>
              <w:spacing w:val="3"/>
              <w:sz w:val="21"/>
              <w:szCs w:val="28"/>
              <w:highlight w:val="none"/>
            </w:rPr>
            <w:t>2</w:t>
          </w:r>
          <w:r>
            <w:rPr>
              <w:rFonts w:ascii="Times New Roman" w:hAnsi="Times New Roman" w:eastAsia="Times New Roman" w:cs="Times New Roman"/>
              <w:bCs/>
              <w:strike w:val="0"/>
              <w:dstrike w:val="0"/>
              <w:color w:val="auto"/>
              <w:spacing w:val="9"/>
              <w:sz w:val="21"/>
              <w:szCs w:val="28"/>
              <w:highlight w:val="none"/>
            </w:rPr>
            <w:t xml:space="preserve">  </w:t>
          </w:r>
          <w:r>
            <w:rPr>
              <w:rFonts w:ascii="宋体" w:hAnsi="宋体" w:eastAsia="宋体" w:cs="宋体"/>
              <w:bCs/>
              <w:strike w:val="0"/>
              <w:dstrike w:val="0"/>
              <w:color w:val="auto"/>
              <w:spacing w:val="3"/>
              <w:sz w:val="21"/>
              <w:szCs w:val="28"/>
              <w:highlight w:val="none"/>
            </w:rPr>
            <w:t>评标原则</w:t>
          </w:r>
          <w:r>
            <w:rPr>
              <w:strike w:val="0"/>
              <w:dstrike w:val="0"/>
              <w:color w:val="auto"/>
              <w:sz w:val="21"/>
              <w:szCs w:val="21"/>
              <w:highlight w:val="none"/>
            </w:rPr>
            <w:tab/>
          </w:r>
          <w:r>
            <w:rPr>
              <w:strike w:val="0"/>
              <w:dstrike w:val="0"/>
              <w:color w:val="auto"/>
              <w:sz w:val="21"/>
              <w:szCs w:val="21"/>
              <w:highlight w:val="none"/>
            </w:rPr>
            <w:fldChar w:fldCharType="begin"/>
          </w:r>
          <w:r>
            <w:rPr>
              <w:strike w:val="0"/>
              <w:dstrike w:val="0"/>
              <w:color w:val="auto"/>
              <w:sz w:val="21"/>
              <w:szCs w:val="21"/>
              <w:highlight w:val="none"/>
            </w:rPr>
            <w:instrText xml:space="preserve"> PAGEREF _Toc14983 \h </w:instrText>
          </w:r>
          <w:r>
            <w:rPr>
              <w:strike w:val="0"/>
              <w:dstrike w:val="0"/>
              <w:color w:val="auto"/>
              <w:sz w:val="21"/>
              <w:szCs w:val="21"/>
              <w:highlight w:val="none"/>
            </w:rPr>
            <w:fldChar w:fldCharType="separate"/>
          </w:r>
          <w:r>
            <w:rPr>
              <w:strike w:val="0"/>
              <w:dstrike w:val="0"/>
              <w:color w:val="auto"/>
              <w:sz w:val="21"/>
              <w:szCs w:val="21"/>
              <w:highlight w:val="none"/>
            </w:rPr>
            <w:t>94</w:t>
          </w:r>
          <w:r>
            <w:rPr>
              <w:strike w:val="0"/>
              <w:dstrike w:val="0"/>
              <w:color w:val="auto"/>
              <w:sz w:val="21"/>
              <w:szCs w:val="21"/>
              <w:highlight w:val="none"/>
            </w:rPr>
            <w:fldChar w:fldCharType="end"/>
          </w:r>
          <w:r>
            <w:rPr>
              <w:strike w:val="0"/>
              <w:dstrike w:val="0"/>
              <w:color w:val="auto"/>
              <w:sz w:val="21"/>
              <w:szCs w:val="21"/>
              <w:highlight w:val="none"/>
            </w:rPr>
            <w:fldChar w:fldCharType="end"/>
          </w:r>
        </w:p>
        <w:p w14:paraId="26C68E5C">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strike w:val="0"/>
              <w:dstrike w:val="0"/>
              <w:color w:val="auto"/>
              <w:sz w:val="21"/>
              <w:szCs w:val="21"/>
              <w:highlight w:val="none"/>
            </w:rPr>
          </w:pPr>
          <w:r>
            <w:rPr>
              <w:strike w:val="0"/>
              <w:dstrike w:val="0"/>
              <w:color w:val="auto"/>
              <w:sz w:val="21"/>
              <w:szCs w:val="21"/>
              <w:highlight w:val="none"/>
            </w:rPr>
            <w:fldChar w:fldCharType="begin"/>
          </w:r>
          <w:r>
            <w:rPr>
              <w:strike w:val="0"/>
              <w:dstrike w:val="0"/>
              <w:color w:val="auto"/>
              <w:sz w:val="21"/>
              <w:szCs w:val="21"/>
              <w:highlight w:val="none"/>
            </w:rPr>
            <w:instrText xml:space="preserve"> HYPERLINK \l _Toc1517 </w:instrText>
          </w:r>
          <w:r>
            <w:rPr>
              <w:strike w:val="0"/>
              <w:dstrike w:val="0"/>
              <w:color w:val="auto"/>
              <w:sz w:val="21"/>
              <w:szCs w:val="21"/>
              <w:highlight w:val="none"/>
            </w:rPr>
            <w:fldChar w:fldCharType="separate"/>
          </w:r>
          <w:r>
            <w:rPr>
              <w:rFonts w:ascii="Times New Roman" w:hAnsi="Times New Roman" w:eastAsia="Times New Roman" w:cs="Times New Roman"/>
              <w:bCs/>
              <w:strike w:val="0"/>
              <w:dstrike w:val="0"/>
              <w:color w:val="auto"/>
              <w:spacing w:val="4"/>
              <w:sz w:val="21"/>
              <w:szCs w:val="28"/>
              <w:highlight w:val="none"/>
            </w:rPr>
            <w:t>3</w:t>
          </w:r>
          <w:r>
            <w:rPr>
              <w:rFonts w:ascii="Times New Roman" w:hAnsi="Times New Roman" w:eastAsia="Times New Roman" w:cs="Times New Roman"/>
              <w:bCs/>
              <w:strike w:val="0"/>
              <w:dstrike w:val="0"/>
              <w:color w:val="auto"/>
              <w:spacing w:val="7"/>
              <w:sz w:val="21"/>
              <w:szCs w:val="28"/>
              <w:highlight w:val="none"/>
            </w:rPr>
            <w:t xml:space="preserve">  </w:t>
          </w:r>
          <w:r>
            <w:rPr>
              <w:rFonts w:ascii="宋体" w:hAnsi="宋体" w:eastAsia="宋体" w:cs="宋体"/>
              <w:bCs/>
              <w:strike w:val="0"/>
              <w:dstrike w:val="0"/>
              <w:color w:val="auto"/>
              <w:spacing w:val="4"/>
              <w:sz w:val="21"/>
              <w:szCs w:val="28"/>
              <w:highlight w:val="none"/>
            </w:rPr>
            <w:t>评标组织</w:t>
          </w:r>
          <w:r>
            <w:rPr>
              <w:strike w:val="0"/>
              <w:dstrike w:val="0"/>
              <w:color w:val="auto"/>
              <w:sz w:val="21"/>
              <w:szCs w:val="21"/>
              <w:highlight w:val="none"/>
            </w:rPr>
            <w:tab/>
          </w:r>
          <w:r>
            <w:rPr>
              <w:strike w:val="0"/>
              <w:dstrike w:val="0"/>
              <w:color w:val="auto"/>
              <w:sz w:val="21"/>
              <w:szCs w:val="21"/>
              <w:highlight w:val="none"/>
            </w:rPr>
            <w:fldChar w:fldCharType="begin"/>
          </w:r>
          <w:r>
            <w:rPr>
              <w:strike w:val="0"/>
              <w:dstrike w:val="0"/>
              <w:color w:val="auto"/>
              <w:sz w:val="21"/>
              <w:szCs w:val="21"/>
              <w:highlight w:val="none"/>
            </w:rPr>
            <w:instrText xml:space="preserve"> PAGEREF _Toc1517 \h </w:instrText>
          </w:r>
          <w:r>
            <w:rPr>
              <w:strike w:val="0"/>
              <w:dstrike w:val="0"/>
              <w:color w:val="auto"/>
              <w:sz w:val="21"/>
              <w:szCs w:val="21"/>
              <w:highlight w:val="none"/>
            </w:rPr>
            <w:fldChar w:fldCharType="separate"/>
          </w:r>
          <w:r>
            <w:rPr>
              <w:strike w:val="0"/>
              <w:dstrike w:val="0"/>
              <w:color w:val="auto"/>
              <w:sz w:val="21"/>
              <w:szCs w:val="21"/>
              <w:highlight w:val="none"/>
            </w:rPr>
            <w:t>94</w:t>
          </w:r>
          <w:r>
            <w:rPr>
              <w:strike w:val="0"/>
              <w:dstrike w:val="0"/>
              <w:color w:val="auto"/>
              <w:sz w:val="21"/>
              <w:szCs w:val="21"/>
              <w:highlight w:val="none"/>
            </w:rPr>
            <w:fldChar w:fldCharType="end"/>
          </w:r>
          <w:r>
            <w:rPr>
              <w:strike w:val="0"/>
              <w:dstrike w:val="0"/>
              <w:color w:val="auto"/>
              <w:sz w:val="21"/>
              <w:szCs w:val="21"/>
              <w:highlight w:val="none"/>
            </w:rPr>
            <w:fldChar w:fldCharType="end"/>
          </w:r>
        </w:p>
        <w:p w14:paraId="75F0EE8B">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strike w:val="0"/>
              <w:dstrike w:val="0"/>
              <w:color w:val="auto"/>
              <w:sz w:val="21"/>
              <w:szCs w:val="21"/>
              <w:highlight w:val="none"/>
            </w:rPr>
            <w:fldChar w:fldCharType="begin"/>
          </w:r>
          <w:r>
            <w:rPr>
              <w:strike w:val="0"/>
              <w:dstrike w:val="0"/>
              <w:color w:val="auto"/>
              <w:sz w:val="21"/>
              <w:szCs w:val="21"/>
              <w:highlight w:val="none"/>
            </w:rPr>
            <w:instrText xml:space="preserve"> HYPERLINK \l _Toc25745 </w:instrText>
          </w:r>
          <w:r>
            <w:rPr>
              <w:strike w:val="0"/>
              <w:dstrike w:val="0"/>
              <w:color w:val="auto"/>
              <w:sz w:val="21"/>
              <w:szCs w:val="21"/>
              <w:highlight w:val="none"/>
            </w:rPr>
            <w:fldChar w:fldCharType="separate"/>
          </w:r>
          <w:r>
            <w:rPr>
              <w:rFonts w:ascii="Times New Roman" w:hAnsi="Times New Roman" w:eastAsia="Times New Roman" w:cs="Times New Roman"/>
              <w:bCs/>
              <w:strike w:val="0"/>
              <w:dstrike w:val="0"/>
              <w:color w:val="auto"/>
              <w:spacing w:val="5"/>
              <w:sz w:val="21"/>
              <w:szCs w:val="28"/>
              <w:highlight w:val="none"/>
            </w:rPr>
            <w:t xml:space="preserve">4  </w:t>
          </w:r>
          <w:r>
            <w:rPr>
              <w:rFonts w:ascii="宋体" w:hAnsi="宋体" w:eastAsia="宋体" w:cs="宋体"/>
              <w:bCs/>
              <w:strike w:val="0"/>
              <w:dstrike w:val="0"/>
              <w:color w:val="auto"/>
              <w:spacing w:val="5"/>
              <w:sz w:val="21"/>
              <w:szCs w:val="28"/>
              <w:highlight w:val="none"/>
            </w:rPr>
            <w:t>评标程序和内容</w:t>
          </w:r>
          <w:r>
            <w:rPr>
              <w:strike w:val="0"/>
              <w:dstrike w:val="0"/>
              <w:color w:val="auto"/>
              <w:sz w:val="21"/>
              <w:szCs w:val="21"/>
              <w:highlight w:val="none"/>
            </w:rPr>
            <w:tab/>
          </w:r>
          <w:r>
            <w:rPr>
              <w:strike w:val="0"/>
              <w:dstrike w:val="0"/>
              <w:color w:val="auto"/>
              <w:sz w:val="21"/>
              <w:szCs w:val="21"/>
              <w:highlight w:val="none"/>
            </w:rPr>
            <w:fldChar w:fldCharType="begin"/>
          </w:r>
          <w:r>
            <w:rPr>
              <w:strike w:val="0"/>
              <w:dstrike w:val="0"/>
              <w:color w:val="auto"/>
              <w:sz w:val="21"/>
              <w:szCs w:val="21"/>
              <w:highlight w:val="none"/>
            </w:rPr>
            <w:instrText xml:space="preserve"> PAGEREF _Toc25745 \h </w:instrText>
          </w:r>
          <w:r>
            <w:rPr>
              <w:strike w:val="0"/>
              <w:dstrike w:val="0"/>
              <w:color w:val="auto"/>
              <w:sz w:val="21"/>
              <w:szCs w:val="21"/>
              <w:highlight w:val="none"/>
            </w:rPr>
            <w:fldChar w:fldCharType="separate"/>
          </w:r>
          <w:r>
            <w:rPr>
              <w:strike w:val="0"/>
              <w:dstrike w:val="0"/>
              <w:color w:val="auto"/>
              <w:sz w:val="21"/>
              <w:szCs w:val="21"/>
              <w:highlight w:val="none"/>
            </w:rPr>
            <w:t>94</w:t>
          </w:r>
          <w:r>
            <w:rPr>
              <w:strike w:val="0"/>
              <w:dstrike w:val="0"/>
              <w:color w:val="auto"/>
              <w:sz w:val="21"/>
              <w:szCs w:val="21"/>
              <w:highlight w:val="none"/>
            </w:rPr>
            <w:fldChar w:fldCharType="end"/>
          </w:r>
          <w:r>
            <w:rPr>
              <w:strike w:val="0"/>
              <w:dstrike w:val="0"/>
              <w:color w:val="auto"/>
              <w:sz w:val="21"/>
              <w:szCs w:val="21"/>
              <w:highlight w:val="none"/>
            </w:rPr>
            <w:fldChar w:fldCharType="end"/>
          </w:r>
        </w:p>
        <w:p w14:paraId="091008C8">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_Toc20754 </w:instrText>
          </w:r>
          <w:r>
            <w:rPr>
              <w:color w:val="auto"/>
              <w:sz w:val="21"/>
              <w:szCs w:val="21"/>
              <w:highlight w:val="none"/>
            </w:rPr>
            <w:fldChar w:fldCharType="separate"/>
          </w:r>
          <w:r>
            <w:rPr>
              <w:rFonts w:ascii="宋体" w:hAnsi="宋体" w:eastAsia="宋体" w:cs="宋体"/>
              <w:bCs/>
              <w:color w:val="auto"/>
              <w:spacing w:val="-4"/>
              <w:sz w:val="21"/>
              <w:szCs w:val="40"/>
              <w:highlight w:val="none"/>
            </w:rPr>
            <w:t>第四章</w:t>
          </w:r>
          <w:r>
            <w:rPr>
              <w:rFonts w:ascii="宋体" w:hAnsi="宋体" w:eastAsia="宋体" w:cs="宋体"/>
              <w:color w:val="auto"/>
              <w:spacing w:val="-4"/>
              <w:sz w:val="21"/>
              <w:szCs w:val="40"/>
              <w:highlight w:val="none"/>
            </w:rPr>
            <w:t xml:space="preserve">  </w:t>
          </w:r>
          <w:r>
            <w:rPr>
              <w:rFonts w:ascii="宋体" w:hAnsi="宋体" w:eastAsia="宋体" w:cs="宋体"/>
              <w:bCs/>
              <w:color w:val="auto"/>
              <w:spacing w:val="-4"/>
              <w:sz w:val="21"/>
              <w:szCs w:val="40"/>
              <w:highlight w:val="none"/>
            </w:rPr>
            <w:t>合同条款及格式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_Toc20754 \h </w:instrText>
          </w:r>
          <w:r>
            <w:rPr>
              <w:color w:val="auto"/>
              <w:sz w:val="21"/>
              <w:szCs w:val="21"/>
              <w:highlight w:val="none"/>
            </w:rPr>
            <w:fldChar w:fldCharType="separate"/>
          </w:r>
          <w:r>
            <w:rPr>
              <w:color w:val="auto"/>
              <w:sz w:val="21"/>
              <w:szCs w:val="21"/>
              <w:highlight w:val="none"/>
            </w:rPr>
            <w:t>101</w:t>
          </w:r>
          <w:r>
            <w:rPr>
              <w:color w:val="auto"/>
              <w:sz w:val="21"/>
              <w:szCs w:val="21"/>
              <w:highlight w:val="none"/>
            </w:rPr>
            <w:fldChar w:fldCharType="end"/>
          </w:r>
          <w:r>
            <w:rPr>
              <w:color w:val="auto"/>
              <w:sz w:val="21"/>
              <w:szCs w:val="21"/>
              <w:highlight w:val="none"/>
            </w:rPr>
            <w:fldChar w:fldCharType="end"/>
          </w:r>
        </w:p>
        <w:p w14:paraId="7E8FD1C4">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_Toc20852 </w:instrText>
          </w:r>
          <w:r>
            <w:rPr>
              <w:color w:val="auto"/>
              <w:sz w:val="21"/>
              <w:szCs w:val="21"/>
              <w:highlight w:val="none"/>
            </w:rPr>
            <w:fldChar w:fldCharType="separate"/>
          </w:r>
          <w:r>
            <w:rPr>
              <w:rFonts w:ascii="宋体" w:hAnsi="宋体" w:eastAsia="宋体" w:cs="宋体"/>
              <w:bCs/>
              <w:color w:val="auto"/>
              <w:spacing w:val="-3"/>
              <w:sz w:val="21"/>
              <w:szCs w:val="36"/>
              <w:highlight w:val="none"/>
            </w:rPr>
            <w:t>第</w:t>
          </w:r>
          <w:r>
            <w:rPr>
              <w:rFonts w:ascii="Times New Roman" w:hAnsi="Times New Roman" w:eastAsia="Times New Roman" w:cs="Times New Roman"/>
              <w:bCs/>
              <w:color w:val="auto"/>
              <w:spacing w:val="-3"/>
              <w:sz w:val="21"/>
              <w:szCs w:val="36"/>
              <w:highlight w:val="none"/>
            </w:rPr>
            <w:t>1</w:t>
          </w:r>
          <w:r>
            <w:rPr>
              <w:rFonts w:ascii="宋体" w:hAnsi="宋体" w:eastAsia="宋体" w:cs="宋体"/>
              <w:bCs/>
              <w:color w:val="auto"/>
              <w:spacing w:val="-3"/>
              <w:sz w:val="21"/>
              <w:szCs w:val="36"/>
              <w:highlight w:val="none"/>
            </w:rPr>
            <w:t>节</w:t>
          </w:r>
          <w:r>
            <w:rPr>
              <w:rFonts w:ascii="宋体" w:hAnsi="宋体" w:eastAsia="宋体" w:cs="宋体"/>
              <w:color w:val="auto"/>
              <w:spacing w:val="-3"/>
              <w:sz w:val="21"/>
              <w:szCs w:val="36"/>
              <w:highlight w:val="none"/>
            </w:rPr>
            <w:t xml:space="preserve">  </w:t>
          </w:r>
          <w:r>
            <w:rPr>
              <w:rFonts w:ascii="宋体" w:hAnsi="宋体" w:eastAsia="宋体" w:cs="宋体"/>
              <w:bCs/>
              <w:color w:val="auto"/>
              <w:spacing w:val="-3"/>
              <w:sz w:val="21"/>
              <w:szCs w:val="36"/>
              <w:highlight w:val="none"/>
            </w:rPr>
            <w:t>通用合同条款</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_Toc20852 \h </w:instrText>
          </w:r>
          <w:r>
            <w:rPr>
              <w:color w:val="auto"/>
              <w:sz w:val="21"/>
              <w:szCs w:val="21"/>
              <w:highlight w:val="none"/>
            </w:rPr>
            <w:fldChar w:fldCharType="separate"/>
          </w:r>
          <w:r>
            <w:rPr>
              <w:color w:val="auto"/>
              <w:sz w:val="21"/>
              <w:szCs w:val="21"/>
              <w:highlight w:val="none"/>
            </w:rPr>
            <w:t>101</w:t>
          </w:r>
          <w:r>
            <w:rPr>
              <w:color w:val="auto"/>
              <w:sz w:val="21"/>
              <w:szCs w:val="21"/>
              <w:highlight w:val="none"/>
            </w:rPr>
            <w:fldChar w:fldCharType="end"/>
          </w:r>
          <w:r>
            <w:rPr>
              <w:color w:val="auto"/>
              <w:sz w:val="21"/>
              <w:szCs w:val="21"/>
              <w:highlight w:val="none"/>
            </w:rPr>
            <w:fldChar w:fldCharType="end"/>
          </w:r>
        </w:p>
        <w:p w14:paraId="56041FED">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_Toc8460 </w:instrText>
          </w:r>
          <w:r>
            <w:rPr>
              <w:color w:val="auto"/>
              <w:sz w:val="21"/>
              <w:szCs w:val="21"/>
              <w:highlight w:val="none"/>
            </w:rPr>
            <w:fldChar w:fldCharType="separate"/>
          </w:r>
          <w:r>
            <w:rPr>
              <w:rFonts w:ascii="宋体" w:hAnsi="宋体" w:eastAsia="宋体" w:cs="宋体"/>
              <w:bCs/>
              <w:color w:val="auto"/>
              <w:spacing w:val="-3"/>
              <w:sz w:val="21"/>
              <w:szCs w:val="36"/>
              <w:highlight w:val="none"/>
            </w:rPr>
            <w:t>第</w:t>
          </w:r>
          <w:r>
            <w:rPr>
              <w:rFonts w:ascii="Times New Roman" w:hAnsi="Times New Roman" w:eastAsia="Times New Roman" w:cs="Times New Roman"/>
              <w:bCs/>
              <w:color w:val="auto"/>
              <w:spacing w:val="-3"/>
              <w:sz w:val="21"/>
              <w:szCs w:val="36"/>
              <w:highlight w:val="none"/>
            </w:rPr>
            <w:t>2</w:t>
          </w:r>
          <w:r>
            <w:rPr>
              <w:rFonts w:ascii="宋体" w:hAnsi="宋体" w:eastAsia="宋体" w:cs="宋体"/>
              <w:bCs/>
              <w:color w:val="auto"/>
              <w:spacing w:val="-3"/>
              <w:sz w:val="21"/>
              <w:szCs w:val="36"/>
              <w:highlight w:val="none"/>
            </w:rPr>
            <w:t>节</w:t>
          </w:r>
          <w:r>
            <w:rPr>
              <w:rFonts w:ascii="宋体" w:hAnsi="宋体" w:eastAsia="宋体" w:cs="宋体"/>
              <w:color w:val="auto"/>
              <w:spacing w:val="-3"/>
              <w:sz w:val="21"/>
              <w:szCs w:val="36"/>
              <w:highlight w:val="none"/>
            </w:rPr>
            <w:t xml:space="preserve">  </w:t>
          </w:r>
          <w:r>
            <w:rPr>
              <w:rFonts w:ascii="宋体" w:hAnsi="宋体" w:eastAsia="宋体" w:cs="宋体"/>
              <w:bCs/>
              <w:color w:val="auto"/>
              <w:spacing w:val="-3"/>
              <w:sz w:val="21"/>
              <w:szCs w:val="36"/>
              <w:highlight w:val="none"/>
            </w:rPr>
            <w:t>专用合同条款</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_Toc8460 \h </w:instrText>
          </w:r>
          <w:r>
            <w:rPr>
              <w:color w:val="auto"/>
              <w:sz w:val="21"/>
              <w:szCs w:val="21"/>
              <w:highlight w:val="none"/>
            </w:rPr>
            <w:fldChar w:fldCharType="separate"/>
          </w:r>
          <w:r>
            <w:rPr>
              <w:color w:val="auto"/>
              <w:sz w:val="21"/>
              <w:szCs w:val="21"/>
              <w:highlight w:val="none"/>
            </w:rPr>
            <w:t>101</w:t>
          </w:r>
          <w:r>
            <w:rPr>
              <w:color w:val="auto"/>
              <w:sz w:val="21"/>
              <w:szCs w:val="21"/>
              <w:highlight w:val="none"/>
            </w:rPr>
            <w:fldChar w:fldCharType="end"/>
          </w:r>
          <w:r>
            <w:rPr>
              <w:color w:val="auto"/>
              <w:sz w:val="21"/>
              <w:szCs w:val="21"/>
              <w:highlight w:val="none"/>
            </w:rPr>
            <w:fldChar w:fldCharType="end"/>
          </w:r>
        </w:p>
        <w:p w14:paraId="7C202AFE">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_Toc6331 </w:instrText>
          </w:r>
          <w:r>
            <w:rPr>
              <w:color w:val="auto"/>
              <w:sz w:val="21"/>
              <w:szCs w:val="21"/>
              <w:highlight w:val="none"/>
            </w:rPr>
            <w:fldChar w:fldCharType="separate"/>
          </w:r>
          <w:r>
            <w:rPr>
              <w:rFonts w:ascii="Times New Roman" w:hAnsi="Times New Roman" w:eastAsia="Times New Roman" w:cs="Times New Roman"/>
              <w:bCs/>
              <w:color w:val="auto"/>
              <w:sz w:val="21"/>
              <w:szCs w:val="28"/>
              <w:highlight w:val="none"/>
            </w:rPr>
            <w:t>1</w:t>
          </w:r>
          <w:r>
            <w:rPr>
              <w:rFonts w:ascii="Times New Roman" w:hAnsi="Times New Roman" w:eastAsia="Times New Roman" w:cs="Times New Roman"/>
              <w:bCs/>
              <w:color w:val="auto"/>
              <w:spacing w:val="11"/>
              <w:sz w:val="21"/>
              <w:szCs w:val="28"/>
              <w:highlight w:val="none"/>
            </w:rPr>
            <w:t xml:space="preserve">  </w:t>
          </w:r>
          <w:r>
            <w:rPr>
              <w:rFonts w:ascii="宋体" w:hAnsi="宋体" w:eastAsia="宋体" w:cs="宋体"/>
              <w:bCs/>
              <w:color w:val="auto"/>
              <w:sz w:val="21"/>
              <w:szCs w:val="28"/>
              <w:highlight w:val="none"/>
            </w:rPr>
            <w:t>一般约定</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_Toc6331 \h </w:instrText>
          </w:r>
          <w:r>
            <w:rPr>
              <w:color w:val="auto"/>
              <w:sz w:val="21"/>
              <w:szCs w:val="21"/>
              <w:highlight w:val="none"/>
            </w:rPr>
            <w:fldChar w:fldCharType="separate"/>
          </w:r>
          <w:r>
            <w:rPr>
              <w:color w:val="auto"/>
              <w:sz w:val="21"/>
              <w:szCs w:val="21"/>
              <w:highlight w:val="none"/>
            </w:rPr>
            <w:t>101</w:t>
          </w:r>
          <w:r>
            <w:rPr>
              <w:color w:val="auto"/>
              <w:sz w:val="21"/>
              <w:szCs w:val="21"/>
              <w:highlight w:val="none"/>
            </w:rPr>
            <w:fldChar w:fldCharType="end"/>
          </w:r>
          <w:r>
            <w:rPr>
              <w:color w:val="auto"/>
              <w:sz w:val="21"/>
              <w:szCs w:val="21"/>
              <w:highlight w:val="none"/>
            </w:rPr>
            <w:fldChar w:fldCharType="end"/>
          </w:r>
        </w:p>
        <w:p w14:paraId="01717FF9">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_Toc13375 </w:instrText>
          </w:r>
          <w:r>
            <w:rPr>
              <w:color w:val="auto"/>
              <w:sz w:val="21"/>
              <w:szCs w:val="21"/>
              <w:highlight w:val="none"/>
            </w:rPr>
            <w:fldChar w:fldCharType="separate"/>
          </w:r>
          <w:r>
            <w:rPr>
              <w:rFonts w:ascii="Times New Roman" w:hAnsi="Times New Roman" w:eastAsia="Times New Roman" w:cs="Times New Roman"/>
              <w:bCs/>
              <w:color w:val="auto"/>
              <w:spacing w:val="3"/>
              <w:sz w:val="21"/>
              <w:szCs w:val="28"/>
              <w:highlight w:val="none"/>
            </w:rPr>
            <w:t>2</w:t>
          </w:r>
          <w:r>
            <w:rPr>
              <w:rFonts w:ascii="Times New Roman" w:hAnsi="Times New Roman" w:eastAsia="Times New Roman" w:cs="Times New Roman"/>
              <w:bCs/>
              <w:color w:val="auto"/>
              <w:spacing w:val="11"/>
              <w:sz w:val="21"/>
              <w:szCs w:val="28"/>
              <w:highlight w:val="none"/>
            </w:rPr>
            <w:t xml:space="preserve">  </w:t>
          </w:r>
          <w:r>
            <w:rPr>
              <w:rFonts w:ascii="宋体" w:hAnsi="宋体" w:eastAsia="宋体" w:cs="宋体"/>
              <w:bCs/>
              <w:color w:val="auto"/>
              <w:spacing w:val="3"/>
              <w:sz w:val="21"/>
              <w:szCs w:val="28"/>
              <w:highlight w:val="none"/>
            </w:rPr>
            <w:t>发包人义务</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_Toc13375 \h </w:instrText>
          </w:r>
          <w:r>
            <w:rPr>
              <w:color w:val="auto"/>
              <w:sz w:val="21"/>
              <w:szCs w:val="21"/>
              <w:highlight w:val="none"/>
            </w:rPr>
            <w:fldChar w:fldCharType="separate"/>
          </w:r>
          <w:r>
            <w:rPr>
              <w:color w:val="auto"/>
              <w:sz w:val="21"/>
              <w:szCs w:val="21"/>
              <w:highlight w:val="none"/>
            </w:rPr>
            <w:t>102</w:t>
          </w:r>
          <w:r>
            <w:rPr>
              <w:color w:val="auto"/>
              <w:sz w:val="21"/>
              <w:szCs w:val="21"/>
              <w:highlight w:val="none"/>
            </w:rPr>
            <w:fldChar w:fldCharType="end"/>
          </w:r>
          <w:r>
            <w:rPr>
              <w:color w:val="auto"/>
              <w:sz w:val="21"/>
              <w:szCs w:val="21"/>
              <w:highlight w:val="none"/>
            </w:rPr>
            <w:fldChar w:fldCharType="end"/>
          </w:r>
        </w:p>
        <w:p w14:paraId="0CA20436">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_Toc30764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3</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2"/>
              <w:sz w:val="21"/>
              <w:szCs w:val="28"/>
              <w:highlight w:val="none"/>
            </w:rPr>
            <w:t>监理人</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_Toc30764 \h </w:instrText>
          </w:r>
          <w:r>
            <w:rPr>
              <w:color w:val="auto"/>
              <w:sz w:val="21"/>
              <w:szCs w:val="21"/>
              <w:highlight w:val="none"/>
            </w:rPr>
            <w:fldChar w:fldCharType="separate"/>
          </w:r>
          <w:r>
            <w:rPr>
              <w:color w:val="auto"/>
              <w:sz w:val="21"/>
              <w:szCs w:val="21"/>
              <w:highlight w:val="none"/>
            </w:rPr>
            <w:t>103</w:t>
          </w:r>
          <w:r>
            <w:rPr>
              <w:color w:val="auto"/>
              <w:sz w:val="21"/>
              <w:szCs w:val="21"/>
              <w:highlight w:val="none"/>
            </w:rPr>
            <w:fldChar w:fldCharType="end"/>
          </w:r>
          <w:r>
            <w:rPr>
              <w:color w:val="auto"/>
              <w:sz w:val="21"/>
              <w:szCs w:val="21"/>
              <w:highlight w:val="none"/>
            </w:rPr>
            <w:fldChar w:fldCharType="end"/>
          </w:r>
        </w:p>
        <w:p w14:paraId="0052B8DB">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_Toc20071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4</w:t>
          </w:r>
          <w:r>
            <w:rPr>
              <w:rFonts w:ascii="Times New Roman" w:hAnsi="Times New Roman" w:eastAsia="Times New Roman" w:cs="Times New Roman"/>
              <w:bCs/>
              <w:color w:val="auto"/>
              <w:spacing w:val="8"/>
              <w:sz w:val="21"/>
              <w:szCs w:val="28"/>
              <w:highlight w:val="none"/>
            </w:rPr>
            <w:t xml:space="preserve">  </w:t>
          </w:r>
          <w:r>
            <w:rPr>
              <w:rFonts w:ascii="宋体" w:hAnsi="宋体" w:eastAsia="宋体" w:cs="宋体"/>
              <w:bCs/>
              <w:color w:val="auto"/>
              <w:spacing w:val="2"/>
              <w:sz w:val="21"/>
              <w:szCs w:val="28"/>
              <w:highlight w:val="none"/>
            </w:rPr>
            <w:t>承包人</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_Toc20071 \h </w:instrText>
          </w:r>
          <w:r>
            <w:rPr>
              <w:color w:val="auto"/>
              <w:sz w:val="21"/>
              <w:szCs w:val="21"/>
              <w:highlight w:val="none"/>
            </w:rPr>
            <w:fldChar w:fldCharType="separate"/>
          </w:r>
          <w:r>
            <w:rPr>
              <w:color w:val="auto"/>
              <w:sz w:val="21"/>
              <w:szCs w:val="21"/>
              <w:highlight w:val="none"/>
            </w:rPr>
            <w:t>103</w:t>
          </w:r>
          <w:r>
            <w:rPr>
              <w:color w:val="auto"/>
              <w:sz w:val="21"/>
              <w:szCs w:val="21"/>
              <w:highlight w:val="none"/>
            </w:rPr>
            <w:fldChar w:fldCharType="end"/>
          </w:r>
          <w:r>
            <w:rPr>
              <w:color w:val="auto"/>
              <w:sz w:val="21"/>
              <w:szCs w:val="21"/>
              <w:highlight w:val="none"/>
            </w:rPr>
            <w:fldChar w:fldCharType="end"/>
          </w:r>
        </w:p>
        <w:p w14:paraId="5F3CB05E">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_Toc30053 </w:instrText>
          </w:r>
          <w:r>
            <w:rPr>
              <w:color w:val="auto"/>
              <w:sz w:val="21"/>
              <w:szCs w:val="21"/>
              <w:highlight w:val="none"/>
            </w:rPr>
            <w:fldChar w:fldCharType="separate"/>
          </w:r>
          <w:r>
            <w:rPr>
              <w:rFonts w:ascii="Times New Roman" w:hAnsi="Times New Roman" w:eastAsia="Times New Roman" w:cs="Times New Roman"/>
              <w:bCs/>
              <w:color w:val="auto"/>
              <w:spacing w:val="5"/>
              <w:sz w:val="21"/>
              <w:szCs w:val="28"/>
              <w:highlight w:val="none"/>
            </w:rPr>
            <w:t xml:space="preserve">5  </w:t>
          </w:r>
          <w:r>
            <w:rPr>
              <w:rFonts w:ascii="宋体" w:hAnsi="宋体" w:eastAsia="宋体" w:cs="宋体"/>
              <w:bCs/>
              <w:color w:val="auto"/>
              <w:spacing w:val="5"/>
              <w:sz w:val="21"/>
              <w:szCs w:val="28"/>
              <w:highlight w:val="none"/>
            </w:rPr>
            <w:t>材料和工程设备</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_Toc30053 \h </w:instrText>
          </w:r>
          <w:r>
            <w:rPr>
              <w:color w:val="auto"/>
              <w:sz w:val="21"/>
              <w:szCs w:val="21"/>
              <w:highlight w:val="none"/>
            </w:rPr>
            <w:fldChar w:fldCharType="separate"/>
          </w:r>
          <w:r>
            <w:rPr>
              <w:color w:val="auto"/>
              <w:sz w:val="21"/>
              <w:szCs w:val="21"/>
              <w:highlight w:val="none"/>
            </w:rPr>
            <w:t>108</w:t>
          </w:r>
          <w:r>
            <w:rPr>
              <w:color w:val="auto"/>
              <w:sz w:val="21"/>
              <w:szCs w:val="21"/>
              <w:highlight w:val="none"/>
            </w:rPr>
            <w:fldChar w:fldCharType="end"/>
          </w:r>
          <w:r>
            <w:rPr>
              <w:color w:val="auto"/>
              <w:sz w:val="21"/>
              <w:szCs w:val="21"/>
              <w:highlight w:val="none"/>
            </w:rPr>
            <w:fldChar w:fldCharType="end"/>
          </w:r>
        </w:p>
        <w:p w14:paraId="0A45477C">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_Toc5197 </w:instrText>
          </w:r>
          <w:r>
            <w:rPr>
              <w:color w:val="auto"/>
              <w:sz w:val="21"/>
              <w:szCs w:val="21"/>
              <w:highlight w:val="none"/>
            </w:rPr>
            <w:fldChar w:fldCharType="separate"/>
          </w:r>
          <w:r>
            <w:rPr>
              <w:rFonts w:ascii="Times New Roman" w:hAnsi="Times New Roman" w:eastAsia="Times New Roman" w:cs="Times New Roman"/>
              <w:bCs/>
              <w:color w:val="auto"/>
              <w:spacing w:val="6"/>
              <w:sz w:val="21"/>
              <w:szCs w:val="28"/>
              <w:highlight w:val="none"/>
            </w:rPr>
            <w:t xml:space="preserve">6  </w:t>
          </w:r>
          <w:r>
            <w:rPr>
              <w:rFonts w:ascii="宋体" w:hAnsi="宋体" w:eastAsia="宋体" w:cs="宋体"/>
              <w:bCs/>
              <w:color w:val="auto"/>
              <w:spacing w:val="6"/>
              <w:sz w:val="21"/>
              <w:szCs w:val="28"/>
              <w:highlight w:val="none"/>
            </w:rPr>
            <w:t>施工设备和临时设施</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_Toc5197 \h </w:instrText>
          </w:r>
          <w:r>
            <w:rPr>
              <w:color w:val="auto"/>
              <w:sz w:val="21"/>
              <w:szCs w:val="21"/>
              <w:highlight w:val="none"/>
            </w:rPr>
            <w:fldChar w:fldCharType="separate"/>
          </w:r>
          <w:r>
            <w:rPr>
              <w:color w:val="auto"/>
              <w:sz w:val="21"/>
              <w:szCs w:val="21"/>
              <w:highlight w:val="none"/>
            </w:rPr>
            <w:t>108</w:t>
          </w:r>
          <w:r>
            <w:rPr>
              <w:color w:val="auto"/>
              <w:sz w:val="21"/>
              <w:szCs w:val="21"/>
              <w:highlight w:val="none"/>
            </w:rPr>
            <w:fldChar w:fldCharType="end"/>
          </w:r>
          <w:r>
            <w:rPr>
              <w:color w:val="auto"/>
              <w:sz w:val="21"/>
              <w:szCs w:val="21"/>
              <w:highlight w:val="none"/>
            </w:rPr>
            <w:fldChar w:fldCharType="end"/>
          </w:r>
        </w:p>
        <w:p w14:paraId="45E97A8B">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_Toc2334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7</w:t>
          </w:r>
          <w:r>
            <w:rPr>
              <w:rFonts w:ascii="Times New Roman" w:hAnsi="Times New Roman" w:eastAsia="Times New Roman" w:cs="Times New Roman"/>
              <w:bCs/>
              <w:color w:val="auto"/>
              <w:spacing w:val="12"/>
              <w:sz w:val="21"/>
              <w:szCs w:val="28"/>
              <w:highlight w:val="none"/>
            </w:rPr>
            <w:t xml:space="preserve">  </w:t>
          </w:r>
          <w:r>
            <w:rPr>
              <w:rFonts w:ascii="宋体" w:hAnsi="宋体" w:eastAsia="宋体" w:cs="宋体"/>
              <w:bCs/>
              <w:color w:val="auto"/>
              <w:spacing w:val="1"/>
              <w:sz w:val="21"/>
              <w:szCs w:val="28"/>
              <w:highlight w:val="none"/>
            </w:rPr>
            <w:t>交通运输</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_Toc2334 \h </w:instrText>
          </w:r>
          <w:r>
            <w:rPr>
              <w:color w:val="auto"/>
              <w:sz w:val="21"/>
              <w:szCs w:val="21"/>
              <w:highlight w:val="none"/>
            </w:rPr>
            <w:fldChar w:fldCharType="separate"/>
          </w:r>
          <w:r>
            <w:rPr>
              <w:color w:val="auto"/>
              <w:sz w:val="21"/>
              <w:szCs w:val="21"/>
              <w:highlight w:val="none"/>
            </w:rPr>
            <w:t>109</w:t>
          </w:r>
          <w:r>
            <w:rPr>
              <w:color w:val="auto"/>
              <w:sz w:val="21"/>
              <w:szCs w:val="21"/>
              <w:highlight w:val="none"/>
            </w:rPr>
            <w:fldChar w:fldCharType="end"/>
          </w:r>
          <w:r>
            <w:rPr>
              <w:color w:val="auto"/>
              <w:sz w:val="21"/>
              <w:szCs w:val="21"/>
              <w:highlight w:val="none"/>
            </w:rPr>
            <w:fldChar w:fldCharType="end"/>
          </w:r>
        </w:p>
        <w:p w14:paraId="6C92FFD2">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_Toc20090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8</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2"/>
              <w:sz w:val="21"/>
              <w:szCs w:val="28"/>
              <w:highlight w:val="none"/>
            </w:rPr>
            <w:t>测量放线</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_Toc20090 \h </w:instrText>
          </w:r>
          <w:r>
            <w:rPr>
              <w:color w:val="auto"/>
              <w:sz w:val="21"/>
              <w:szCs w:val="21"/>
              <w:highlight w:val="none"/>
            </w:rPr>
            <w:fldChar w:fldCharType="separate"/>
          </w:r>
          <w:r>
            <w:rPr>
              <w:color w:val="auto"/>
              <w:sz w:val="21"/>
              <w:szCs w:val="21"/>
              <w:highlight w:val="none"/>
            </w:rPr>
            <w:t>109</w:t>
          </w:r>
          <w:r>
            <w:rPr>
              <w:color w:val="auto"/>
              <w:sz w:val="21"/>
              <w:szCs w:val="21"/>
              <w:highlight w:val="none"/>
            </w:rPr>
            <w:fldChar w:fldCharType="end"/>
          </w:r>
          <w:r>
            <w:rPr>
              <w:color w:val="auto"/>
              <w:sz w:val="21"/>
              <w:szCs w:val="21"/>
              <w:highlight w:val="none"/>
            </w:rPr>
            <w:fldChar w:fldCharType="end"/>
          </w:r>
        </w:p>
        <w:p w14:paraId="0A0C49DA">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_Toc2478 </w:instrText>
          </w:r>
          <w:r>
            <w:rPr>
              <w:color w:val="auto"/>
              <w:sz w:val="21"/>
              <w:szCs w:val="21"/>
              <w:highlight w:val="none"/>
            </w:rPr>
            <w:fldChar w:fldCharType="separate"/>
          </w:r>
          <w:r>
            <w:rPr>
              <w:rFonts w:ascii="Times New Roman" w:hAnsi="Times New Roman" w:eastAsia="Times New Roman" w:cs="Times New Roman"/>
              <w:bCs/>
              <w:color w:val="auto"/>
              <w:spacing w:val="6"/>
              <w:sz w:val="21"/>
              <w:szCs w:val="28"/>
              <w:highlight w:val="none"/>
            </w:rPr>
            <w:t xml:space="preserve">9  </w:t>
          </w:r>
          <w:r>
            <w:rPr>
              <w:rFonts w:ascii="宋体" w:hAnsi="宋体" w:eastAsia="宋体" w:cs="宋体"/>
              <w:bCs/>
              <w:color w:val="auto"/>
              <w:spacing w:val="6"/>
              <w:sz w:val="21"/>
              <w:szCs w:val="28"/>
              <w:highlight w:val="none"/>
            </w:rPr>
            <w:t>施工安全、治安保卫和环境保护</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_Toc2478 \h </w:instrText>
          </w:r>
          <w:r>
            <w:rPr>
              <w:color w:val="auto"/>
              <w:sz w:val="21"/>
              <w:szCs w:val="21"/>
              <w:highlight w:val="none"/>
            </w:rPr>
            <w:fldChar w:fldCharType="separate"/>
          </w:r>
          <w:r>
            <w:rPr>
              <w:color w:val="auto"/>
              <w:sz w:val="21"/>
              <w:szCs w:val="21"/>
              <w:highlight w:val="none"/>
            </w:rPr>
            <w:t>110</w:t>
          </w:r>
          <w:r>
            <w:rPr>
              <w:color w:val="auto"/>
              <w:sz w:val="21"/>
              <w:szCs w:val="21"/>
              <w:highlight w:val="none"/>
            </w:rPr>
            <w:fldChar w:fldCharType="end"/>
          </w:r>
          <w:r>
            <w:rPr>
              <w:color w:val="auto"/>
              <w:sz w:val="21"/>
              <w:szCs w:val="21"/>
              <w:highlight w:val="none"/>
            </w:rPr>
            <w:fldChar w:fldCharType="end"/>
          </w:r>
        </w:p>
        <w:p w14:paraId="785EAAF0">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_Toc4654 </w:instrText>
          </w:r>
          <w:r>
            <w:rPr>
              <w:color w:val="auto"/>
              <w:sz w:val="21"/>
              <w:szCs w:val="21"/>
              <w:highlight w:val="none"/>
            </w:rPr>
            <w:fldChar w:fldCharType="separate"/>
          </w:r>
          <w:r>
            <w:rPr>
              <w:rFonts w:ascii="Times New Roman" w:hAnsi="Times New Roman" w:eastAsia="Times New Roman" w:cs="Times New Roman"/>
              <w:bCs/>
              <w:color w:val="auto"/>
              <w:spacing w:val="4"/>
              <w:sz w:val="21"/>
              <w:szCs w:val="28"/>
              <w:highlight w:val="none"/>
            </w:rPr>
            <w:t xml:space="preserve">11  </w:t>
          </w:r>
          <w:r>
            <w:rPr>
              <w:rFonts w:ascii="宋体" w:hAnsi="宋体" w:eastAsia="宋体" w:cs="宋体"/>
              <w:bCs/>
              <w:color w:val="auto"/>
              <w:spacing w:val="4"/>
              <w:sz w:val="21"/>
              <w:szCs w:val="28"/>
              <w:highlight w:val="none"/>
            </w:rPr>
            <w:t>开工和完工</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_Toc4654 \h </w:instrText>
          </w:r>
          <w:r>
            <w:rPr>
              <w:color w:val="auto"/>
              <w:sz w:val="21"/>
              <w:szCs w:val="21"/>
              <w:highlight w:val="none"/>
            </w:rPr>
            <w:fldChar w:fldCharType="separate"/>
          </w:r>
          <w:r>
            <w:rPr>
              <w:color w:val="auto"/>
              <w:sz w:val="21"/>
              <w:szCs w:val="21"/>
              <w:highlight w:val="none"/>
            </w:rPr>
            <w:t>111</w:t>
          </w:r>
          <w:r>
            <w:rPr>
              <w:color w:val="auto"/>
              <w:sz w:val="21"/>
              <w:szCs w:val="21"/>
              <w:highlight w:val="none"/>
            </w:rPr>
            <w:fldChar w:fldCharType="end"/>
          </w:r>
          <w:r>
            <w:rPr>
              <w:color w:val="auto"/>
              <w:sz w:val="21"/>
              <w:szCs w:val="21"/>
              <w:highlight w:val="none"/>
            </w:rPr>
            <w:fldChar w:fldCharType="end"/>
          </w:r>
        </w:p>
        <w:p w14:paraId="31733333">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_Toc30342 </w:instrText>
          </w:r>
          <w:r>
            <w:rPr>
              <w:color w:val="auto"/>
              <w:sz w:val="21"/>
              <w:szCs w:val="21"/>
              <w:highlight w:val="none"/>
            </w:rPr>
            <w:fldChar w:fldCharType="separate"/>
          </w:r>
          <w:r>
            <w:rPr>
              <w:rFonts w:ascii="Times New Roman" w:hAnsi="Times New Roman" w:eastAsia="Times New Roman" w:cs="Times New Roman"/>
              <w:bCs/>
              <w:color w:val="auto"/>
              <w:sz w:val="21"/>
              <w:szCs w:val="28"/>
              <w:highlight w:val="none"/>
            </w:rPr>
            <w:t>12</w:t>
          </w:r>
          <w:r>
            <w:rPr>
              <w:rFonts w:ascii="Times New Roman" w:hAnsi="Times New Roman" w:eastAsia="Times New Roman" w:cs="Times New Roman"/>
              <w:bCs/>
              <w:color w:val="auto"/>
              <w:spacing w:val="13"/>
              <w:sz w:val="21"/>
              <w:szCs w:val="28"/>
              <w:highlight w:val="none"/>
            </w:rPr>
            <w:t xml:space="preserve">  </w:t>
          </w:r>
          <w:r>
            <w:rPr>
              <w:rFonts w:ascii="宋体" w:hAnsi="宋体" w:eastAsia="宋体" w:cs="宋体"/>
              <w:bCs/>
              <w:color w:val="auto"/>
              <w:sz w:val="21"/>
              <w:szCs w:val="28"/>
              <w:highlight w:val="none"/>
            </w:rPr>
            <w:t>暂停施工</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_Toc30342 \h </w:instrText>
          </w:r>
          <w:r>
            <w:rPr>
              <w:color w:val="auto"/>
              <w:sz w:val="21"/>
              <w:szCs w:val="21"/>
              <w:highlight w:val="none"/>
            </w:rPr>
            <w:fldChar w:fldCharType="separate"/>
          </w:r>
          <w:r>
            <w:rPr>
              <w:color w:val="auto"/>
              <w:sz w:val="21"/>
              <w:szCs w:val="21"/>
              <w:highlight w:val="none"/>
            </w:rPr>
            <w:t>111</w:t>
          </w:r>
          <w:r>
            <w:rPr>
              <w:color w:val="auto"/>
              <w:sz w:val="21"/>
              <w:szCs w:val="21"/>
              <w:highlight w:val="none"/>
            </w:rPr>
            <w:fldChar w:fldCharType="end"/>
          </w:r>
          <w:r>
            <w:rPr>
              <w:color w:val="auto"/>
              <w:sz w:val="21"/>
              <w:szCs w:val="21"/>
              <w:highlight w:val="none"/>
            </w:rPr>
            <w:fldChar w:fldCharType="end"/>
          </w:r>
        </w:p>
        <w:p w14:paraId="7A11B240">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_Toc2917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13</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1"/>
              <w:sz w:val="21"/>
              <w:szCs w:val="28"/>
              <w:highlight w:val="none"/>
            </w:rPr>
            <w:t>工程质量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_Toc2917 \h </w:instrText>
          </w:r>
          <w:r>
            <w:rPr>
              <w:color w:val="auto"/>
              <w:sz w:val="21"/>
              <w:szCs w:val="21"/>
              <w:highlight w:val="none"/>
            </w:rPr>
            <w:fldChar w:fldCharType="separate"/>
          </w:r>
          <w:r>
            <w:rPr>
              <w:color w:val="auto"/>
              <w:sz w:val="21"/>
              <w:szCs w:val="21"/>
              <w:highlight w:val="none"/>
            </w:rPr>
            <w:t>112</w:t>
          </w:r>
          <w:r>
            <w:rPr>
              <w:color w:val="auto"/>
              <w:sz w:val="21"/>
              <w:szCs w:val="21"/>
              <w:highlight w:val="none"/>
            </w:rPr>
            <w:fldChar w:fldCharType="end"/>
          </w:r>
          <w:r>
            <w:rPr>
              <w:color w:val="auto"/>
              <w:sz w:val="21"/>
              <w:szCs w:val="21"/>
              <w:highlight w:val="none"/>
            </w:rPr>
            <w:fldChar w:fldCharType="end"/>
          </w:r>
        </w:p>
        <w:p w14:paraId="489803F3">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_Toc5312 </w:instrText>
          </w:r>
          <w:r>
            <w:rPr>
              <w:color w:val="auto"/>
              <w:sz w:val="21"/>
              <w:szCs w:val="21"/>
              <w:highlight w:val="none"/>
            </w:rPr>
            <w:fldChar w:fldCharType="separate"/>
          </w:r>
          <w:r>
            <w:rPr>
              <w:rFonts w:ascii="Times New Roman" w:hAnsi="Times New Roman" w:eastAsia="Times New Roman" w:cs="Times New Roman"/>
              <w:bCs/>
              <w:color w:val="auto"/>
              <w:spacing w:val="4"/>
              <w:sz w:val="21"/>
              <w:szCs w:val="28"/>
              <w:highlight w:val="none"/>
            </w:rPr>
            <w:t xml:space="preserve">14  </w:t>
          </w:r>
          <w:r>
            <w:rPr>
              <w:rFonts w:ascii="宋体" w:hAnsi="宋体" w:eastAsia="宋体" w:cs="宋体"/>
              <w:bCs/>
              <w:color w:val="auto"/>
              <w:spacing w:val="4"/>
              <w:sz w:val="21"/>
              <w:szCs w:val="28"/>
              <w:highlight w:val="none"/>
            </w:rPr>
            <w:t>试验和检验</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_Toc5312 \h </w:instrText>
          </w:r>
          <w:r>
            <w:rPr>
              <w:color w:val="auto"/>
              <w:sz w:val="21"/>
              <w:szCs w:val="21"/>
              <w:highlight w:val="none"/>
            </w:rPr>
            <w:fldChar w:fldCharType="separate"/>
          </w:r>
          <w:r>
            <w:rPr>
              <w:color w:val="auto"/>
              <w:sz w:val="21"/>
              <w:szCs w:val="21"/>
              <w:highlight w:val="none"/>
            </w:rPr>
            <w:t>112</w:t>
          </w:r>
          <w:r>
            <w:rPr>
              <w:color w:val="auto"/>
              <w:sz w:val="21"/>
              <w:szCs w:val="21"/>
              <w:highlight w:val="none"/>
            </w:rPr>
            <w:fldChar w:fldCharType="end"/>
          </w:r>
          <w:r>
            <w:rPr>
              <w:color w:val="auto"/>
              <w:sz w:val="21"/>
              <w:szCs w:val="21"/>
              <w:highlight w:val="none"/>
            </w:rPr>
            <w:fldChar w:fldCharType="end"/>
          </w:r>
        </w:p>
        <w:p w14:paraId="47835FA5">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_Toc14260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15</w:t>
          </w:r>
          <w:r>
            <w:rPr>
              <w:rFonts w:ascii="Times New Roman" w:hAnsi="Times New Roman" w:eastAsia="Times New Roman" w:cs="Times New Roman"/>
              <w:bCs/>
              <w:color w:val="auto"/>
              <w:spacing w:val="9"/>
              <w:sz w:val="21"/>
              <w:szCs w:val="28"/>
              <w:highlight w:val="none"/>
            </w:rPr>
            <w:t xml:space="preserve">  </w:t>
          </w:r>
          <w:r>
            <w:rPr>
              <w:rFonts w:ascii="宋体" w:hAnsi="宋体" w:eastAsia="宋体" w:cs="宋体"/>
              <w:bCs/>
              <w:color w:val="auto"/>
              <w:spacing w:val="-2"/>
              <w:sz w:val="21"/>
              <w:szCs w:val="28"/>
              <w:highlight w:val="none"/>
            </w:rPr>
            <w:t>变更</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_Toc14260 \h </w:instrText>
          </w:r>
          <w:r>
            <w:rPr>
              <w:color w:val="auto"/>
              <w:sz w:val="21"/>
              <w:szCs w:val="21"/>
              <w:highlight w:val="none"/>
            </w:rPr>
            <w:fldChar w:fldCharType="separate"/>
          </w:r>
          <w:r>
            <w:rPr>
              <w:color w:val="auto"/>
              <w:sz w:val="21"/>
              <w:szCs w:val="21"/>
              <w:highlight w:val="none"/>
            </w:rPr>
            <w:t>112</w:t>
          </w:r>
          <w:r>
            <w:rPr>
              <w:color w:val="auto"/>
              <w:sz w:val="21"/>
              <w:szCs w:val="21"/>
              <w:highlight w:val="none"/>
            </w:rPr>
            <w:fldChar w:fldCharType="end"/>
          </w:r>
          <w:r>
            <w:rPr>
              <w:color w:val="auto"/>
              <w:sz w:val="21"/>
              <w:szCs w:val="21"/>
              <w:highlight w:val="none"/>
            </w:rPr>
            <w:fldChar w:fldCharType="end"/>
          </w:r>
        </w:p>
        <w:p w14:paraId="69C90F41">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_Toc3321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16</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1"/>
              <w:sz w:val="21"/>
              <w:szCs w:val="28"/>
              <w:highlight w:val="none"/>
            </w:rPr>
            <w:t>价格调整</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_Toc3321 \h </w:instrText>
          </w:r>
          <w:r>
            <w:rPr>
              <w:color w:val="auto"/>
              <w:sz w:val="21"/>
              <w:szCs w:val="21"/>
              <w:highlight w:val="none"/>
            </w:rPr>
            <w:fldChar w:fldCharType="separate"/>
          </w:r>
          <w:r>
            <w:rPr>
              <w:color w:val="auto"/>
              <w:sz w:val="21"/>
              <w:szCs w:val="21"/>
              <w:highlight w:val="none"/>
            </w:rPr>
            <w:t>113</w:t>
          </w:r>
          <w:r>
            <w:rPr>
              <w:color w:val="auto"/>
              <w:sz w:val="21"/>
              <w:szCs w:val="21"/>
              <w:highlight w:val="none"/>
            </w:rPr>
            <w:fldChar w:fldCharType="end"/>
          </w:r>
          <w:r>
            <w:rPr>
              <w:color w:val="auto"/>
              <w:sz w:val="21"/>
              <w:szCs w:val="21"/>
              <w:highlight w:val="none"/>
            </w:rPr>
            <w:fldChar w:fldCharType="end"/>
          </w:r>
        </w:p>
        <w:p w14:paraId="74339FE4">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_Toc8504 </w:instrText>
          </w:r>
          <w:r>
            <w:rPr>
              <w:color w:val="auto"/>
              <w:sz w:val="21"/>
              <w:szCs w:val="21"/>
              <w:highlight w:val="none"/>
            </w:rPr>
            <w:fldChar w:fldCharType="separate"/>
          </w:r>
          <w:r>
            <w:rPr>
              <w:rFonts w:ascii="Times New Roman" w:hAnsi="Times New Roman" w:eastAsia="Times New Roman" w:cs="Times New Roman"/>
              <w:bCs/>
              <w:color w:val="auto"/>
              <w:spacing w:val="4"/>
              <w:sz w:val="21"/>
              <w:szCs w:val="28"/>
              <w:highlight w:val="none"/>
            </w:rPr>
            <w:t xml:space="preserve">17  </w:t>
          </w:r>
          <w:r>
            <w:rPr>
              <w:rFonts w:ascii="宋体" w:hAnsi="宋体" w:eastAsia="宋体" w:cs="宋体"/>
              <w:bCs/>
              <w:color w:val="auto"/>
              <w:spacing w:val="4"/>
              <w:sz w:val="21"/>
              <w:szCs w:val="28"/>
              <w:highlight w:val="none"/>
            </w:rPr>
            <w:t>计量与支付</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_Toc8504 \h </w:instrText>
          </w:r>
          <w:r>
            <w:rPr>
              <w:color w:val="auto"/>
              <w:sz w:val="21"/>
              <w:szCs w:val="21"/>
              <w:highlight w:val="none"/>
            </w:rPr>
            <w:fldChar w:fldCharType="separate"/>
          </w:r>
          <w:r>
            <w:rPr>
              <w:color w:val="auto"/>
              <w:sz w:val="21"/>
              <w:szCs w:val="21"/>
              <w:highlight w:val="none"/>
            </w:rPr>
            <w:t>114</w:t>
          </w:r>
          <w:r>
            <w:rPr>
              <w:color w:val="auto"/>
              <w:sz w:val="21"/>
              <w:szCs w:val="21"/>
              <w:highlight w:val="none"/>
            </w:rPr>
            <w:fldChar w:fldCharType="end"/>
          </w:r>
          <w:r>
            <w:rPr>
              <w:color w:val="auto"/>
              <w:sz w:val="21"/>
              <w:szCs w:val="21"/>
              <w:highlight w:val="none"/>
            </w:rPr>
            <w:fldChar w:fldCharType="end"/>
          </w:r>
        </w:p>
        <w:p w14:paraId="29BFA2E2">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_Toc32004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18</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1"/>
              <w:sz w:val="21"/>
              <w:szCs w:val="28"/>
              <w:highlight w:val="none"/>
            </w:rPr>
            <w:t>工程验收</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_Toc32004 \h </w:instrText>
          </w:r>
          <w:r>
            <w:rPr>
              <w:color w:val="auto"/>
              <w:sz w:val="21"/>
              <w:szCs w:val="21"/>
              <w:highlight w:val="none"/>
            </w:rPr>
            <w:fldChar w:fldCharType="separate"/>
          </w:r>
          <w:r>
            <w:rPr>
              <w:color w:val="auto"/>
              <w:sz w:val="21"/>
              <w:szCs w:val="21"/>
              <w:highlight w:val="none"/>
            </w:rPr>
            <w:t>116</w:t>
          </w:r>
          <w:r>
            <w:rPr>
              <w:color w:val="auto"/>
              <w:sz w:val="21"/>
              <w:szCs w:val="21"/>
              <w:highlight w:val="none"/>
            </w:rPr>
            <w:fldChar w:fldCharType="end"/>
          </w:r>
          <w:r>
            <w:rPr>
              <w:color w:val="auto"/>
              <w:sz w:val="21"/>
              <w:szCs w:val="21"/>
              <w:highlight w:val="none"/>
            </w:rPr>
            <w:fldChar w:fldCharType="end"/>
          </w:r>
        </w:p>
        <w:p w14:paraId="13B70D62">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_Toc25081 </w:instrText>
          </w:r>
          <w:r>
            <w:rPr>
              <w:color w:val="auto"/>
              <w:sz w:val="21"/>
              <w:szCs w:val="21"/>
              <w:highlight w:val="none"/>
            </w:rPr>
            <w:fldChar w:fldCharType="separate"/>
          </w:r>
          <w:r>
            <w:rPr>
              <w:rFonts w:ascii="Times New Roman" w:hAnsi="Times New Roman" w:eastAsia="Times New Roman" w:cs="Times New Roman"/>
              <w:bCs/>
              <w:color w:val="auto"/>
              <w:spacing w:val="5"/>
              <w:sz w:val="21"/>
              <w:szCs w:val="28"/>
              <w:highlight w:val="none"/>
            </w:rPr>
            <w:t xml:space="preserve">19  </w:t>
          </w:r>
          <w:r>
            <w:rPr>
              <w:rFonts w:ascii="宋体" w:hAnsi="宋体" w:eastAsia="宋体" w:cs="宋体"/>
              <w:bCs/>
              <w:color w:val="auto"/>
              <w:spacing w:val="5"/>
              <w:sz w:val="21"/>
              <w:szCs w:val="28"/>
              <w:highlight w:val="none"/>
            </w:rPr>
            <w:t>缺陷责任与保修责任</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_Toc25081 \h </w:instrText>
          </w:r>
          <w:r>
            <w:rPr>
              <w:color w:val="auto"/>
              <w:sz w:val="21"/>
              <w:szCs w:val="21"/>
              <w:highlight w:val="none"/>
            </w:rPr>
            <w:fldChar w:fldCharType="separate"/>
          </w:r>
          <w:r>
            <w:rPr>
              <w:color w:val="auto"/>
              <w:sz w:val="21"/>
              <w:szCs w:val="21"/>
              <w:highlight w:val="none"/>
            </w:rPr>
            <w:t>117</w:t>
          </w:r>
          <w:r>
            <w:rPr>
              <w:color w:val="auto"/>
              <w:sz w:val="21"/>
              <w:szCs w:val="21"/>
              <w:highlight w:val="none"/>
            </w:rPr>
            <w:fldChar w:fldCharType="end"/>
          </w:r>
          <w:r>
            <w:rPr>
              <w:color w:val="auto"/>
              <w:sz w:val="21"/>
              <w:szCs w:val="21"/>
              <w:highlight w:val="none"/>
            </w:rPr>
            <w:fldChar w:fldCharType="end"/>
          </w:r>
        </w:p>
        <w:p w14:paraId="4A23E302">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_Toc17470 </w:instrText>
          </w:r>
          <w:r>
            <w:rPr>
              <w:color w:val="auto"/>
              <w:sz w:val="21"/>
              <w:szCs w:val="21"/>
              <w:highlight w:val="none"/>
            </w:rPr>
            <w:fldChar w:fldCharType="separate"/>
          </w:r>
          <w:r>
            <w:rPr>
              <w:rFonts w:ascii="Times New Roman" w:hAnsi="Times New Roman" w:eastAsia="Times New Roman" w:cs="Times New Roman"/>
              <w:bCs/>
              <w:color w:val="auto"/>
              <w:spacing w:val="1"/>
              <w:sz w:val="21"/>
              <w:szCs w:val="28"/>
              <w:highlight w:val="none"/>
            </w:rPr>
            <w:t>20</w:t>
          </w:r>
          <w:r>
            <w:rPr>
              <w:rFonts w:ascii="Times New Roman" w:hAnsi="Times New Roman" w:eastAsia="Times New Roman" w:cs="Times New Roman"/>
              <w:bCs/>
              <w:color w:val="auto"/>
              <w:spacing w:val="9"/>
              <w:sz w:val="21"/>
              <w:szCs w:val="28"/>
              <w:highlight w:val="none"/>
            </w:rPr>
            <w:t xml:space="preserve">  </w:t>
          </w:r>
          <w:r>
            <w:rPr>
              <w:rFonts w:ascii="宋体" w:hAnsi="宋体" w:eastAsia="宋体" w:cs="宋体"/>
              <w:bCs/>
              <w:color w:val="auto"/>
              <w:spacing w:val="1"/>
              <w:sz w:val="21"/>
              <w:szCs w:val="28"/>
              <w:highlight w:val="none"/>
            </w:rPr>
            <w:t>保险</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_Toc17470 \h </w:instrText>
          </w:r>
          <w:r>
            <w:rPr>
              <w:color w:val="auto"/>
              <w:sz w:val="21"/>
              <w:szCs w:val="21"/>
              <w:highlight w:val="none"/>
            </w:rPr>
            <w:fldChar w:fldCharType="separate"/>
          </w:r>
          <w:r>
            <w:rPr>
              <w:color w:val="auto"/>
              <w:sz w:val="21"/>
              <w:szCs w:val="21"/>
              <w:highlight w:val="none"/>
            </w:rPr>
            <w:t>117</w:t>
          </w:r>
          <w:r>
            <w:rPr>
              <w:color w:val="auto"/>
              <w:sz w:val="21"/>
              <w:szCs w:val="21"/>
              <w:highlight w:val="none"/>
            </w:rPr>
            <w:fldChar w:fldCharType="end"/>
          </w:r>
          <w:r>
            <w:rPr>
              <w:color w:val="auto"/>
              <w:sz w:val="21"/>
              <w:szCs w:val="21"/>
              <w:highlight w:val="none"/>
            </w:rPr>
            <w:fldChar w:fldCharType="end"/>
          </w:r>
        </w:p>
        <w:p w14:paraId="6274D1D3">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_Toc15214 </w:instrText>
          </w:r>
          <w:r>
            <w:rPr>
              <w:color w:val="auto"/>
              <w:sz w:val="21"/>
              <w:szCs w:val="21"/>
              <w:highlight w:val="none"/>
            </w:rPr>
            <w:fldChar w:fldCharType="separate"/>
          </w:r>
          <w:r>
            <w:rPr>
              <w:rFonts w:ascii="Times New Roman" w:hAnsi="Times New Roman" w:eastAsia="Times New Roman" w:cs="Times New Roman"/>
              <w:bCs/>
              <w:color w:val="auto"/>
              <w:spacing w:val="3"/>
              <w:sz w:val="21"/>
              <w:szCs w:val="28"/>
              <w:highlight w:val="none"/>
            </w:rPr>
            <w:t>24</w:t>
          </w:r>
          <w:r>
            <w:rPr>
              <w:rFonts w:ascii="Times New Roman" w:hAnsi="Times New Roman" w:eastAsia="Times New Roman" w:cs="Times New Roman"/>
              <w:bCs/>
              <w:color w:val="auto"/>
              <w:spacing w:val="13"/>
              <w:sz w:val="21"/>
              <w:szCs w:val="28"/>
              <w:highlight w:val="none"/>
            </w:rPr>
            <w:t xml:space="preserve">  </w:t>
          </w:r>
          <w:r>
            <w:rPr>
              <w:rFonts w:ascii="宋体" w:hAnsi="宋体" w:eastAsia="宋体" w:cs="宋体"/>
              <w:bCs/>
              <w:color w:val="auto"/>
              <w:spacing w:val="3"/>
              <w:sz w:val="21"/>
              <w:szCs w:val="28"/>
              <w:highlight w:val="none"/>
            </w:rPr>
            <w:t>争议的解决</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_Toc15214 \h </w:instrText>
          </w:r>
          <w:r>
            <w:rPr>
              <w:color w:val="auto"/>
              <w:sz w:val="21"/>
              <w:szCs w:val="21"/>
              <w:highlight w:val="none"/>
            </w:rPr>
            <w:fldChar w:fldCharType="separate"/>
          </w:r>
          <w:r>
            <w:rPr>
              <w:color w:val="auto"/>
              <w:sz w:val="21"/>
              <w:szCs w:val="21"/>
              <w:highlight w:val="none"/>
            </w:rPr>
            <w:t>117</w:t>
          </w:r>
          <w:r>
            <w:rPr>
              <w:color w:val="auto"/>
              <w:sz w:val="21"/>
              <w:szCs w:val="21"/>
              <w:highlight w:val="none"/>
            </w:rPr>
            <w:fldChar w:fldCharType="end"/>
          </w:r>
          <w:r>
            <w:rPr>
              <w:color w:val="auto"/>
              <w:sz w:val="21"/>
              <w:szCs w:val="21"/>
              <w:highlight w:val="none"/>
            </w:rPr>
            <w:fldChar w:fldCharType="end"/>
          </w:r>
        </w:p>
        <w:p w14:paraId="1BA3FF96">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_Toc18322 </w:instrText>
          </w:r>
          <w:r>
            <w:rPr>
              <w:color w:val="auto"/>
              <w:sz w:val="21"/>
              <w:szCs w:val="21"/>
              <w:highlight w:val="none"/>
            </w:rPr>
            <w:fldChar w:fldCharType="separate"/>
          </w:r>
          <w:r>
            <w:rPr>
              <w:rFonts w:ascii="宋体" w:hAnsi="宋体" w:eastAsia="宋体" w:cs="宋体"/>
              <w:bCs/>
              <w:color w:val="auto"/>
              <w:spacing w:val="-3"/>
              <w:sz w:val="21"/>
              <w:szCs w:val="36"/>
              <w:highlight w:val="none"/>
            </w:rPr>
            <w:t>第</w:t>
          </w:r>
          <w:r>
            <w:rPr>
              <w:rFonts w:ascii="Times New Roman" w:hAnsi="Times New Roman" w:eastAsia="Times New Roman" w:cs="Times New Roman"/>
              <w:bCs/>
              <w:color w:val="auto"/>
              <w:spacing w:val="-3"/>
              <w:sz w:val="21"/>
              <w:szCs w:val="36"/>
              <w:highlight w:val="none"/>
            </w:rPr>
            <w:t>3</w:t>
          </w:r>
          <w:r>
            <w:rPr>
              <w:rFonts w:ascii="宋体" w:hAnsi="宋体" w:eastAsia="宋体" w:cs="宋体"/>
              <w:bCs/>
              <w:color w:val="auto"/>
              <w:spacing w:val="-3"/>
              <w:sz w:val="21"/>
              <w:szCs w:val="36"/>
              <w:highlight w:val="none"/>
            </w:rPr>
            <w:t>节</w:t>
          </w:r>
          <w:r>
            <w:rPr>
              <w:rFonts w:ascii="宋体" w:hAnsi="宋体" w:eastAsia="宋体" w:cs="宋体"/>
              <w:color w:val="auto"/>
              <w:spacing w:val="-3"/>
              <w:sz w:val="21"/>
              <w:szCs w:val="36"/>
              <w:highlight w:val="none"/>
            </w:rPr>
            <w:t xml:space="preserve">  </w:t>
          </w:r>
          <w:r>
            <w:rPr>
              <w:rFonts w:ascii="宋体" w:hAnsi="宋体" w:eastAsia="宋体" w:cs="宋体"/>
              <w:bCs/>
              <w:color w:val="auto"/>
              <w:spacing w:val="-3"/>
              <w:sz w:val="21"/>
              <w:szCs w:val="36"/>
              <w:highlight w:val="none"/>
            </w:rPr>
            <w:t>合同附件格式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_Toc18322 \h </w:instrText>
          </w:r>
          <w:r>
            <w:rPr>
              <w:color w:val="auto"/>
              <w:sz w:val="21"/>
              <w:szCs w:val="21"/>
              <w:highlight w:val="none"/>
            </w:rPr>
            <w:fldChar w:fldCharType="separate"/>
          </w:r>
          <w:r>
            <w:rPr>
              <w:color w:val="auto"/>
              <w:sz w:val="21"/>
              <w:szCs w:val="21"/>
              <w:highlight w:val="none"/>
            </w:rPr>
            <w:t>119</w:t>
          </w:r>
          <w:r>
            <w:rPr>
              <w:color w:val="auto"/>
              <w:sz w:val="21"/>
              <w:szCs w:val="21"/>
              <w:highlight w:val="none"/>
            </w:rPr>
            <w:fldChar w:fldCharType="end"/>
          </w:r>
          <w:r>
            <w:rPr>
              <w:color w:val="auto"/>
              <w:sz w:val="21"/>
              <w:szCs w:val="21"/>
              <w:highlight w:val="none"/>
            </w:rPr>
            <w:fldChar w:fldCharType="end"/>
          </w:r>
        </w:p>
        <w:p w14:paraId="37063408">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_Toc11006 </w:instrText>
          </w:r>
          <w:r>
            <w:rPr>
              <w:color w:val="auto"/>
              <w:sz w:val="21"/>
              <w:szCs w:val="21"/>
              <w:highlight w:val="none"/>
            </w:rPr>
            <w:fldChar w:fldCharType="separate"/>
          </w:r>
          <w:r>
            <w:rPr>
              <w:rFonts w:ascii="宋体" w:hAnsi="宋体" w:eastAsia="宋体" w:cs="宋体"/>
              <w:bCs/>
              <w:color w:val="auto"/>
              <w:spacing w:val="4"/>
              <w:sz w:val="21"/>
              <w:szCs w:val="28"/>
              <w:highlight w:val="none"/>
            </w:rPr>
            <w:t>附件一</w:t>
          </w:r>
          <w:r>
            <w:rPr>
              <w:rFonts w:ascii="宋体" w:hAnsi="宋体" w:eastAsia="宋体" w:cs="宋体"/>
              <w:color w:val="auto"/>
              <w:spacing w:val="4"/>
              <w:sz w:val="21"/>
              <w:szCs w:val="28"/>
              <w:highlight w:val="none"/>
            </w:rPr>
            <w:t xml:space="preserve">  </w:t>
          </w:r>
          <w:r>
            <w:rPr>
              <w:rFonts w:ascii="宋体" w:hAnsi="宋体" w:eastAsia="宋体" w:cs="宋体"/>
              <w:bCs/>
              <w:color w:val="auto"/>
              <w:spacing w:val="4"/>
              <w:sz w:val="21"/>
              <w:szCs w:val="28"/>
              <w:highlight w:val="none"/>
            </w:rPr>
            <w:t>合同协议书</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_Toc11006 \h </w:instrText>
          </w:r>
          <w:r>
            <w:rPr>
              <w:color w:val="auto"/>
              <w:sz w:val="21"/>
              <w:szCs w:val="21"/>
              <w:highlight w:val="none"/>
            </w:rPr>
            <w:fldChar w:fldCharType="separate"/>
          </w:r>
          <w:r>
            <w:rPr>
              <w:color w:val="auto"/>
              <w:sz w:val="21"/>
              <w:szCs w:val="21"/>
              <w:highlight w:val="none"/>
            </w:rPr>
            <w:t>119</w:t>
          </w:r>
          <w:r>
            <w:rPr>
              <w:color w:val="auto"/>
              <w:sz w:val="21"/>
              <w:szCs w:val="21"/>
              <w:highlight w:val="none"/>
            </w:rPr>
            <w:fldChar w:fldCharType="end"/>
          </w:r>
          <w:r>
            <w:rPr>
              <w:color w:val="auto"/>
              <w:sz w:val="21"/>
              <w:szCs w:val="21"/>
              <w:highlight w:val="none"/>
            </w:rPr>
            <w:fldChar w:fldCharType="end"/>
          </w:r>
        </w:p>
        <w:p w14:paraId="246D0956">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_Toc4704 </w:instrText>
          </w:r>
          <w:r>
            <w:rPr>
              <w:color w:val="auto"/>
              <w:sz w:val="21"/>
              <w:szCs w:val="21"/>
              <w:highlight w:val="none"/>
            </w:rPr>
            <w:fldChar w:fldCharType="separate"/>
          </w:r>
          <w:r>
            <w:rPr>
              <w:rFonts w:ascii="宋体" w:hAnsi="宋体" w:eastAsia="宋体" w:cs="宋体"/>
              <w:bCs/>
              <w:color w:val="auto"/>
              <w:spacing w:val="3"/>
              <w:sz w:val="21"/>
              <w:szCs w:val="28"/>
              <w:highlight w:val="none"/>
            </w:rPr>
            <w:t>附件二</w:t>
          </w:r>
          <w:r>
            <w:rPr>
              <w:rFonts w:ascii="宋体" w:hAnsi="宋体" w:eastAsia="宋体" w:cs="宋体"/>
              <w:color w:val="auto"/>
              <w:spacing w:val="3"/>
              <w:sz w:val="21"/>
              <w:szCs w:val="28"/>
              <w:highlight w:val="none"/>
            </w:rPr>
            <w:t xml:space="preserve">  </w:t>
          </w:r>
          <w:r>
            <w:rPr>
              <w:rFonts w:ascii="宋体" w:hAnsi="宋体" w:eastAsia="宋体" w:cs="宋体"/>
              <w:bCs/>
              <w:color w:val="auto"/>
              <w:spacing w:val="3"/>
              <w:sz w:val="21"/>
              <w:szCs w:val="28"/>
              <w:highlight w:val="none"/>
            </w:rPr>
            <w:t>履约担保（格式）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_Toc4704 \h </w:instrText>
          </w:r>
          <w:r>
            <w:rPr>
              <w:color w:val="auto"/>
              <w:sz w:val="21"/>
              <w:szCs w:val="21"/>
              <w:highlight w:val="none"/>
            </w:rPr>
            <w:fldChar w:fldCharType="separate"/>
          </w:r>
          <w:r>
            <w:rPr>
              <w:color w:val="auto"/>
              <w:sz w:val="21"/>
              <w:szCs w:val="21"/>
              <w:highlight w:val="none"/>
            </w:rPr>
            <w:t>120</w:t>
          </w:r>
          <w:r>
            <w:rPr>
              <w:color w:val="auto"/>
              <w:sz w:val="21"/>
              <w:szCs w:val="21"/>
              <w:highlight w:val="none"/>
            </w:rPr>
            <w:fldChar w:fldCharType="end"/>
          </w:r>
          <w:r>
            <w:rPr>
              <w:color w:val="auto"/>
              <w:sz w:val="21"/>
              <w:szCs w:val="21"/>
              <w:highlight w:val="none"/>
            </w:rPr>
            <w:fldChar w:fldCharType="end"/>
          </w:r>
        </w:p>
        <w:p w14:paraId="30A69B4E">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_Toc27575 </w:instrText>
          </w:r>
          <w:r>
            <w:rPr>
              <w:color w:val="auto"/>
              <w:sz w:val="21"/>
              <w:szCs w:val="21"/>
              <w:highlight w:val="none"/>
            </w:rPr>
            <w:fldChar w:fldCharType="separate"/>
          </w:r>
          <w:r>
            <w:rPr>
              <w:rFonts w:ascii="宋体" w:hAnsi="宋体" w:eastAsia="宋体" w:cs="宋体"/>
              <w:bCs/>
              <w:color w:val="auto"/>
              <w:spacing w:val="4"/>
              <w:sz w:val="21"/>
              <w:szCs w:val="28"/>
              <w:highlight w:val="none"/>
            </w:rPr>
            <w:t>附件三</w:t>
          </w:r>
          <w:r>
            <w:rPr>
              <w:rFonts w:ascii="宋体" w:hAnsi="宋体" w:eastAsia="宋体" w:cs="宋体"/>
              <w:color w:val="auto"/>
              <w:spacing w:val="4"/>
              <w:sz w:val="21"/>
              <w:szCs w:val="28"/>
              <w:highlight w:val="none"/>
            </w:rPr>
            <w:t xml:space="preserve">  </w:t>
          </w:r>
          <w:r>
            <w:rPr>
              <w:rFonts w:ascii="宋体" w:hAnsi="宋体" w:eastAsia="宋体" w:cs="宋体"/>
              <w:bCs/>
              <w:color w:val="auto"/>
              <w:spacing w:val="4"/>
              <w:sz w:val="21"/>
              <w:szCs w:val="28"/>
              <w:highlight w:val="none"/>
            </w:rPr>
            <w:t>工程廉政责任书（格式）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_Toc27575 \h </w:instrText>
          </w:r>
          <w:r>
            <w:rPr>
              <w:color w:val="auto"/>
              <w:sz w:val="21"/>
              <w:szCs w:val="21"/>
              <w:highlight w:val="none"/>
            </w:rPr>
            <w:fldChar w:fldCharType="separate"/>
          </w:r>
          <w:r>
            <w:rPr>
              <w:color w:val="auto"/>
              <w:sz w:val="21"/>
              <w:szCs w:val="21"/>
              <w:highlight w:val="none"/>
            </w:rPr>
            <w:t>121</w:t>
          </w:r>
          <w:r>
            <w:rPr>
              <w:color w:val="auto"/>
              <w:sz w:val="21"/>
              <w:szCs w:val="21"/>
              <w:highlight w:val="none"/>
            </w:rPr>
            <w:fldChar w:fldCharType="end"/>
          </w:r>
          <w:r>
            <w:rPr>
              <w:color w:val="auto"/>
              <w:sz w:val="21"/>
              <w:szCs w:val="21"/>
              <w:highlight w:val="none"/>
            </w:rPr>
            <w:fldChar w:fldCharType="end"/>
          </w:r>
        </w:p>
        <w:p w14:paraId="3CDBA88F">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_Toc9196 </w:instrText>
          </w:r>
          <w:r>
            <w:rPr>
              <w:color w:val="auto"/>
              <w:sz w:val="21"/>
              <w:szCs w:val="21"/>
              <w:highlight w:val="none"/>
            </w:rPr>
            <w:fldChar w:fldCharType="separate"/>
          </w:r>
          <w:r>
            <w:rPr>
              <w:rFonts w:ascii="宋体" w:hAnsi="宋体" w:eastAsia="宋体" w:cs="宋体"/>
              <w:bCs/>
              <w:color w:val="auto"/>
              <w:spacing w:val="4"/>
              <w:sz w:val="21"/>
              <w:szCs w:val="28"/>
              <w:highlight w:val="none"/>
            </w:rPr>
            <w:t>附件四</w:t>
          </w:r>
          <w:r>
            <w:rPr>
              <w:rFonts w:ascii="宋体" w:hAnsi="宋体" w:eastAsia="宋体" w:cs="宋体"/>
              <w:color w:val="auto"/>
              <w:spacing w:val="4"/>
              <w:sz w:val="21"/>
              <w:szCs w:val="28"/>
              <w:highlight w:val="none"/>
            </w:rPr>
            <w:t xml:space="preserve">  </w:t>
          </w:r>
          <w:r>
            <w:rPr>
              <w:rFonts w:ascii="宋体" w:hAnsi="宋体" w:eastAsia="宋体" w:cs="宋体"/>
              <w:bCs/>
              <w:color w:val="auto"/>
              <w:spacing w:val="4"/>
              <w:sz w:val="21"/>
              <w:szCs w:val="28"/>
              <w:highlight w:val="none"/>
            </w:rPr>
            <w:t>安全生产协议书（格式）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_Toc9196 \h </w:instrText>
          </w:r>
          <w:r>
            <w:rPr>
              <w:color w:val="auto"/>
              <w:sz w:val="21"/>
              <w:szCs w:val="21"/>
              <w:highlight w:val="none"/>
            </w:rPr>
            <w:fldChar w:fldCharType="separate"/>
          </w:r>
          <w:r>
            <w:rPr>
              <w:color w:val="auto"/>
              <w:sz w:val="21"/>
              <w:szCs w:val="21"/>
              <w:highlight w:val="none"/>
            </w:rPr>
            <w:t>123</w:t>
          </w:r>
          <w:r>
            <w:rPr>
              <w:color w:val="auto"/>
              <w:sz w:val="21"/>
              <w:szCs w:val="21"/>
              <w:highlight w:val="none"/>
            </w:rPr>
            <w:fldChar w:fldCharType="end"/>
          </w:r>
          <w:r>
            <w:rPr>
              <w:color w:val="auto"/>
              <w:sz w:val="21"/>
              <w:szCs w:val="21"/>
              <w:highlight w:val="none"/>
            </w:rPr>
            <w:fldChar w:fldCharType="end"/>
          </w:r>
        </w:p>
        <w:p w14:paraId="1F5027D4">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_Toc5778 </w:instrText>
          </w:r>
          <w:r>
            <w:rPr>
              <w:color w:val="auto"/>
              <w:sz w:val="21"/>
              <w:szCs w:val="21"/>
              <w:highlight w:val="none"/>
            </w:rPr>
            <w:fldChar w:fldCharType="separate"/>
          </w:r>
          <w:r>
            <w:rPr>
              <w:rFonts w:ascii="宋体" w:hAnsi="宋体" w:eastAsia="宋体" w:cs="宋体"/>
              <w:bCs/>
              <w:color w:val="auto"/>
              <w:spacing w:val="-4"/>
              <w:sz w:val="21"/>
              <w:szCs w:val="40"/>
              <w:highlight w:val="none"/>
            </w:rPr>
            <w:t>第五章</w:t>
          </w:r>
          <w:r>
            <w:rPr>
              <w:rFonts w:ascii="宋体" w:hAnsi="宋体" w:eastAsia="宋体" w:cs="宋体"/>
              <w:color w:val="auto"/>
              <w:spacing w:val="-4"/>
              <w:sz w:val="21"/>
              <w:szCs w:val="40"/>
              <w:highlight w:val="none"/>
            </w:rPr>
            <w:t xml:space="preserve"> </w:t>
          </w:r>
          <w:r>
            <w:rPr>
              <w:rFonts w:ascii="宋体" w:hAnsi="宋体" w:eastAsia="宋体" w:cs="宋体"/>
              <w:bCs/>
              <w:color w:val="auto"/>
              <w:spacing w:val="-4"/>
              <w:sz w:val="21"/>
              <w:szCs w:val="40"/>
              <w:highlight w:val="none"/>
            </w:rPr>
            <w:t>工程量清单</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_Toc5778 \h </w:instrText>
          </w:r>
          <w:r>
            <w:rPr>
              <w:color w:val="auto"/>
              <w:sz w:val="21"/>
              <w:szCs w:val="21"/>
              <w:highlight w:val="none"/>
            </w:rPr>
            <w:fldChar w:fldCharType="separate"/>
          </w:r>
          <w:r>
            <w:rPr>
              <w:color w:val="auto"/>
              <w:sz w:val="21"/>
              <w:szCs w:val="21"/>
              <w:highlight w:val="none"/>
            </w:rPr>
            <w:t>125</w:t>
          </w:r>
          <w:r>
            <w:rPr>
              <w:color w:val="auto"/>
              <w:sz w:val="21"/>
              <w:szCs w:val="21"/>
              <w:highlight w:val="none"/>
            </w:rPr>
            <w:fldChar w:fldCharType="end"/>
          </w:r>
          <w:r>
            <w:rPr>
              <w:color w:val="auto"/>
              <w:sz w:val="21"/>
              <w:szCs w:val="21"/>
              <w:highlight w:val="none"/>
            </w:rPr>
            <w:fldChar w:fldCharType="end"/>
          </w:r>
        </w:p>
        <w:p w14:paraId="33088079">
          <w:pPr>
            <w:pStyle w:val="21"/>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_Toc29953 </w:instrText>
          </w:r>
          <w:r>
            <w:rPr>
              <w:color w:val="auto"/>
              <w:sz w:val="21"/>
              <w:szCs w:val="21"/>
              <w:highlight w:val="none"/>
            </w:rPr>
            <w:fldChar w:fldCharType="separate"/>
          </w:r>
          <w:r>
            <w:rPr>
              <w:rFonts w:ascii="黑体" w:hAnsi="黑体" w:eastAsia="黑体" w:cs="黑体"/>
              <w:bCs/>
              <w:color w:val="auto"/>
              <w:spacing w:val="-21"/>
              <w:sz w:val="21"/>
              <w:szCs w:val="52"/>
              <w:highlight w:val="none"/>
            </w:rPr>
            <w:t>第</w:t>
          </w:r>
          <w:r>
            <w:rPr>
              <w:rFonts w:ascii="黑体" w:hAnsi="黑体" w:eastAsia="黑体" w:cs="黑体"/>
              <w:color w:val="auto"/>
              <w:spacing w:val="31"/>
              <w:sz w:val="21"/>
              <w:szCs w:val="52"/>
              <w:highlight w:val="none"/>
            </w:rPr>
            <w:t xml:space="preserve"> </w:t>
          </w:r>
          <w:r>
            <w:rPr>
              <w:rFonts w:ascii="黑体" w:hAnsi="黑体" w:eastAsia="黑体" w:cs="黑体"/>
              <w:bCs/>
              <w:color w:val="auto"/>
              <w:spacing w:val="-21"/>
              <w:sz w:val="21"/>
              <w:szCs w:val="52"/>
              <w:highlight w:val="none"/>
            </w:rPr>
            <w:t>二</w:t>
          </w:r>
          <w:r>
            <w:rPr>
              <w:rFonts w:ascii="黑体" w:hAnsi="黑体" w:eastAsia="黑体" w:cs="黑体"/>
              <w:color w:val="auto"/>
              <w:spacing w:val="29"/>
              <w:sz w:val="21"/>
              <w:szCs w:val="52"/>
              <w:highlight w:val="none"/>
            </w:rPr>
            <w:t xml:space="preserve"> </w:t>
          </w:r>
          <w:r>
            <w:rPr>
              <w:rFonts w:ascii="黑体" w:hAnsi="黑体" w:eastAsia="黑体" w:cs="黑体"/>
              <w:bCs/>
              <w:color w:val="auto"/>
              <w:spacing w:val="-21"/>
              <w:sz w:val="21"/>
              <w:szCs w:val="52"/>
              <w:highlight w:val="none"/>
            </w:rPr>
            <w:t>卷</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_Toc29953 \h </w:instrText>
          </w:r>
          <w:r>
            <w:rPr>
              <w:color w:val="auto"/>
              <w:sz w:val="21"/>
              <w:szCs w:val="21"/>
              <w:highlight w:val="none"/>
            </w:rPr>
            <w:fldChar w:fldCharType="separate"/>
          </w:r>
          <w:r>
            <w:rPr>
              <w:color w:val="auto"/>
              <w:sz w:val="21"/>
              <w:szCs w:val="21"/>
              <w:highlight w:val="none"/>
            </w:rPr>
            <w:t>128</w:t>
          </w:r>
          <w:r>
            <w:rPr>
              <w:color w:val="auto"/>
              <w:sz w:val="21"/>
              <w:szCs w:val="21"/>
              <w:highlight w:val="none"/>
            </w:rPr>
            <w:fldChar w:fldCharType="end"/>
          </w:r>
          <w:r>
            <w:rPr>
              <w:color w:val="auto"/>
              <w:sz w:val="21"/>
              <w:szCs w:val="21"/>
              <w:highlight w:val="none"/>
            </w:rPr>
            <w:fldChar w:fldCharType="end"/>
          </w:r>
        </w:p>
        <w:p w14:paraId="6F4A0819">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_Toc24059 </w:instrText>
          </w:r>
          <w:r>
            <w:rPr>
              <w:color w:val="auto"/>
              <w:sz w:val="21"/>
              <w:szCs w:val="21"/>
              <w:highlight w:val="none"/>
            </w:rPr>
            <w:fldChar w:fldCharType="separate"/>
          </w:r>
          <w:r>
            <w:rPr>
              <w:rFonts w:ascii="宋体" w:hAnsi="宋体" w:eastAsia="宋体" w:cs="宋体"/>
              <w:bCs/>
              <w:color w:val="auto"/>
              <w:spacing w:val="-7"/>
              <w:sz w:val="21"/>
              <w:szCs w:val="40"/>
              <w:highlight w:val="none"/>
            </w:rPr>
            <w:t>第六章</w:t>
          </w:r>
          <w:r>
            <w:rPr>
              <w:rFonts w:ascii="宋体" w:hAnsi="宋体" w:eastAsia="宋体" w:cs="宋体"/>
              <w:color w:val="auto"/>
              <w:spacing w:val="29"/>
              <w:sz w:val="21"/>
              <w:szCs w:val="40"/>
              <w:highlight w:val="none"/>
            </w:rPr>
            <w:t xml:space="preserve">  </w:t>
          </w:r>
          <w:r>
            <w:rPr>
              <w:rFonts w:ascii="宋体" w:hAnsi="宋体" w:eastAsia="宋体" w:cs="宋体"/>
              <w:bCs/>
              <w:color w:val="auto"/>
              <w:spacing w:val="-7"/>
              <w:sz w:val="21"/>
              <w:szCs w:val="40"/>
              <w:highlight w:val="none"/>
            </w:rPr>
            <w:t>图纸（招标图纸）及其他资料</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_Toc24059 \h </w:instrText>
          </w:r>
          <w:r>
            <w:rPr>
              <w:color w:val="auto"/>
              <w:sz w:val="21"/>
              <w:szCs w:val="21"/>
              <w:highlight w:val="none"/>
            </w:rPr>
            <w:fldChar w:fldCharType="separate"/>
          </w:r>
          <w:r>
            <w:rPr>
              <w:color w:val="auto"/>
              <w:sz w:val="21"/>
              <w:szCs w:val="21"/>
              <w:highlight w:val="none"/>
            </w:rPr>
            <w:t>129</w:t>
          </w:r>
          <w:r>
            <w:rPr>
              <w:color w:val="auto"/>
              <w:sz w:val="21"/>
              <w:szCs w:val="21"/>
              <w:highlight w:val="none"/>
            </w:rPr>
            <w:fldChar w:fldCharType="end"/>
          </w:r>
          <w:r>
            <w:rPr>
              <w:color w:val="auto"/>
              <w:sz w:val="21"/>
              <w:szCs w:val="21"/>
              <w:highlight w:val="none"/>
            </w:rPr>
            <w:fldChar w:fldCharType="end"/>
          </w:r>
        </w:p>
        <w:p w14:paraId="6BACF1BC">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_Toc24555 </w:instrText>
          </w:r>
          <w:r>
            <w:rPr>
              <w:color w:val="auto"/>
              <w:sz w:val="21"/>
              <w:szCs w:val="21"/>
              <w:highlight w:val="none"/>
            </w:rPr>
            <w:fldChar w:fldCharType="separate"/>
          </w:r>
          <w:r>
            <w:rPr>
              <w:rFonts w:ascii="Times New Roman" w:hAnsi="Times New Roman" w:eastAsia="Times New Roman" w:cs="Times New Roman"/>
              <w:bCs/>
              <w:color w:val="auto"/>
              <w:spacing w:val="-5"/>
              <w:sz w:val="21"/>
              <w:szCs w:val="28"/>
              <w:highlight w:val="none"/>
            </w:rPr>
            <w:t>1</w:t>
          </w:r>
          <w:r>
            <w:rPr>
              <w:rFonts w:ascii="Times New Roman" w:hAnsi="Times New Roman" w:eastAsia="Times New Roman" w:cs="Times New Roman"/>
              <w:bCs/>
              <w:color w:val="auto"/>
              <w:spacing w:val="10"/>
              <w:sz w:val="21"/>
              <w:szCs w:val="28"/>
              <w:highlight w:val="none"/>
            </w:rPr>
            <w:t xml:space="preserve">  </w:t>
          </w:r>
          <w:r>
            <w:rPr>
              <w:rFonts w:ascii="宋体" w:hAnsi="宋体" w:eastAsia="宋体" w:cs="宋体"/>
              <w:bCs/>
              <w:color w:val="auto"/>
              <w:spacing w:val="-5"/>
              <w:sz w:val="21"/>
              <w:szCs w:val="28"/>
              <w:highlight w:val="none"/>
            </w:rPr>
            <w:t>说明</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_Toc24555 \h </w:instrText>
          </w:r>
          <w:r>
            <w:rPr>
              <w:color w:val="auto"/>
              <w:sz w:val="21"/>
              <w:szCs w:val="21"/>
              <w:highlight w:val="none"/>
            </w:rPr>
            <w:fldChar w:fldCharType="separate"/>
          </w:r>
          <w:r>
            <w:rPr>
              <w:color w:val="auto"/>
              <w:sz w:val="21"/>
              <w:szCs w:val="21"/>
              <w:highlight w:val="none"/>
            </w:rPr>
            <w:t>129</w:t>
          </w:r>
          <w:r>
            <w:rPr>
              <w:color w:val="auto"/>
              <w:sz w:val="21"/>
              <w:szCs w:val="21"/>
              <w:highlight w:val="none"/>
            </w:rPr>
            <w:fldChar w:fldCharType="end"/>
          </w:r>
          <w:r>
            <w:rPr>
              <w:color w:val="auto"/>
              <w:sz w:val="21"/>
              <w:szCs w:val="21"/>
              <w:highlight w:val="none"/>
            </w:rPr>
            <w:fldChar w:fldCharType="end"/>
          </w:r>
        </w:p>
        <w:p w14:paraId="625F9322">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_Toc1654 </w:instrText>
          </w:r>
          <w:r>
            <w:rPr>
              <w:color w:val="auto"/>
              <w:sz w:val="21"/>
              <w:szCs w:val="21"/>
              <w:highlight w:val="none"/>
            </w:rPr>
            <w:fldChar w:fldCharType="separate"/>
          </w:r>
          <w:r>
            <w:rPr>
              <w:rFonts w:ascii="Times New Roman" w:hAnsi="Times New Roman" w:eastAsia="Times New Roman" w:cs="Times New Roman"/>
              <w:bCs/>
              <w:color w:val="auto"/>
              <w:spacing w:val="3"/>
              <w:sz w:val="21"/>
              <w:szCs w:val="28"/>
              <w:highlight w:val="none"/>
            </w:rPr>
            <w:t>2</w:t>
          </w:r>
          <w:r>
            <w:rPr>
              <w:rFonts w:ascii="Times New Roman" w:hAnsi="Times New Roman" w:eastAsia="Times New Roman" w:cs="Times New Roman"/>
              <w:bCs/>
              <w:color w:val="auto"/>
              <w:spacing w:val="22"/>
              <w:sz w:val="21"/>
              <w:szCs w:val="28"/>
              <w:highlight w:val="none"/>
            </w:rPr>
            <w:t xml:space="preserve">  </w:t>
          </w:r>
          <w:r>
            <w:rPr>
              <w:rFonts w:ascii="宋体" w:hAnsi="宋体" w:eastAsia="宋体" w:cs="宋体"/>
              <w:bCs/>
              <w:color w:val="auto"/>
              <w:spacing w:val="3"/>
              <w:sz w:val="21"/>
              <w:szCs w:val="28"/>
              <w:highlight w:val="none"/>
            </w:rPr>
            <w:t>图纸及其他资料目录</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_Toc1654 \h </w:instrText>
          </w:r>
          <w:r>
            <w:rPr>
              <w:color w:val="auto"/>
              <w:sz w:val="21"/>
              <w:szCs w:val="21"/>
              <w:highlight w:val="none"/>
            </w:rPr>
            <w:fldChar w:fldCharType="separate"/>
          </w:r>
          <w:r>
            <w:rPr>
              <w:color w:val="auto"/>
              <w:sz w:val="21"/>
              <w:szCs w:val="21"/>
              <w:highlight w:val="none"/>
            </w:rPr>
            <w:t>129</w:t>
          </w:r>
          <w:r>
            <w:rPr>
              <w:color w:val="auto"/>
              <w:sz w:val="21"/>
              <w:szCs w:val="21"/>
              <w:highlight w:val="none"/>
            </w:rPr>
            <w:fldChar w:fldCharType="end"/>
          </w:r>
          <w:r>
            <w:rPr>
              <w:color w:val="auto"/>
              <w:sz w:val="21"/>
              <w:szCs w:val="21"/>
              <w:highlight w:val="none"/>
            </w:rPr>
            <w:fldChar w:fldCharType="end"/>
          </w:r>
        </w:p>
        <w:p w14:paraId="6D1E666C">
          <w:pPr>
            <w:pStyle w:val="23"/>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_Toc9457 </w:instrText>
          </w:r>
          <w:r>
            <w:rPr>
              <w:color w:val="auto"/>
              <w:sz w:val="21"/>
              <w:szCs w:val="21"/>
              <w:highlight w:val="none"/>
            </w:rPr>
            <w:fldChar w:fldCharType="separate"/>
          </w:r>
          <w:r>
            <w:rPr>
              <w:rFonts w:ascii="Times New Roman" w:hAnsi="Times New Roman" w:eastAsia="Times New Roman" w:cs="Times New Roman"/>
              <w:bCs/>
              <w:color w:val="auto"/>
              <w:spacing w:val="2"/>
              <w:sz w:val="21"/>
              <w:szCs w:val="28"/>
              <w:highlight w:val="none"/>
            </w:rPr>
            <w:t>3</w:t>
          </w:r>
          <w:r>
            <w:rPr>
              <w:rFonts w:ascii="Times New Roman" w:hAnsi="Times New Roman" w:eastAsia="Times New Roman" w:cs="Times New Roman"/>
              <w:bCs/>
              <w:color w:val="auto"/>
              <w:spacing w:val="22"/>
              <w:sz w:val="21"/>
              <w:szCs w:val="28"/>
              <w:highlight w:val="none"/>
            </w:rPr>
            <w:t xml:space="preserve">  </w:t>
          </w:r>
          <w:r>
            <w:rPr>
              <w:rFonts w:ascii="宋体" w:hAnsi="宋体" w:eastAsia="宋体" w:cs="宋体"/>
              <w:bCs/>
              <w:color w:val="auto"/>
              <w:spacing w:val="2"/>
              <w:sz w:val="21"/>
              <w:szCs w:val="28"/>
              <w:highlight w:val="none"/>
            </w:rPr>
            <w:t>图纸及其它资料</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_Toc9457 \h </w:instrText>
          </w:r>
          <w:r>
            <w:rPr>
              <w:color w:val="auto"/>
              <w:sz w:val="21"/>
              <w:szCs w:val="21"/>
              <w:highlight w:val="none"/>
            </w:rPr>
            <w:fldChar w:fldCharType="separate"/>
          </w:r>
          <w:r>
            <w:rPr>
              <w:color w:val="auto"/>
              <w:sz w:val="21"/>
              <w:szCs w:val="21"/>
              <w:highlight w:val="none"/>
            </w:rPr>
            <w:t>132</w:t>
          </w:r>
          <w:r>
            <w:rPr>
              <w:color w:val="auto"/>
              <w:sz w:val="21"/>
              <w:szCs w:val="21"/>
              <w:highlight w:val="none"/>
            </w:rPr>
            <w:fldChar w:fldCharType="end"/>
          </w:r>
          <w:r>
            <w:rPr>
              <w:color w:val="auto"/>
              <w:sz w:val="21"/>
              <w:szCs w:val="21"/>
              <w:highlight w:val="none"/>
            </w:rPr>
            <w:fldChar w:fldCharType="end"/>
          </w:r>
        </w:p>
        <w:p w14:paraId="41EBD33C">
          <w:pPr>
            <w:pStyle w:val="21"/>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_Toc3483 </w:instrText>
          </w:r>
          <w:r>
            <w:rPr>
              <w:color w:val="auto"/>
              <w:sz w:val="21"/>
              <w:szCs w:val="21"/>
              <w:highlight w:val="none"/>
            </w:rPr>
            <w:fldChar w:fldCharType="separate"/>
          </w:r>
          <w:r>
            <w:rPr>
              <w:rFonts w:ascii="黑体" w:hAnsi="黑体" w:eastAsia="黑体" w:cs="黑体"/>
              <w:bCs/>
              <w:color w:val="auto"/>
              <w:spacing w:val="-21"/>
              <w:sz w:val="21"/>
              <w:szCs w:val="52"/>
              <w:highlight w:val="none"/>
            </w:rPr>
            <w:t>第</w:t>
          </w:r>
          <w:r>
            <w:rPr>
              <w:rFonts w:ascii="黑体" w:hAnsi="黑体" w:eastAsia="黑体" w:cs="黑体"/>
              <w:color w:val="auto"/>
              <w:spacing w:val="31"/>
              <w:sz w:val="21"/>
              <w:szCs w:val="52"/>
              <w:highlight w:val="none"/>
            </w:rPr>
            <w:t xml:space="preserve"> </w:t>
          </w:r>
          <w:r>
            <w:rPr>
              <w:rFonts w:ascii="黑体" w:hAnsi="黑体" w:eastAsia="黑体" w:cs="黑体"/>
              <w:bCs/>
              <w:color w:val="auto"/>
              <w:spacing w:val="-21"/>
              <w:sz w:val="21"/>
              <w:szCs w:val="52"/>
              <w:highlight w:val="none"/>
            </w:rPr>
            <w:t>三</w:t>
          </w:r>
          <w:r>
            <w:rPr>
              <w:rFonts w:ascii="黑体" w:hAnsi="黑体" w:eastAsia="黑体" w:cs="黑体"/>
              <w:color w:val="auto"/>
              <w:spacing w:val="29"/>
              <w:sz w:val="21"/>
              <w:szCs w:val="52"/>
              <w:highlight w:val="none"/>
            </w:rPr>
            <w:t xml:space="preserve"> </w:t>
          </w:r>
          <w:r>
            <w:rPr>
              <w:rFonts w:ascii="黑体" w:hAnsi="黑体" w:eastAsia="黑体" w:cs="黑体"/>
              <w:bCs/>
              <w:color w:val="auto"/>
              <w:spacing w:val="-21"/>
              <w:sz w:val="21"/>
              <w:szCs w:val="52"/>
              <w:highlight w:val="none"/>
            </w:rPr>
            <w:t>卷</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_Toc3483 \h </w:instrText>
          </w:r>
          <w:r>
            <w:rPr>
              <w:color w:val="auto"/>
              <w:sz w:val="21"/>
              <w:szCs w:val="21"/>
              <w:highlight w:val="none"/>
            </w:rPr>
            <w:fldChar w:fldCharType="separate"/>
          </w:r>
          <w:r>
            <w:rPr>
              <w:color w:val="auto"/>
              <w:sz w:val="21"/>
              <w:szCs w:val="21"/>
              <w:highlight w:val="none"/>
            </w:rPr>
            <w:t>133</w:t>
          </w:r>
          <w:r>
            <w:rPr>
              <w:color w:val="auto"/>
              <w:sz w:val="21"/>
              <w:szCs w:val="21"/>
              <w:highlight w:val="none"/>
            </w:rPr>
            <w:fldChar w:fldCharType="end"/>
          </w:r>
          <w:r>
            <w:rPr>
              <w:color w:val="auto"/>
              <w:sz w:val="21"/>
              <w:szCs w:val="21"/>
              <w:highlight w:val="none"/>
            </w:rPr>
            <w:fldChar w:fldCharType="end"/>
          </w:r>
        </w:p>
        <w:p w14:paraId="0E9AA9C6">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_Toc22521 </w:instrText>
          </w:r>
          <w:r>
            <w:rPr>
              <w:color w:val="auto"/>
              <w:sz w:val="21"/>
              <w:szCs w:val="21"/>
              <w:highlight w:val="none"/>
            </w:rPr>
            <w:fldChar w:fldCharType="separate"/>
          </w:r>
          <w:r>
            <w:rPr>
              <w:rFonts w:ascii="宋体" w:hAnsi="宋体" w:eastAsia="宋体" w:cs="宋体"/>
              <w:bCs/>
              <w:color w:val="auto"/>
              <w:spacing w:val="-5"/>
              <w:sz w:val="21"/>
              <w:szCs w:val="40"/>
              <w:highlight w:val="none"/>
            </w:rPr>
            <w:t>第七章</w:t>
          </w:r>
          <w:r>
            <w:rPr>
              <w:rFonts w:ascii="宋体" w:hAnsi="宋体" w:eastAsia="宋体" w:cs="宋体"/>
              <w:color w:val="auto"/>
              <w:spacing w:val="-5"/>
              <w:sz w:val="21"/>
              <w:szCs w:val="40"/>
              <w:highlight w:val="none"/>
            </w:rPr>
            <w:t xml:space="preserve">  </w:t>
          </w:r>
          <w:r>
            <w:rPr>
              <w:rFonts w:ascii="宋体" w:hAnsi="宋体" w:eastAsia="宋体" w:cs="宋体"/>
              <w:bCs/>
              <w:color w:val="auto"/>
              <w:spacing w:val="-5"/>
              <w:sz w:val="21"/>
              <w:szCs w:val="40"/>
              <w:highlight w:val="none"/>
            </w:rPr>
            <w:t>技术标准和要求（合同技术条款）</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_Toc22521 \h </w:instrText>
          </w:r>
          <w:r>
            <w:rPr>
              <w:color w:val="auto"/>
              <w:sz w:val="21"/>
              <w:szCs w:val="21"/>
              <w:highlight w:val="none"/>
            </w:rPr>
            <w:fldChar w:fldCharType="separate"/>
          </w:r>
          <w:r>
            <w:rPr>
              <w:color w:val="auto"/>
              <w:sz w:val="21"/>
              <w:szCs w:val="21"/>
              <w:highlight w:val="none"/>
            </w:rPr>
            <w:t>134</w:t>
          </w:r>
          <w:r>
            <w:rPr>
              <w:color w:val="auto"/>
              <w:sz w:val="21"/>
              <w:szCs w:val="21"/>
              <w:highlight w:val="none"/>
            </w:rPr>
            <w:fldChar w:fldCharType="end"/>
          </w:r>
          <w:r>
            <w:rPr>
              <w:color w:val="auto"/>
              <w:sz w:val="21"/>
              <w:szCs w:val="21"/>
              <w:highlight w:val="none"/>
            </w:rPr>
            <w:fldChar w:fldCharType="end"/>
          </w:r>
        </w:p>
        <w:p w14:paraId="1246132A">
          <w:pPr>
            <w:pStyle w:val="21"/>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_Toc14782 </w:instrText>
          </w:r>
          <w:r>
            <w:rPr>
              <w:color w:val="auto"/>
              <w:sz w:val="21"/>
              <w:szCs w:val="21"/>
              <w:highlight w:val="none"/>
            </w:rPr>
            <w:fldChar w:fldCharType="separate"/>
          </w:r>
          <w:r>
            <w:rPr>
              <w:rFonts w:ascii="黑体" w:hAnsi="黑体" w:eastAsia="黑体" w:cs="黑体"/>
              <w:bCs/>
              <w:color w:val="auto"/>
              <w:spacing w:val="-27"/>
              <w:sz w:val="21"/>
              <w:szCs w:val="52"/>
              <w:highlight w:val="none"/>
            </w:rPr>
            <w:t>第</w:t>
          </w:r>
          <w:r>
            <w:rPr>
              <w:rFonts w:ascii="黑体" w:hAnsi="黑体" w:eastAsia="黑体" w:cs="黑体"/>
              <w:color w:val="auto"/>
              <w:spacing w:val="50"/>
              <w:sz w:val="21"/>
              <w:szCs w:val="52"/>
              <w:highlight w:val="none"/>
            </w:rPr>
            <w:t xml:space="preserve"> </w:t>
          </w:r>
          <w:r>
            <w:rPr>
              <w:rFonts w:ascii="黑体" w:hAnsi="黑体" w:eastAsia="黑体" w:cs="黑体"/>
              <w:bCs/>
              <w:color w:val="auto"/>
              <w:spacing w:val="-27"/>
              <w:sz w:val="21"/>
              <w:szCs w:val="52"/>
              <w:highlight w:val="none"/>
            </w:rPr>
            <w:t>四</w:t>
          </w:r>
          <w:r>
            <w:rPr>
              <w:rFonts w:ascii="黑体" w:hAnsi="黑体" w:eastAsia="黑体" w:cs="黑体"/>
              <w:color w:val="auto"/>
              <w:spacing w:val="28"/>
              <w:sz w:val="21"/>
              <w:szCs w:val="52"/>
              <w:highlight w:val="none"/>
            </w:rPr>
            <w:t xml:space="preserve"> </w:t>
          </w:r>
          <w:r>
            <w:rPr>
              <w:rFonts w:ascii="黑体" w:hAnsi="黑体" w:eastAsia="黑体" w:cs="黑体"/>
              <w:bCs/>
              <w:color w:val="auto"/>
              <w:spacing w:val="-27"/>
              <w:sz w:val="21"/>
              <w:szCs w:val="52"/>
              <w:highlight w:val="none"/>
            </w:rPr>
            <w:t>卷</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_Toc14782 \h </w:instrText>
          </w:r>
          <w:r>
            <w:rPr>
              <w:color w:val="auto"/>
              <w:sz w:val="21"/>
              <w:szCs w:val="21"/>
              <w:highlight w:val="none"/>
            </w:rPr>
            <w:fldChar w:fldCharType="separate"/>
          </w:r>
          <w:r>
            <w:rPr>
              <w:color w:val="auto"/>
              <w:sz w:val="21"/>
              <w:szCs w:val="21"/>
              <w:highlight w:val="none"/>
            </w:rPr>
            <w:t>135</w:t>
          </w:r>
          <w:r>
            <w:rPr>
              <w:color w:val="auto"/>
              <w:sz w:val="21"/>
              <w:szCs w:val="21"/>
              <w:highlight w:val="none"/>
            </w:rPr>
            <w:fldChar w:fldCharType="end"/>
          </w:r>
          <w:r>
            <w:rPr>
              <w:color w:val="auto"/>
              <w:sz w:val="21"/>
              <w:szCs w:val="21"/>
              <w:highlight w:val="none"/>
            </w:rPr>
            <w:fldChar w:fldCharType="end"/>
          </w:r>
        </w:p>
        <w:p w14:paraId="0301FAD9">
          <w:pPr>
            <w:pStyle w:val="22"/>
            <w:keepNext w:val="0"/>
            <w:keepLines w:val="0"/>
            <w:pageBreakBefore w:val="0"/>
            <w:widowControl/>
            <w:tabs>
              <w:tab w:val="right" w:leader="dot" w:pos="8591"/>
            </w:tabs>
            <w:kinsoku/>
            <w:wordWrap/>
            <w:overflowPunct/>
            <w:topLinePunct w:val="0"/>
            <w:autoSpaceDE/>
            <w:autoSpaceDN/>
            <w:bidi w:val="0"/>
            <w:adjustRightInd/>
            <w:snapToGrid/>
            <w:spacing w:line="360" w:lineRule="auto"/>
            <w:textAlignment w:val="auto"/>
            <w:rPr>
              <w:color w:val="auto"/>
              <w:sz w:val="21"/>
              <w:szCs w:val="21"/>
              <w:highlight w:val="none"/>
            </w:rPr>
          </w:pPr>
          <w:r>
            <w:rPr>
              <w:color w:val="auto"/>
              <w:sz w:val="21"/>
              <w:szCs w:val="21"/>
              <w:highlight w:val="none"/>
            </w:rPr>
            <w:fldChar w:fldCharType="begin"/>
          </w:r>
          <w:r>
            <w:rPr>
              <w:color w:val="auto"/>
              <w:sz w:val="21"/>
              <w:szCs w:val="21"/>
              <w:highlight w:val="none"/>
            </w:rPr>
            <w:instrText xml:space="preserve"> HYPERLINK \l _Toc10240 </w:instrText>
          </w:r>
          <w:r>
            <w:rPr>
              <w:color w:val="auto"/>
              <w:sz w:val="21"/>
              <w:szCs w:val="21"/>
              <w:highlight w:val="none"/>
            </w:rPr>
            <w:fldChar w:fldCharType="separate"/>
          </w:r>
          <w:r>
            <w:rPr>
              <w:rFonts w:ascii="宋体" w:hAnsi="宋体" w:eastAsia="宋体" w:cs="宋体"/>
              <w:bCs/>
              <w:color w:val="auto"/>
              <w:spacing w:val="-4"/>
              <w:sz w:val="21"/>
              <w:szCs w:val="40"/>
              <w:highlight w:val="none"/>
            </w:rPr>
            <w:t>第八章</w:t>
          </w:r>
          <w:r>
            <w:rPr>
              <w:rFonts w:ascii="宋体" w:hAnsi="宋体" w:eastAsia="宋体" w:cs="宋体"/>
              <w:color w:val="auto"/>
              <w:spacing w:val="-4"/>
              <w:sz w:val="21"/>
              <w:szCs w:val="40"/>
              <w:highlight w:val="none"/>
            </w:rPr>
            <w:t xml:space="preserve">  </w:t>
          </w:r>
          <w:r>
            <w:rPr>
              <w:rFonts w:ascii="宋体" w:hAnsi="宋体" w:eastAsia="宋体" w:cs="宋体"/>
              <w:bCs/>
              <w:color w:val="auto"/>
              <w:spacing w:val="-4"/>
              <w:sz w:val="21"/>
              <w:szCs w:val="40"/>
              <w:highlight w:val="none"/>
            </w:rPr>
            <w:t>投标文件格式</w:t>
          </w:r>
          <w:r>
            <w:rPr>
              <w:color w:val="auto"/>
              <w:sz w:val="21"/>
              <w:szCs w:val="21"/>
              <w:highlight w:val="none"/>
            </w:rPr>
            <w:tab/>
          </w:r>
          <w:r>
            <w:rPr>
              <w:color w:val="auto"/>
              <w:sz w:val="21"/>
              <w:szCs w:val="21"/>
              <w:highlight w:val="none"/>
            </w:rPr>
            <w:fldChar w:fldCharType="begin"/>
          </w:r>
          <w:r>
            <w:rPr>
              <w:color w:val="auto"/>
              <w:sz w:val="21"/>
              <w:szCs w:val="21"/>
              <w:highlight w:val="none"/>
            </w:rPr>
            <w:instrText xml:space="preserve"> PAGEREF _Toc10240 \h </w:instrText>
          </w:r>
          <w:r>
            <w:rPr>
              <w:color w:val="auto"/>
              <w:sz w:val="21"/>
              <w:szCs w:val="21"/>
              <w:highlight w:val="none"/>
            </w:rPr>
            <w:fldChar w:fldCharType="separate"/>
          </w:r>
          <w:r>
            <w:rPr>
              <w:color w:val="auto"/>
              <w:sz w:val="21"/>
              <w:szCs w:val="21"/>
              <w:highlight w:val="none"/>
            </w:rPr>
            <w:t>136</w:t>
          </w:r>
          <w:r>
            <w:rPr>
              <w:color w:val="auto"/>
              <w:sz w:val="21"/>
              <w:szCs w:val="21"/>
              <w:highlight w:val="none"/>
            </w:rPr>
            <w:fldChar w:fldCharType="end"/>
          </w:r>
          <w:r>
            <w:rPr>
              <w:color w:val="auto"/>
              <w:sz w:val="21"/>
              <w:szCs w:val="21"/>
              <w:highlight w:val="none"/>
            </w:rPr>
            <w:fldChar w:fldCharType="end"/>
          </w:r>
        </w:p>
        <w:p w14:paraId="1824AAC7">
          <w:pPr>
            <w:pStyle w:val="21"/>
            <w:tabs>
              <w:tab w:val="right" w:leader="dot" w:pos="8591"/>
            </w:tabs>
            <w:rPr>
              <w:color w:val="auto"/>
              <w:sz w:val="21"/>
              <w:szCs w:val="21"/>
              <w:highlight w:val="none"/>
            </w:rPr>
          </w:pPr>
        </w:p>
        <w:p w14:paraId="49155D12">
          <w:pPr>
            <w:pStyle w:val="23"/>
            <w:tabs>
              <w:tab w:val="right" w:leader="dot" w:pos="8591"/>
            </w:tabs>
            <w:rPr>
              <w:color w:val="auto"/>
              <w:sz w:val="21"/>
              <w:szCs w:val="21"/>
              <w:highlight w:val="none"/>
            </w:rPr>
          </w:pPr>
        </w:p>
        <w:p w14:paraId="691BDEB0">
          <w:pPr>
            <w:pStyle w:val="21"/>
            <w:tabs>
              <w:tab w:val="right" w:leader="dot" w:pos="8591"/>
            </w:tabs>
            <w:rPr>
              <w:color w:val="auto"/>
              <w:sz w:val="21"/>
              <w:szCs w:val="21"/>
              <w:highlight w:val="none"/>
            </w:rPr>
          </w:pPr>
        </w:p>
        <w:p w14:paraId="35DCEA59">
          <w:pPr>
            <w:pStyle w:val="21"/>
            <w:tabs>
              <w:tab w:val="right" w:leader="dot" w:pos="8591"/>
            </w:tabs>
            <w:rPr>
              <w:color w:val="auto"/>
              <w:highlight w:val="none"/>
            </w:rPr>
          </w:pPr>
        </w:p>
        <w:p w14:paraId="60CC66D4">
          <w:pPr>
            <w:rPr>
              <w:color w:val="auto"/>
              <w:highlight w:val="none"/>
            </w:rPr>
          </w:pPr>
          <w:r>
            <w:rPr>
              <w:color w:val="auto"/>
              <w:highlight w:val="none"/>
            </w:rPr>
            <w:fldChar w:fldCharType="end"/>
          </w:r>
        </w:p>
      </w:sdtContent>
    </w:sdt>
    <w:sdt>
      <w:sdtPr>
        <w:rPr>
          <w:rFonts w:ascii="Times New Roman" w:hAnsi="Times New Roman" w:eastAsia="Times New Roman" w:cs="Times New Roman"/>
          <w:color w:val="auto"/>
          <w:sz w:val="21"/>
          <w:szCs w:val="21"/>
          <w:highlight w:val="none"/>
        </w:rPr>
        <w:id w:val="147458248"/>
        <w:showingPlcHdr/>
        <w:docPartObj>
          <w:docPartGallery w:val="Table of Contents"/>
          <w:docPartUnique/>
        </w:docPartObj>
      </w:sdtPr>
      <w:sdtEndPr>
        <w:rPr>
          <w:rFonts w:ascii="Times New Roman" w:hAnsi="Times New Roman" w:eastAsia="Times New Roman" w:cs="Times New Roman"/>
          <w:color w:val="auto"/>
          <w:sz w:val="24"/>
          <w:szCs w:val="24"/>
          <w:highlight w:val="none"/>
        </w:rPr>
      </w:sdtEndPr>
      <w:sdtContent>
        <w:p w14:paraId="3B5C1633">
          <w:pPr>
            <w:tabs>
              <w:tab w:val="right" w:leader="dot" w:pos="8579"/>
            </w:tabs>
            <w:spacing w:before="28" w:line="219" w:lineRule="auto"/>
            <w:ind w:left="48"/>
            <w:rPr>
              <w:rFonts w:ascii="Times New Roman" w:hAnsi="Times New Roman" w:eastAsia="Times New Roman" w:cs="Times New Roman"/>
              <w:color w:val="auto"/>
              <w:sz w:val="24"/>
              <w:szCs w:val="24"/>
              <w:highlight w:val="none"/>
            </w:rPr>
          </w:pPr>
        </w:p>
      </w:sdtContent>
    </w:sdt>
    <w:sdt>
      <w:sdtPr>
        <w:rPr>
          <w:rFonts w:ascii="Times New Roman" w:hAnsi="Times New Roman" w:eastAsia="Times New Roman" w:cs="Times New Roman"/>
          <w:color w:val="auto"/>
          <w:sz w:val="21"/>
          <w:szCs w:val="21"/>
          <w:highlight w:val="none"/>
        </w:rPr>
        <w:id w:val="147455093"/>
        <w:docPartObj>
          <w:docPartGallery w:val="Table of Contents"/>
          <w:docPartUnique/>
        </w:docPartObj>
      </w:sdtPr>
      <w:sdtEndPr>
        <w:rPr>
          <w:rFonts w:ascii="Times New Roman" w:hAnsi="Times New Roman" w:eastAsia="Times New Roman" w:cs="Times New Roman"/>
          <w:color w:val="auto"/>
          <w:sz w:val="21"/>
          <w:szCs w:val="21"/>
          <w:highlight w:val="none"/>
        </w:rPr>
      </w:sdtEndPr>
      <w:sdtContent>
        <w:p w14:paraId="5A28B91D">
          <w:pPr>
            <w:tabs>
              <w:tab w:val="right" w:leader="dot" w:pos="8767"/>
            </w:tabs>
            <w:spacing w:before="22" w:line="219" w:lineRule="auto"/>
            <w:ind w:left="478"/>
            <w:rPr>
              <w:rFonts w:ascii="Times New Roman" w:hAnsi="Times New Roman" w:eastAsia="Times New Roman" w:cs="Times New Roman"/>
              <w:color w:val="auto"/>
              <w:sz w:val="21"/>
              <w:szCs w:val="21"/>
              <w:highlight w:val="none"/>
            </w:rPr>
          </w:pPr>
        </w:p>
      </w:sdtContent>
    </w:sdt>
    <w:p w14:paraId="0C005212">
      <w:pPr>
        <w:spacing w:line="219" w:lineRule="auto"/>
        <w:rPr>
          <w:rFonts w:ascii="Times New Roman" w:hAnsi="Times New Roman" w:eastAsia="Times New Roman" w:cs="Times New Roman"/>
          <w:color w:val="auto"/>
          <w:sz w:val="21"/>
          <w:szCs w:val="21"/>
          <w:highlight w:val="none"/>
        </w:rPr>
        <w:sectPr>
          <w:footerReference r:id="rId6" w:type="default"/>
          <w:pgSz w:w="11905" w:h="16840"/>
          <w:pgMar w:top="1428" w:right="1529" w:bottom="1255" w:left="1598" w:header="0" w:footer="1093" w:gutter="0"/>
          <w:cols w:space="720" w:num="1"/>
        </w:sectPr>
      </w:pPr>
    </w:p>
    <w:p w14:paraId="0F331DB6">
      <w:pPr>
        <w:pStyle w:val="8"/>
        <w:spacing w:line="247" w:lineRule="auto"/>
        <w:rPr>
          <w:color w:val="auto"/>
          <w:highlight w:val="none"/>
        </w:rPr>
      </w:pPr>
    </w:p>
    <w:p w14:paraId="24DF9139">
      <w:pPr>
        <w:pStyle w:val="8"/>
        <w:spacing w:line="247" w:lineRule="auto"/>
        <w:rPr>
          <w:color w:val="auto"/>
          <w:highlight w:val="none"/>
        </w:rPr>
      </w:pPr>
    </w:p>
    <w:p w14:paraId="040814D8">
      <w:pPr>
        <w:pStyle w:val="8"/>
        <w:spacing w:line="247" w:lineRule="auto"/>
        <w:rPr>
          <w:color w:val="auto"/>
          <w:highlight w:val="none"/>
        </w:rPr>
      </w:pPr>
    </w:p>
    <w:p w14:paraId="6D7D7802">
      <w:pPr>
        <w:pStyle w:val="8"/>
        <w:spacing w:line="247" w:lineRule="auto"/>
        <w:rPr>
          <w:color w:val="auto"/>
          <w:highlight w:val="none"/>
        </w:rPr>
      </w:pPr>
    </w:p>
    <w:p w14:paraId="173AD4D9">
      <w:pPr>
        <w:pStyle w:val="8"/>
        <w:spacing w:line="247" w:lineRule="auto"/>
        <w:rPr>
          <w:color w:val="auto"/>
          <w:highlight w:val="none"/>
        </w:rPr>
      </w:pPr>
    </w:p>
    <w:p w14:paraId="49A8C1CB">
      <w:pPr>
        <w:pStyle w:val="8"/>
        <w:spacing w:line="247" w:lineRule="auto"/>
        <w:rPr>
          <w:color w:val="auto"/>
          <w:highlight w:val="none"/>
        </w:rPr>
      </w:pPr>
    </w:p>
    <w:p w14:paraId="143DB845">
      <w:pPr>
        <w:pStyle w:val="8"/>
        <w:spacing w:line="247" w:lineRule="auto"/>
        <w:rPr>
          <w:color w:val="auto"/>
          <w:highlight w:val="none"/>
        </w:rPr>
      </w:pPr>
    </w:p>
    <w:p w14:paraId="1F6B4A27">
      <w:pPr>
        <w:pStyle w:val="8"/>
        <w:spacing w:line="247" w:lineRule="auto"/>
        <w:rPr>
          <w:color w:val="auto"/>
          <w:highlight w:val="none"/>
        </w:rPr>
      </w:pPr>
    </w:p>
    <w:p w14:paraId="63A6E5DE">
      <w:pPr>
        <w:pStyle w:val="8"/>
        <w:spacing w:line="247" w:lineRule="auto"/>
        <w:rPr>
          <w:color w:val="auto"/>
          <w:highlight w:val="none"/>
        </w:rPr>
      </w:pPr>
    </w:p>
    <w:p w14:paraId="6CB49F27">
      <w:pPr>
        <w:pStyle w:val="8"/>
        <w:spacing w:line="247" w:lineRule="auto"/>
        <w:rPr>
          <w:color w:val="auto"/>
          <w:highlight w:val="none"/>
        </w:rPr>
      </w:pPr>
    </w:p>
    <w:p w14:paraId="03DB6F47">
      <w:pPr>
        <w:pStyle w:val="8"/>
        <w:spacing w:line="247" w:lineRule="auto"/>
        <w:rPr>
          <w:color w:val="auto"/>
          <w:highlight w:val="none"/>
        </w:rPr>
      </w:pPr>
    </w:p>
    <w:p w14:paraId="37064445">
      <w:pPr>
        <w:pStyle w:val="8"/>
        <w:spacing w:line="248" w:lineRule="auto"/>
        <w:rPr>
          <w:color w:val="auto"/>
          <w:highlight w:val="none"/>
        </w:rPr>
      </w:pPr>
    </w:p>
    <w:p w14:paraId="3D1317BB">
      <w:pPr>
        <w:pStyle w:val="8"/>
        <w:spacing w:line="248" w:lineRule="auto"/>
        <w:rPr>
          <w:color w:val="auto"/>
          <w:highlight w:val="none"/>
        </w:rPr>
      </w:pPr>
    </w:p>
    <w:p w14:paraId="16699403">
      <w:pPr>
        <w:pStyle w:val="8"/>
        <w:spacing w:line="248" w:lineRule="auto"/>
        <w:rPr>
          <w:color w:val="auto"/>
          <w:highlight w:val="none"/>
        </w:rPr>
      </w:pPr>
    </w:p>
    <w:p w14:paraId="6364E81F">
      <w:pPr>
        <w:pStyle w:val="8"/>
        <w:spacing w:line="248" w:lineRule="auto"/>
        <w:rPr>
          <w:color w:val="auto"/>
          <w:highlight w:val="none"/>
        </w:rPr>
      </w:pPr>
    </w:p>
    <w:p w14:paraId="791ADE23">
      <w:pPr>
        <w:pStyle w:val="8"/>
        <w:spacing w:line="248" w:lineRule="auto"/>
        <w:rPr>
          <w:color w:val="auto"/>
          <w:highlight w:val="none"/>
        </w:rPr>
      </w:pPr>
    </w:p>
    <w:p w14:paraId="634C141E">
      <w:pPr>
        <w:pStyle w:val="8"/>
        <w:spacing w:line="248" w:lineRule="auto"/>
        <w:rPr>
          <w:color w:val="auto"/>
          <w:highlight w:val="none"/>
        </w:rPr>
      </w:pPr>
    </w:p>
    <w:p w14:paraId="205AD6BE">
      <w:pPr>
        <w:pStyle w:val="8"/>
        <w:spacing w:line="248" w:lineRule="auto"/>
        <w:rPr>
          <w:color w:val="auto"/>
          <w:highlight w:val="none"/>
        </w:rPr>
      </w:pPr>
    </w:p>
    <w:p w14:paraId="47B37B60">
      <w:pPr>
        <w:pStyle w:val="8"/>
        <w:spacing w:line="248" w:lineRule="auto"/>
        <w:rPr>
          <w:color w:val="auto"/>
          <w:highlight w:val="none"/>
        </w:rPr>
      </w:pPr>
    </w:p>
    <w:p w14:paraId="16A33670">
      <w:pPr>
        <w:pStyle w:val="8"/>
        <w:spacing w:line="248" w:lineRule="auto"/>
        <w:rPr>
          <w:color w:val="auto"/>
          <w:highlight w:val="none"/>
        </w:rPr>
      </w:pPr>
    </w:p>
    <w:p w14:paraId="696E6B13">
      <w:pPr>
        <w:spacing w:before="156" w:line="222" w:lineRule="auto"/>
        <w:ind w:left="3250"/>
        <w:outlineLvl w:val="0"/>
        <w:rPr>
          <w:rFonts w:ascii="黑体" w:hAnsi="黑体" w:eastAsia="黑体" w:cs="黑体"/>
          <w:color w:val="auto"/>
          <w:sz w:val="48"/>
          <w:szCs w:val="48"/>
          <w:highlight w:val="none"/>
        </w:rPr>
      </w:pPr>
      <w:bookmarkStart w:id="1" w:name="bookmark364"/>
      <w:bookmarkEnd w:id="1"/>
      <w:bookmarkStart w:id="2" w:name="bookmark2"/>
      <w:bookmarkEnd w:id="2"/>
      <w:bookmarkStart w:id="3" w:name="_Toc8432"/>
      <w:r>
        <w:rPr>
          <w:rFonts w:ascii="黑体" w:hAnsi="黑体" w:eastAsia="黑体" w:cs="黑体"/>
          <w:b/>
          <w:bCs/>
          <w:color w:val="auto"/>
          <w:spacing w:val="-21"/>
          <w:sz w:val="48"/>
          <w:szCs w:val="48"/>
          <w:highlight w:val="none"/>
        </w:rPr>
        <w:t>第</w:t>
      </w:r>
      <w:r>
        <w:rPr>
          <w:rFonts w:ascii="黑体" w:hAnsi="黑体" w:eastAsia="黑体" w:cs="黑体"/>
          <w:color w:val="auto"/>
          <w:spacing w:val="31"/>
          <w:sz w:val="48"/>
          <w:szCs w:val="48"/>
          <w:highlight w:val="none"/>
        </w:rPr>
        <w:t xml:space="preserve"> </w:t>
      </w:r>
      <w:r>
        <w:rPr>
          <w:rFonts w:ascii="黑体" w:hAnsi="黑体" w:eastAsia="黑体" w:cs="黑体"/>
          <w:b/>
          <w:bCs/>
          <w:color w:val="auto"/>
          <w:spacing w:val="-21"/>
          <w:sz w:val="48"/>
          <w:szCs w:val="48"/>
          <w:highlight w:val="none"/>
        </w:rPr>
        <w:t>一</w:t>
      </w:r>
      <w:r>
        <w:rPr>
          <w:rFonts w:ascii="黑体" w:hAnsi="黑体" w:eastAsia="黑体" w:cs="黑体"/>
          <w:color w:val="auto"/>
          <w:spacing w:val="29"/>
          <w:sz w:val="48"/>
          <w:szCs w:val="48"/>
          <w:highlight w:val="none"/>
        </w:rPr>
        <w:t xml:space="preserve"> </w:t>
      </w:r>
      <w:r>
        <w:rPr>
          <w:rFonts w:ascii="黑体" w:hAnsi="黑体" w:eastAsia="黑体" w:cs="黑体"/>
          <w:b/>
          <w:bCs/>
          <w:color w:val="auto"/>
          <w:spacing w:val="-21"/>
          <w:sz w:val="48"/>
          <w:szCs w:val="48"/>
          <w:highlight w:val="none"/>
        </w:rPr>
        <w:t>卷</w:t>
      </w:r>
      <w:bookmarkEnd w:id="3"/>
    </w:p>
    <w:p w14:paraId="5F51EC3A">
      <w:pPr>
        <w:spacing w:line="222" w:lineRule="auto"/>
        <w:rPr>
          <w:rFonts w:ascii="黑体" w:hAnsi="黑体" w:eastAsia="黑体" w:cs="黑体"/>
          <w:color w:val="auto"/>
          <w:sz w:val="48"/>
          <w:szCs w:val="48"/>
          <w:highlight w:val="none"/>
        </w:rPr>
      </w:pPr>
    </w:p>
    <w:p w14:paraId="26328C99">
      <w:pPr>
        <w:bidi w:val="0"/>
        <w:rPr>
          <w:rFonts w:ascii="Arial" w:hAnsi="Arial" w:eastAsia="Arial" w:cs="Arial"/>
          <w:snapToGrid w:val="0"/>
          <w:color w:val="auto"/>
          <w:kern w:val="0"/>
          <w:sz w:val="21"/>
          <w:szCs w:val="21"/>
          <w:highlight w:val="none"/>
          <w:lang w:val="en-US" w:eastAsia="en-US" w:bidi="ar-SA"/>
        </w:rPr>
      </w:pPr>
    </w:p>
    <w:p w14:paraId="729675F5">
      <w:pPr>
        <w:bidi w:val="0"/>
        <w:rPr>
          <w:color w:val="auto"/>
          <w:highlight w:val="none"/>
          <w:lang w:val="en-US" w:eastAsia="en-US"/>
        </w:rPr>
      </w:pPr>
    </w:p>
    <w:p w14:paraId="4B0C33B1">
      <w:pPr>
        <w:bidi w:val="0"/>
        <w:rPr>
          <w:color w:val="auto"/>
          <w:highlight w:val="none"/>
          <w:lang w:val="en-US" w:eastAsia="en-US"/>
        </w:rPr>
      </w:pPr>
    </w:p>
    <w:p w14:paraId="4C6D3140">
      <w:pPr>
        <w:bidi w:val="0"/>
        <w:rPr>
          <w:color w:val="auto"/>
          <w:highlight w:val="none"/>
          <w:lang w:val="en-US" w:eastAsia="en-US"/>
        </w:rPr>
      </w:pPr>
    </w:p>
    <w:p w14:paraId="4FB0BBAC">
      <w:pPr>
        <w:bidi w:val="0"/>
        <w:rPr>
          <w:color w:val="auto"/>
          <w:highlight w:val="none"/>
          <w:lang w:val="en-US" w:eastAsia="en-US"/>
        </w:rPr>
      </w:pPr>
    </w:p>
    <w:p w14:paraId="302A6C4D">
      <w:pPr>
        <w:bidi w:val="0"/>
        <w:rPr>
          <w:color w:val="auto"/>
          <w:highlight w:val="none"/>
          <w:lang w:val="en-US" w:eastAsia="en-US"/>
        </w:rPr>
      </w:pPr>
    </w:p>
    <w:p w14:paraId="1254436A">
      <w:pPr>
        <w:bidi w:val="0"/>
        <w:rPr>
          <w:color w:val="auto"/>
          <w:highlight w:val="none"/>
          <w:lang w:val="en-US" w:eastAsia="en-US"/>
        </w:rPr>
      </w:pPr>
    </w:p>
    <w:p w14:paraId="344C1507">
      <w:pPr>
        <w:bidi w:val="0"/>
        <w:rPr>
          <w:color w:val="auto"/>
          <w:highlight w:val="none"/>
          <w:lang w:val="en-US" w:eastAsia="en-US"/>
        </w:rPr>
      </w:pPr>
    </w:p>
    <w:p w14:paraId="572E20F9">
      <w:pPr>
        <w:bidi w:val="0"/>
        <w:rPr>
          <w:color w:val="auto"/>
          <w:highlight w:val="none"/>
          <w:lang w:val="en-US" w:eastAsia="en-US"/>
        </w:rPr>
      </w:pPr>
    </w:p>
    <w:p w14:paraId="0D9F80BF">
      <w:pPr>
        <w:bidi w:val="0"/>
        <w:rPr>
          <w:color w:val="auto"/>
          <w:highlight w:val="none"/>
          <w:lang w:val="en-US" w:eastAsia="en-US"/>
        </w:rPr>
      </w:pPr>
    </w:p>
    <w:p w14:paraId="39DFD982">
      <w:pPr>
        <w:tabs>
          <w:tab w:val="left" w:pos="5961"/>
        </w:tabs>
        <w:bidi w:val="0"/>
        <w:jc w:val="left"/>
        <w:rPr>
          <w:rFonts w:hint="eastAsia" w:eastAsia="宋体"/>
          <w:color w:val="auto"/>
          <w:highlight w:val="none"/>
          <w:lang w:val="en-US" w:eastAsia="zh-CN"/>
        </w:rPr>
        <w:sectPr>
          <w:footerReference r:id="rId7" w:type="default"/>
          <w:pgSz w:w="11905" w:h="16840"/>
          <w:pgMar w:top="1431" w:right="1529" w:bottom="1255" w:left="1785" w:header="0" w:footer="1093" w:gutter="0"/>
          <w:pgNumType w:fmt="decimal" w:start="1"/>
          <w:cols w:space="720" w:num="1"/>
        </w:sectPr>
      </w:pPr>
      <w:r>
        <w:rPr>
          <w:rFonts w:hint="eastAsia" w:eastAsia="宋体"/>
          <w:color w:val="auto"/>
          <w:highlight w:val="none"/>
          <w:lang w:val="en-US" w:eastAsia="zh-CN"/>
        </w:rPr>
        <w:tab/>
      </w:r>
    </w:p>
    <w:p w14:paraId="5ADAEEBB">
      <w:pPr>
        <w:spacing w:before="301" w:line="218" w:lineRule="auto"/>
        <w:jc w:val="center"/>
        <w:outlineLvl w:val="1"/>
        <w:rPr>
          <w:rFonts w:ascii="宋体" w:hAnsi="宋体" w:eastAsia="宋体" w:cs="宋体"/>
          <w:color w:val="auto"/>
          <w:sz w:val="36"/>
          <w:szCs w:val="36"/>
          <w:highlight w:val="none"/>
        </w:rPr>
      </w:pPr>
      <w:bookmarkStart w:id="4" w:name="bookmark365"/>
      <w:bookmarkEnd w:id="4"/>
      <w:bookmarkStart w:id="5" w:name="bookmark3"/>
      <w:bookmarkEnd w:id="5"/>
      <w:bookmarkStart w:id="6" w:name="_Toc467"/>
      <w:r>
        <w:rPr>
          <w:rFonts w:ascii="宋体" w:hAnsi="宋体" w:eastAsia="宋体" w:cs="宋体"/>
          <w:b/>
          <w:bCs/>
          <w:color w:val="auto"/>
          <w:spacing w:val="-5"/>
          <w:sz w:val="36"/>
          <w:szCs w:val="36"/>
          <w:highlight w:val="none"/>
        </w:rPr>
        <w:t>第一章</w:t>
      </w:r>
      <w:r>
        <w:rPr>
          <w:rFonts w:ascii="宋体" w:hAnsi="宋体" w:eastAsia="宋体" w:cs="宋体"/>
          <w:color w:val="auto"/>
          <w:spacing w:val="-5"/>
          <w:sz w:val="36"/>
          <w:szCs w:val="36"/>
          <w:highlight w:val="none"/>
        </w:rPr>
        <w:t xml:space="preserve">  </w:t>
      </w:r>
      <w:r>
        <w:rPr>
          <w:rFonts w:ascii="宋体" w:hAnsi="宋体" w:eastAsia="宋体" w:cs="宋体"/>
          <w:b/>
          <w:bCs/>
          <w:color w:val="auto"/>
          <w:spacing w:val="-5"/>
          <w:sz w:val="36"/>
          <w:szCs w:val="36"/>
          <w:highlight w:val="none"/>
        </w:rPr>
        <w:t>招标公告（适用于资格后审招标）</w:t>
      </w:r>
      <w:bookmarkEnd w:id="6"/>
    </w:p>
    <w:p w14:paraId="4BD675D8">
      <w:pPr>
        <w:pStyle w:val="8"/>
        <w:spacing w:line="459" w:lineRule="auto"/>
        <w:rPr>
          <w:color w:val="auto"/>
          <w:highlight w:val="none"/>
        </w:rPr>
      </w:pPr>
    </w:p>
    <w:p w14:paraId="45573500">
      <w:pPr>
        <w:keepNext w:val="0"/>
        <w:keepLines w:val="0"/>
        <w:pageBreakBefore w:val="0"/>
        <w:widowControl/>
        <w:tabs>
          <w:tab w:val="left" w:pos="2622"/>
        </w:tabs>
        <w:kinsoku w:val="0"/>
        <w:wordWrap/>
        <w:overflowPunct/>
        <w:topLinePunct w:val="0"/>
        <w:autoSpaceDE w:val="0"/>
        <w:autoSpaceDN w:val="0"/>
        <w:bidi w:val="0"/>
        <w:adjustRightInd w:val="0"/>
        <w:snapToGrid w:val="0"/>
        <w:spacing w:before="78" w:line="360" w:lineRule="auto"/>
        <w:jc w:val="both"/>
        <w:textAlignment w:val="baseline"/>
        <w:rPr>
          <w:rFonts w:hint="eastAsia" w:ascii="宋体" w:hAnsi="宋体" w:eastAsia="宋体" w:cs="宋体"/>
          <w:color w:val="auto"/>
          <w:spacing w:val="-1"/>
          <w:sz w:val="24"/>
          <w:szCs w:val="24"/>
          <w:highlight w:val="none"/>
          <w:u w:val="single"/>
          <w:lang w:eastAsia="zh-CN"/>
        </w:rPr>
      </w:pPr>
      <w:r>
        <w:rPr>
          <w:rFonts w:hint="eastAsia" w:ascii="宋体" w:hAnsi="宋体" w:eastAsia="宋体" w:cs="宋体"/>
          <w:color w:val="auto"/>
          <w:spacing w:val="-1"/>
          <w:sz w:val="24"/>
          <w:szCs w:val="24"/>
          <w:highlight w:val="none"/>
          <w:u w:val="single"/>
          <w:lang w:eastAsia="zh-CN"/>
        </w:rPr>
        <w:t>绍兴滨海新区土地综合整治项目-2025年耕地功能恢复暨高标准农田建设（国投集团）</w:t>
      </w:r>
    </w:p>
    <w:p w14:paraId="7E50CD72">
      <w:pPr>
        <w:keepNext w:val="0"/>
        <w:keepLines w:val="0"/>
        <w:pageBreakBefore w:val="0"/>
        <w:widowControl/>
        <w:tabs>
          <w:tab w:val="left" w:pos="2622"/>
        </w:tabs>
        <w:kinsoku w:val="0"/>
        <w:wordWrap/>
        <w:overflowPunct/>
        <w:topLinePunct w:val="0"/>
        <w:autoSpaceDE w:val="0"/>
        <w:autoSpaceDN w:val="0"/>
        <w:bidi w:val="0"/>
        <w:adjustRightInd w:val="0"/>
        <w:snapToGrid w:val="0"/>
        <w:spacing w:before="78" w:line="360" w:lineRule="auto"/>
        <w:jc w:val="center"/>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招标公告</w:t>
      </w:r>
    </w:p>
    <w:p w14:paraId="2A8964A2">
      <w:pPr>
        <w:pStyle w:val="8"/>
        <w:spacing w:line="316" w:lineRule="auto"/>
        <w:rPr>
          <w:color w:val="auto"/>
          <w:highlight w:val="none"/>
        </w:rPr>
      </w:pPr>
    </w:p>
    <w:p w14:paraId="46A67F69">
      <w:pPr>
        <w:spacing w:before="88" w:line="226" w:lineRule="auto"/>
        <w:ind w:left="48"/>
        <w:outlineLvl w:val="2"/>
        <w:rPr>
          <w:rFonts w:ascii="宋体" w:hAnsi="宋体" w:eastAsia="宋体" w:cs="宋体"/>
          <w:color w:val="auto"/>
          <w:sz w:val="27"/>
          <w:szCs w:val="27"/>
          <w:highlight w:val="none"/>
        </w:rPr>
      </w:pPr>
      <w:bookmarkStart w:id="7" w:name="bookmark4"/>
      <w:bookmarkEnd w:id="7"/>
      <w:bookmarkStart w:id="8" w:name="_Toc20153"/>
      <w:r>
        <w:rPr>
          <w:rFonts w:ascii="Times New Roman" w:hAnsi="Times New Roman" w:eastAsia="Times New Roman" w:cs="Times New Roman"/>
          <w:b/>
          <w:bCs/>
          <w:color w:val="auto"/>
          <w:sz w:val="27"/>
          <w:szCs w:val="27"/>
          <w:highlight w:val="none"/>
        </w:rPr>
        <w:t>1</w:t>
      </w:r>
      <w:r>
        <w:rPr>
          <w:rFonts w:ascii="Times New Roman" w:hAnsi="Times New Roman" w:eastAsia="Times New Roman" w:cs="Times New Roman"/>
          <w:b/>
          <w:bCs/>
          <w:color w:val="auto"/>
          <w:spacing w:val="11"/>
          <w:sz w:val="27"/>
          <w:szCs w:val="27"/>
          <w:highlight w:val="none"/>
        </w:rPr>
        <w:t xml:space="preserve">  </w:t>
      </w:r>
      <w:r>
        <w:rPr>
          <w:rFonts w:ascii="宋体" w:hAnsi="宋体" w:eastAsia="宋体" w:cs="宋体"/>
          <w:b/>
          <w:bCs/>
          <w:color w:val="auto"/>
          <w:sz w:val="27"/>
          <w:szCs w:val="27"/>
          <w:highlight w:val="none"/>
        </w:rPr>
        <w:t>招标条件</w:t>
      </w:r>
      <w:bookmarkEnd w:id="8"/>
    </w:p>
    <w:p w14:paraId="40889B17">
      <w:pPr>
        <w:pStyle w:val="8"/>
        <w:spacing w:line="248" w:lineRule="auto"/>
        <w:rPr>
          <w:color w:val="auto"/>
          <w:highlight w:val="none"/>
        </w:rPr>
      </w:pPr>
    </w:p>
    <w:p w14:paraId="1FEF831E">
      <w:pPr>
        <w:spacing w:before="78" w:line="360" w:lineRule="auto"/>
        <w:ind w:left="41" w:right="39" w:firstLine="479"/>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w:t>
      </w:r>
      <w:r>
        <w:rPr>
          <w:rFonts w:hint="eastAsia" w:ascii="宋体" w:hAnsi="宋体" w:eastAsia="宋体" w:cs="宋体"/>
          <w:color w:val="auto"/>
          <w:spacing w:val="-119"/>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eastAsia="zh-CN"/>
        </w:rPr>
        <w:t>绍兴滨海新区土地综合整治项目-2025年耕地功能恢复暨高标准农田建设（国投集团）项目</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
          <w:sz w:val="24"/>
          <w:szCs w:val="24"/>
          <w:highlight w:val="none"/>
        </w:rPr>
        <w:t>已由</w:t>
      </w:r>
      <w:r>
        <w:rPr>
          <w:rFonts w:hint="eastAsia" w:ascii="宋体" w:hAnsi="宋体" w:eastAsia="宋体" w:cs="宋体"/>
          <w:color w:val="auto"/>
          <w:spacing w:val="-91"/>
          <w:sz w:val="24"/>
          <w:szCs w:val="24"/>
          <w:highlight w:val="none"/>
        </w:rPr>
        <w:t xml:space="preserve"> </w:t>
      </w:r>
      <w:r>
        <w:rPr>
          <w:rFonts w:hint="eastAsia" w:ascii="宋体" w:hAnsi="宋体" w:eastAsia="宋体" w:cs="宋体"/>
          <w:i/>
          <w:color w:val="auto"/>
          <w:spacing w:val="-1"/>
          <w:sz w:val="24"/>
          <w:szCs w:val="24"/>
          <w:highlight w:val="none"/>
          <w:u w:val="single"/>
        </w:rPr>
        <w:t>绍兴滨海新区管理委员会</w:t>
      </w:r>
      <w:r>
        <w:rPr>
          <w:rFonts w:hint="eastAsia" w:ascii="宋体" w:hAnsi="宋体" w:eastAsia="宋体" w:cs="宋体"/>
          <w:i/>
          <w:color w:val="auto"/>
          <w:spacing w:val="-1"/>
          <w:sz w:val="24"/>
          <w:szCs w:val="24"/>
          <w:highlight w:val="none"/>
          <w:u w:val="single"/>
          <w:lang w:val="en-US" w:eastAsia="zh-CN"/>
        </w:rPr>
        <w:t>经济发展局</w:t>
      </w:r>
      <w:r>
        <w:rPr>
          <w:rFonts w:hint="eastAsia" w:ascii="宋体" w:hAnsi="宋体" w:eastAsia="宋体" w:cs="宋体"/>
          <w:color w:val="auto"/>
          <w:spacing w:val="-5"/>
          <w:sz w:val="24"/>
          <w:szCs w:val="24"/>
          <w:highlight w:val="none"/>
        </w:rPr>
        <w:t>以</w:t>
      </w:r>
      <w:r>
        <w:rPr>
          <w:rFonts w:hint="eastAsia" w:asciiTheme="minorEastAsia" w:hAnsiTheme="minorEastAsia" w:eastAsiaTheme="minorEastAsia" w:cstheme="minorEastAsia"/>
          <w:bCs/>
          <w:color w:val="auto"/>
          <w:sz w:val="24"/>
          <w:szCs w:val="32"/>
          <w:highlight w:val="none"/>
          <w:u w:val="single"/>
          <w:lang w:eastAsia="zh-CN"/>
        </w:rPr>
        <w:t>2508-330652-04-01-550512</w:t>
      </w:r>
      <w:r>
        <w:rPr>
          <w:rFonts w:hint="eastAsia" w:ascii="宋体" w:hAnsi="宋体" w:eastAsia="宋体" w:cs="宋体"/>
          <w:color w:val="auto"/>
          <w:spacing w:val="-5"/>
          <w:sz w:val="24"/>
          <w:szCs w:val="24"/>
          <w:highlight w:val="none"/>
        </w:rPr>
        <w:t>批准建设</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rPr>
        <w:t>建设</w:t>
      </w:r>
      <w:r>
        <w:rPr>
          <w:rFonts w:hint="eastAsia" w:ascii="宋体" w:hAnsi="宋体" w:eastAsia="宋体" w:cs="宋体"/>
          <w:color w:val="auto"/>
          <w:spacing w:val="-6"/>
          <w:sz w:val="24"/>
          <w:szCs w:val="24"/>
          <w:highlight w:val="none"/>
        </w:rPr>
        <w:t>资金来自</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i/>
          <w:color w:val="auto"/>
          <w:spacing w:val="-12"/>
          <w:sz w:val="24"/>
          <w:szCs w:val="24"/>
          <w:highlight w:val="none"/>
          <w:u w:val="single"/>
          <w:lang w:val="en-US" w:eastAsia="zh-CN"/>
        </w:rPr>
        <w:t>自筹</w:t>
      </w:r>
      <w:r>
        <w:rPr>
          <w:rFonts w:hint="eastAsia" w:ascii="宋体" w:hAnsi="宋体" w:eastAsia="宋体" w:cs="宋体"/>
          <w:i/>
          <w:color w:val="auto"/>
          <w:spacing w:val="-12"/>
          <w:sz w:val="24"/>
          <w:szCs w:val="24"/>
          <w:highlight w:val="none"/>
          <w:u w:val="single"/>
        </w:rPr>
        <w:t xml:space="preserve"> </w:t>
      </w:r>
      <w:r>
        <w:rPr>
          <w:rFonts w:hint="eastAsia" w:ascii="宋体" w:hAnsi="宋体" w:eastAsia="宋体" w:cs="宋体"/>
          <w:color w:val="auto"/>
          <w:spacing w:val="23"/>
          <w:sz w:val="24"/>
          <w:szCs w:val="24"/>
          <w:highlight w:val="none"/>
        </w:rPr>
        <w:t>，</w:t>
      </w:r>
      <w:r>
        <w:rPr>
          <w:rFonts w:hint="eastAsia" w:ascii="宋体" w:hAnsi="宋体" w:eastAsia="宋体" w:cs="宋体"/>
          <w:color w:val="auto"/>
          <w:spacing w:val="11"/>
          <w:sz w:val="24"/>
          <w:szCs w:val="24"/>
          <w:highlight w:val="none"/>
        </w:rPr>
        <w:t>项目出资比例为</w:t>
      </w:r>
      <w:r>
        <w:rPr>
          <w:rFonts w:hint="eastAsia" w:ascii="宋体" w:hAnsi="宋体" w:eastAsia="宋体" w:cs="宋体"/>
          <w:color w:val="auto"/>
          <w:spacing w:val="-100"/>
          <w:sz w:val="24"/>
          <w:szCs w:val="24"/>
          <w:highlight w:val="none"/>
        </w:rPr>
        <w:t xml:space="preserve"> </w:t>
      </w:r>
      <w:r>
        <w:rPr>
          <w:rFonts w:hint="eastAsia" w:ascii="宋体" w:hAnsi="宋体" w:eastAsia="宋体" w:cs="宋体"/>
          <w:color w:val="auto"/>
          <w:spacing w:val="15"/>
          <w:sz w:val="24"/>
          <w:szCs w:val="24"/>
          <w:highlight w:val="none"/>
          <w:u w:val="single" w:color="auto"/>
        </w:rPr>
        <w:t xml:space="preserve"> </w:t>
      </w:r>
      <w:r>
        <w:rPr>
          <w:rFonts w:hint="eastAsia" w:ascii="宋体" w:hAnsi="宋体" w:eastAsia="宋体" w:cs="宋体"/>
          <w:color w:val="auto"/>
          <w:spacing w:val="-12"/>
          <w:sz w:val="24"/>
          <w:szCs w:val="24"/>
          <w:highlight w:val="none"/>
          <w:u w:val="single"/>
          <w:lang w:val="en-US" w:eastAsia="zh-CN"/>
        </w:rPr>
        <w:t>100%</w:t>
      </w:r>
      <w:r>
        <w:rPr>
          <w:rFonts w:hint="eastAsia" w:ascii="宋体" w:hAnsi="宋体" w:eastAsia="宋体" w:cs="宋体"/>
          <w:color w:val="auto"/>
          <w:spacing w:val="15"/>
          <w:sz w:val="24"/>
          <w:szCs w:val="24"/>
          <w:highlight w:val="none"/>
          <w:u w:val="single" w:color="auto"/>
        </w:rPr>
        <w:t xml:space="preserve"> </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11"/>
          <w:sz w:val="24"/>
          <w:szCs w:val="24"/>
          <w:highlight w:val="none"/>
        </w:rPr>
        <w:t>，项目法人为</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i/>
          <w:color w:val="auto"/>
          <w:sz w:val="24"/>
          <w:szCs w:val="24"/>
          <w:highlight w:val="none"/>
          <w:u w:val="single"/>
          <w:lang w:eastAsia="zh-CN"/>
        </w:rPr>
        <w:t>绍兴滨海新区滨投农业开发有限公司</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73"/>
          <w:sz w:val="24"/>
          <w:szCs w:val="24"/>
          <w:highlight w:val="none"/>
        </w:rPr>
        <w:t xml:space="preserve"> </w:t>
      </w:r>
      <w:r>
        <w:rPr>
          <w:rFonts w:hint="eastAsia" w:ascii="宋体" w:hAnsi="宋体" w:eastAsia="宋体" w:cs="宋体"/>
          <w:color w:val="auto"/>
          <w:spacing w:val="11"/>
          <w:sz w:val="24"/>
          <w:szCs w:val="24"/>
          <w:highlight w:val="none"/>
        </w:rPr>
        <w:t>，招标人</w:t>
      </w:r>
      <w:r>
        <w:rPr>
          <w:rFonts w:hint="eastAsia" w:ascii="宋体" w:hAnsi="宋体" w:eastAsia="宋体" w:cs="宋体"/>
          <w:color w:val="auto"/>
          <w:spacing w:val="-3"/>
          <w:sz w:val="24"/>
          <w:szCs w:val="24"/>
          <w:highlight w:val="none"/>
        </w:rPr>
        <w:t>为</w:t>
      </w:r>
      <w:r>
        <w:rPr>
          <w:rFonts w:hint="eastAsia" w:ascii="宋体" w:hAnsi="宋体" w:eastAsia="宋体" w:cs="宋体"/>
          <w:color w:val="auto"/>
          <w:spacing w:val="-118"/>
          <w:sz w:val="24"/>
          <w:szCs w:val="24"/>
          <w:highlight w:val="none"/>
        </w:rPr>
        <w:t xml:space="preserve"> </w:t>
      </w:r>
      <w:r>
        <w:rPr>
          <w:rFonts w:hint="eastAsia" w:ascii="宋体" w:hAnsi="宋体" w:eastAsia="宋体" w:cs="宋体"/>
          <w:i/>
          <w:color w:val="auto"/>
          <w:sz w:val="24"/>
          <w:szCs w:val="24"/>
          <w:highlight w:val="none"/>
          <w:u w:val="single"/>
          <w:lang w:eastAsia="zh-CN"/>
        </w:rPr>
        <w:t>绍兴滨海新区滨投农业开发有限公司</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3"/>
          <w:sz w:val="24"/>
          <w:szCs w:val="24"/>
          <w:highlight w:val="none"/>
        </w:rPr>
        <w:t>，招标代理机构为</w:t>
      </w:r>
      <w:r>
        <w:rPr>
          <w:rFonts w:hint="eastAsia" w:ascii="宋体" w:hAnsi="宋体" w:eastAsia="宋体" w:cs="宋体"/>
          <w:color w:val="auto"/>
          <w:spacing w:val="-107"/>
          <w:sz w:val="24"/>
          <w:szCs w:val="24"/>
          <w:highlight w:val="none"/>
        </w:rPr>
        <w:t xml:space="preserve"> </w:t>
      </w:r>
      <w:r>
        <w:rPr>
          <w:rFonts w:hint="eastAsia" w:ascii="宋体" w:hAnsi="宋体" w:eastAsia="宋体" w:cs="宋体"/>
          <w:color w:val="auto"/>
          <w:spacing w:val="9"/>
          <w:sz w:val="24"/>
          <w:szCs w:val="24"/>
          <w:highlight w:val="none"/>
          <w:u w:val="single" w:color="auto"/>
        </w:rPr>
        <w:t xml:space="preserve"> </w:t>
      </w:r>
      <w:r>
        <w:rPr>
          <w:rFonts w:hint="eastAsia" w:ascii="宋体" w:hAnsi="宋体" w:eastAsia="宋体" w:cs="宋体"/>
          <w:color w:val="auto"/>
          <w:spacing w:val="9"/>
          <w:sz w:val="24"/>
          <w:szCs w:val="24"/>
          <w:highlight w:val="none"/>
          <w:u w:val="single" w:color="auto"/>
          <w:lang w:val="en-US" w:eastAsia="zh-CN"/>
        </w:rPr>
        <w:t>泰宇建筑工程技术咨询有限公司</w:t>
      </w:r>
      <w:r>
        <w:rPr>
          <w:rFonts w:hint="eastAsia" w:ascii="宋体" w:hAnsi="宋体" w:eastAsia="宋体" w:cs="宋体"/>
          <w:color w:val="auto"/>
          <w:spacing w:val="9"/>
          <w:sz w:val="24"/>
          <w:szCs w:val="24"/>
          <w:highlight w:val="none"/>
          <w:u w:val="single" w:color="auto"/>
        </w:rPr>
        <w:t xml:space="preserve"> </w:t>
      </w:r>
      <w:r>
        <w:rPr>
          <w:rFonts w:hint="eastAsia" w:ascii="宋体" w:hAnsi="宋体" w:eastAsia="宋体" w:cs="宋体"/>
          <w:color w:val="auto"/>
          <w:spacing w:val="-3"/>
          <w:sz w:val="24"/>
          <w:szCs w:val="24"/>
          <w:highlight w:val="none"/>
        </w:rPr>
        <w:t>。项目已具备招标条件</w:t>
      </w:r>
      <w:r>
        <w:rPr>
          <w:rFonts w:hint="eastAsia" w:ascii="宋体" w:hAnsi="宋体" w:eastAsia="宋体" w:cs="宋体"/>
          <w:color w:val="auto"/>
          <w:spacing w:val="-4"/>
          <w:sz w:val="24"/>
          <w:szCs w:val="24"/>
          <w:highlight w:val="none"/>
        </w:rPr>
        <w:t>，现对该项</w:t>
      </w:r>
      <w:r>
        <w:rPr>
          <w:rFonts w:hint="eastAsia" w:ascii="宋体" w:hAnsi="宋体" w:eastAsia="宋体" w:cs="宋体"/>
          <w:color w:val="auto"/>
          <w:spacing w:val="-2"/>
          <w:sz w:val="24"/>
          <w:szCs w:val="24"/>
          <w:highlight w:val="none"/>
        </w:rPr>
        <w:t>目</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
          <w:sz w:val="24"/>
          <w:szCs w:val="24"/>
          <w:highlight w:val="none"/>
          <w:u w:val="single"/>
          <w:lang w:eastAsia="zh-CN"/>
        </w:rPr>
        <w:t>绍兴滨海新区土地综合整治项目-2025年耕地功能恢复暨高标准农田建设（国投集团）项目</w:t>
      </w:r>
      <w:r>
        <w:rPr>
          <w:rFonts w:hint="eastAsia" w:ascii="宋体" w:hAnsi="宋体" w:eastAsia="宋体" w:cs="宋体"/>
          <w:color w:val="auto"/>
          <w:spacing w:val="-2"/>
          <w:sz w:val="24"/>
          <w:szCs w:val="24"/>
          <w:highlight w:val="none"/>
        </w:rPr>
        <w:t>施工进行公开招标。</w:t>
      </w:r>
    </w:p>
    <w:p w14:paraId="7CA8E4A3">
      <w:pPr>
        <w:spacing w:before="120" w:line="226" w:lineRule="auto"/>
        <w:ind w:left="36"/>
        <w:outlineLvl w:val="2"/>
        <w:rPr>
          <w:rFonts w:ascii="宋体" w:hAnsi="宋体" w:eastAsia="宋体" w:cs="宋体"/>
          <w:color w:val="auto"/>
          <w:sz w:val="27"/>
          <w:szCs w:val="27"/>
          <w:highlight w:val="none"/>
        </w:rPr>
      </w:pPr>
      <w:bookmarkStart w:id="9" w:name="bookmark5"/>
      <w:bookmarkEnd w:id="9"/>
      <w:bookmarkStart w:id="10" w:name="_Toc14153"/>
      <w:r>
        <w:rPr>
          <w:rFonts w:ascii="Times New Roman" w:hAnsi="Times New Roman" w:eastAsia="Times New Roman" w:cs="Times New Roman"/>
          <w:b/>
          <w:bCs/>
          <w:color w:val="auto"/>
          <w:spacing w:val="6"/>
          <w:sz w:val="27"/>
          <w:szCs w:val="27"/>
          <w:highlight w:val="none"/>
        </w:rPr>
        <w:t xml:space="preserve">2  </w:t>
      </w:r>
      <w:r>
        <w:rPr>
          <w:rFonts w:ascii="宋体" w:hAnsi="宋体" w:eastAsia="宋体" w:cs="宋体"/>
          <w:b/>
          <w:bCs/>
          <w:color w:val="auto"/>
          <w:spacing w:val="6"/>
          <w:sz w:val="27"/>
          <w:szCs w:val="27"/>
          <w:highlight w:val="none"/>
        </w:rPr>
        <w:t>项目概况与招标范围</w:t>
      </w:r>
      <w:bookmarkEnd w:id="10"/>
    </w:p>
    <w:p w14:paraId="78C46D43">
      <w:pPr>
        <w:pStyle w:val="8"/>
        <w:spacing w:line="248" w:lineRule="auto"/>
        <w:rPr>
          <w:color w:val="auto"/>
          <w:highlight w:val="none"/>
        </w:rPr>
      </w:pPr>
    </w:p>
    <w:p w14:paraId="5AAF6FD8">
      <w:pPr>
        <w:spacing w:before="78" w:line="359" w:lineRule="auto"/>
        <w:ind w:left="39" w:right="77" w:firstLine="483"/>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项目概况</w:t>
      </w:r>
      <w:r>
        <w:rPr>
          <w:rFonts w:ascii="宋体" w:hAnsi="宋体" w:eastAsia="宋体" w:cs="宋体"/>
          <w:color w:val="auto"/>
          <w:spacing w:val="-13"/>
          <w:sz w:val="24"/>
          <w:szCs w:val="24"/>
          <w:highlight w:val="none"/>
        </w:rPr>
        <w:t>：</w:t>
      </w:r>
      <w:r>
        <w:rPr>
          <w:rFonts w:hint="eastAsia" w:ascii="宋体" w:hAnsi="宋体" w:eastAsia="宋体" w:cs="宋体"/>
          <w:color w:val="auto"/>
          <w:spacing w:val="-1"/>
          <w:sz w:val="24"/>
          <w:szCs w:val="24"/>
          <w:highlight w:val="none"/>
          <w:u w:val="single"/>
          <w:lang w:eastAsia="zh-CN"/>
        </w:rPr>
        <w:t xml:space="preserve"> 绍兴滨海新区土地综合整治项目-2025年耕地功能恢复暨高标准农田建设（国投集团）项目，</w:t>
      </w:r>
      <w:r>
        <w:rPr>
          <w:rFonts w:hint="eastAsia" w:ascii="宋体" w:hAnsi="宋体" w:eastAsia="宋体" w:cs="宋体"/>
          <w:color w:val="auto"/>
          <w:spacing w:val="-1"/>
          <w:sz w:val="24"/>
          <w:szCs w:val="24"/>
          <w:highlight w:val="none"/>
          <w:u w:val="single"/>
          <w:lang w:val="en-US" w:eastAsia="zh-CN"/>
        </w:rPr>
        <w:t>实施</w:t>
      </w:r>
      <w:r>
        <w:rPr>
          <w:rFonts w:hint="eastAsia" w:ascii="宋体" w:hAnsi="宋体" w:eastAsia="宋体" w:cs="宋体"/>
          <w:color w:val="auto"/>
          <w:spacing w:val="-1"/>
          <w:sz w:val="24"/>
          <w:szCs w:val="24"/>
          <w:highlight w:val="none"/>
          <w:u w:val="single"/>
          <w:lang w:eastAsia="zh-CN"/>
        </w:rPr>
        <w:t>耕地功能恢复项目总面积为142.0489公顷，工程实施后可新增有效耕地面积为135.8793公顷(补充水田面积为135.8793公顷)，预设耕地质量等级为9等，建设地点：绍兴滨海新区海涂北部</w:t>
      </w:r>
      <w:r>
        <w:rPr>
          <w:rFonts w:ascii="宋体" w:hAnsi="宋体" w:eastAsia="宋体" w:cs="宋体"/>
          <w:color w:val="auto"/>
          <w:spacing w:val="-13"/>
          <w:sz w:val="24"/>
          <w:szCs w:val="24"/>
          <w:highlight w:val="none"/>
        </w:rPr>
        <w:t>，</w:t>
      </w:r>
      <w:r>
        <w:rPr>
          <w:rFonts w:ascii="宋体" w:hAnsi="宋体" w:eastAsia="宋体" w:cs="宋体"/>
          <w:color w:val="auto"/>
          <w:spacing w:val="-11"/>
          <w:sz w:val="24"/>
          <w:szCs w:val="24"/>
          <w:highlight w:val="none"/>
        </w:rPr>
        <w:t>项目</w:t>
      </w:r>
      <w:r>
        <w:rPr>
          <w:rFonts w:ascii="宋体" w:hAnsi="宋体" w:eastAsia="宋体" w:cs="宋体"/>
          <w:color w:val="auto"/>
          <w:spacing w:val="-3"/>
          <w:sz w:val="24"/>
          <w:szCs w:val="24"/>
          <w:highlight w:val="none"/>
        </w:rPr>
        <w:t>概算静态总投资为</w:t>
      </w:r>
      <w:r>
        <w:rPr>
          <w:rFonts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3105.0044</w:t>
      </w:r>
      <w:r>
        <w:rPr>
          <w:rFonts w:ascii="宋体" w:hAnsi="宋体" w:eastAsia="宋体" w:cs="宋体"/>
          <w:color w:val="auto"/>
          <w:spacing w:val="-92"/>
          <w:sz w:val="24"/>
          <w:szCs w:val="24"/>
          <w:highlight w:val="none"/>
        </w:rPr>
        <w:t xml:space="preserve"> </w:t>
      </w:r>
      <w:r>
        <w:rPr>
          <w:rFonts w:ascii="宋体" w:hAnsi="宋体" w:eastAsia="宋体" w:cs="宋体"/>
          <w:color w:val="auto"/>
          <w:spacing w:val="-3"/>
          <w:sz w:val="24"/>
          <w:szCs w:val="24"/>
          <w:highlight w:val="none"/>
        </w:rPr>
        <w:t>万元。</w:t>
      </w:r>
    </w:p>
    <w:p w14:paraId="5AFE3BF2">
      <w:pPr>
        <w:spacing w:before="1" w:line="359" w:lineRule="auto"/>
        <w:ind w:left="42" w:right="30" w:firstLine="473"/>
        <w:rPr>
          <w:rFonts w:ascii="宋体" w:hAnsi="宋体" w:eastAsia="宋体" w:cs="宋体"/>
          <w:color w:val="auto"/>
          <w:sz w:val="24"/>
          <w:szCs w:val="24"/>
          <w:highlight w:val="none"/>
        </w:rPr>
      </w:pPr>
      <w:r>
        <w:rPr>
          <w:rFonts w:ascii="宋体" w:hAnsi="宋体" w:eastAsia="宋体" w:cs="宋体"/>
          <w:color w:val="auto"/>
          <w:sz w:val="24"/>
          <w:szCs w:val="24"/>
          <w:highlight w:val="none"/>
        </w:rPr>
        <w:t>本标段招标范围为</w:t>
      </w:r>
      <w:r>
        <w:rPr>
          <w:rFonts w:ascii="宋体" w:hAnsi="宋体" w:eastAsia="宋体" w:cs="宋体"/>
          <w:color w:val="auto"/>
          <w:spacing w:val="-119"/>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本项目施工图范围内的土地平整、土壤培肥、田埂修筑、灌溉管道安装、泵站新建、田间道路及农沟等，</w:t>
      </w:r>
      <w:r>
        <w:rPr>
          <w:rFonts w:hint="eastAsia" w:ascii="宋体" w:hAnsi="宋体" w:eastAsia="宋体" w:cs="宋体"/>
          <w:color w:val="auto"/>
          <w:spacing w:val="-1"/>
          <w:sz w:val="24"/>
          <w:szCs w:val="24"/>
          <w:highlight w:val="none"/>
          <w:u w:val="single"/>
          <w:lang w:eastAsia="zh-CN"/>
        </w:rPr>
        <w:t>具体详见施工图纸及</w:t>
      </w:r>
      <w:r>
        <w:rPr>
          <w:rFonts w:hint="eastAsia" w:ascii="宋体" w:hAnsi="宋体" w:eastAsia="宋体" w:cs="宋体"/>
          <w:color w:val="auto"/>
          <w:spacing w:val="-1"/>
          <w:sz w:val="24"/>
          <w:szCs w:val="24"/>
          <w:highlight w:val="none"/>
          <w:u w:val="single"/>
          <w:lang w:val="en-US" w:eastAsia="zh-CN"/>
        </w:rPr>
        <w:t>工程量清单</w:t>
      </w:r>
      <w:r>
        <w:rPr>
          <w:rFonts w:hint="eastAsia" w:ascii="宋体" w:hAnsi="宋体" w:eastAsia="宋体" w:cs="宋体"/>
          <w:color w:val="auto"/>
          <w:spacing w:val="-1"/>
          <w:sz w:val="24"/>
          <w:szCs w:val="24"/>
          <w:highlight w:val="none"/>
          <w:u w:val="single"/>
          <w:lang w:eastAsia="zh-CN"/>
        </w:rPr>
        <w:t xml:space="preserve"> </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rPr>
        <w:t>相应概算投资约</w:t>
      </w:r>
      <w:r>
        <w:rPr>
          <w:rFonts w:ascii="宋体" w:hAnsi="宋体" w:eastAsia="宋体" w:cs="宋体"/>
          <w:color w:val="auto"/>
          <w:spacing w:val="-96"/>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 xml:space="preserve">2721.2813 </w:t>
      </w:r>
      <w:r>
        <w:rPr>
          <w:rFonts w:ascii="宋体" w:hAnsi="宋体" w:eastAsia="宋体" w:cs="宋体"/>
          <w:color w:val="auto"/>
          <w:spacing w:val="-1"/>
          <w:sz w:val="24"/>
          <w:szCs w:val="24"/>
          <w:highlight w:val="none"/>
        </w:rPr>
        <w:t>万元，计划工</w:t>
      </w:r>
      <w:r>
        <w:rPr>
          <w:rFonts w:ascii="宋体" w:hAnsi="宋体" w:eastAsia="宋体" w:cs="宋体"/>
          <w:color w:val="auto"/>
          <w:spacing w:val="-2"/>
          <w:sz w:val="24"/>
          <w:szCs w:val="24"/>
          <w:highlight w:val="none"/>
        </w:rPr>
        <w:t>期</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150</w:t>
      </w:r>
      <w:r>
        <w:rPr>
          <w:rFonts w:ascii="宋体" w:hAnsi="宋体" w:eastAsia="宋体" w:cs="宋体"/>
          <w:color w:val="auto"/>
          <w:spacing w:val="-2"/>
          <w:sz w:val="24"/>
          <w:szCs w:val="24"/>
          <w:highlight w:val="none"/>
        </w:rPr>
        <w:t>日历天。</w:t>
      </w:r>
    </w:p>
    <w:p w14:paraId="771DB2D1">
      <w:pPr>
        <w:spacing w:before="1" w:line="218" w:lineRule="auto"/>
        <w:ind w:left="683"/>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是否属于政府采购工程</w:t>
      </w:r>
      <w:r>
        <w:rPr>
          <w:rFonts w:ascii="宋体" w:hAnsi="宋体" w:eastAsia="宋体" w:cs="宋体"/>
          <w:color w:val="auto"/>
          <w:spacing w:val="12"/>
          <w:sz w:val="24"/>
          <w:szCs w:val="24"/>
          <w:highlight w:val="none"/>
        </w:rPr>
        <w:t xml:space="preserve">   </w:t>
      </w:r>
      <w:r>
        <w:rPr>
          <w:rFonts w:ascii="宋体" w:hAnsi="宋体" w:eastAsia="宋体" w:cs="宋体"/>
          <w:color w:val="auto"/>
          <w:spacing w:val="-5"/>
          <w:sz w:val="24"/>
          <w:szCs w:val="24"/>
          <w:highlight w:val="none"/>
        </w:rPr>
        <w:t>□是</w:t>
      </w:r>
      <w:r>
        <w:rPr>
          <w:rFonts w:ascii="宋体" w:hAnsi="宋体" w:eastAsia="宋体" w:cs="宋体"/>
          <w:color w:val="auto"/>
          <w:spacing w:val="18"/>
          <w:sz w:val="24"/>
          <w:szCs w:val="24"/>
          <w:highlight w:val="none"/>
        </w:rPr>
        <w:t xml:space="preserve">  </w:t>
      </w:r>
      <w:r>
        <w:rPr>
          <w:rFonts w:hint="eastAsia" w:ascii="宋体" w:hAnsi="宋体" w:eastAsia="宋体" w:cs="宋体"/>
          <w:color w:val="auto"/>
          <w:spacing w:val="-5"/>
          <w:sz w:val="24"/>
          <w:szCs w:val="24"/>
          <w:highlight w:val="none"/>
          <w:lang w:eastAsia="zh-CN"/>
        </w:rPr>
        <w:t>☑</w:t>
      </w:r>
      <w:r>
        <w:rPr>
          <w:rFonts w:ascii="宋体" w:hAnsi="宋体" w:eastAsia="宋体" w:cs="宋体"/>
          <w:color w:val="auto"/>
          <w:spacing w:val="-5"/>
          <w:sz w:val="24"/>
          <w:szCs w:val="24"/>
          <w:highlight w:val="none"/>
        </w:rPr>
        <w:t>否</w:t>
      </w:r>
    </w:p>
    <w:p w14:paraId="24BD9574">
      <w:pPr>
        <w:spacing w:before="184" w:line="220" w:lineRule="auto"/>
        <w:ind w:left="6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是否专门面向中小企业预留</w:t>
      </w:r>
    </w:p>
    <w:p w14:paraId="2D790A4A">
      <w:pPr>
        <w:spacing w:before="179" w:line="284" w:lineRule="auto"/>
        <w:ind w:left="681" w:right="1257" w:firstLine="58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4"/>
          <w:sz w:val="24"/>
          <w:szCs w:val="24"/>
          <w:highlight w:val="none"/>
        </w:rPr>
        <w:t xml:space="preserve">□是  </w:t>
      </w:r>
      <w:r>
        <w:rPr>
          <w:rFonts w:hint="eastAsia" w:ascii="宋体" w:hAnsi="宋体" w:eastAsia="宋体" w:cs="宋体"/>
          <w:strike/>
          <w:dstrike w:val="0"/>
          <w:color w:val="auto"/>
          <w:spacing w:val="-14"/>
          <w:sz w:val="24"/>
          <w:szCs w:val="24"/>
          <w:highlight w:val="none"/>
          <w:lang w:eastAsia="zh-CN"/>
        </w:rPr>
        <w:t>☑</w:t>
      </w:r>
      <w:r>
        <w:rPr>
          <w:rFonts w:ascii="宋体" w:hAnsi="宋体" w:eastAsia="宋体" w:cs="宋体"/>
          <w:strike/>
          <w:dstrike w:val="0"/>
          <w:color w:val="auto"/>
          <w:spacing w:val="-14"/>
          <w:sz w:val="24"/>
          <w:szCs w:val="24"/>
          <w:highlight w:val="none"/>
        </w:rPr>
        <w:t xml:space="preserve">否 </w:t>
      </w:r>
      <w:r>
        <w:rPr>
          <w:rFonts w:ascii="宋体" w:hAnsi="宋体" w:eastAsia="宋体" w:cs="宋体"/>
          <w:strike/>
          <w:dstrike w:val="0"/>
          <w:color w:val="auto"/>
          <w:spacing w:val="-16"/>
          <w:sz w:val="25"/>
          <w:szCs w:val="25"/>
          <w:highlight w:val="none"/>
          <w:u w:val="single" w:color="auto"/>
        </w:rPr>
        <w:t xml:space="preserve"> </w:t>
      </w:r>
      <w:r>
        <w:rPr>
          <w:rFonts w:ascii="宋体" w:hAnsi="宋体" w:eastAsia="宋体" w:cs="宋体"/>
          <w:i/>
          <w:iCs/>
          <w:strike/>
          <w:dstrike w:val="0"/>
          <w:color w:val="auto"/>
          <w:spacing w:val="-14"/>
          <w:sz w:val="25"/>
          <w:szCs w:val="25"/>
          <w:highlight w:val="none"/>
          <w:u w:val="single" w:color="auto"/>
        </w:rPr>
        <w:t>（不专门面向中小企业采购的原因及适用条款）</w:t>
      </w:r>
      <w:r>
        <w:rPr>
          <w:rFonts w:ascii="宋体" w:hAnsi="宋体" w:eastAsia="宋体" w:cs="宋体"/>
          <w:strike/>
          <w:dstrike w:val="0"/>
          <w:color w:val="auto"/>
          <w:spacing w:val="-87"/>
          <w:sz w:val="25"/>
          <w:szCs w:val="25"/>
          <w:highlight w:val="none"/>
          <w:u w:val="single" w:color="auto"/>
        </w:rPr>
        <w:t xml:space="preserve"> </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pacing w:val="-1"/>
          <w:sz w:val="24"/>
          <w:szCs w:val="24"/>
          <w:highlight w:val="none"/>
        </w:rPr>
        <w:t>专门面向中小企业预留的实施方式</w:t>
      </w:r>
    </w:p>
    <w:p w14:paraId="0FD317FE">
      <w:pPr>
        <w:spacing w:before="181" w:line="219" w:lineRule="auto"/>
        <w:ind w:left="126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□本标段整体面向中小企业；</w:t>
      </w:r>
    </w:p>
    <w:p w14:paraId="4ABF9C71">
      <w:pPr>
        <w:spacing w:before="183" w:line="284" w:lineRule="auto"/>
        <w:ind w:left="39" w:right="28" w:firstLine="122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□本标段联合体形式面向中小企业，以联合体形式参加本次投标的，联合</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3"/>
          <w:sz w:val="24"/>
          <w:szCs w:val="24"/>
          <w:highlight w:val="none"/>
        </w:rPr>
        <w:t>体中中小企业承担的合同份额需达到</w:t>
      </w:r>
      <w:r>
        <w:rPr>
          <w:rFonts w:ascii="宋体" w:hAnsi="宋体" w:eastAsia="宋体" w:cs="宋体"/>
          <w:i/>
          <w:iCs/>
          <w:strike/>
          <w:dstrike w:val="0"/>
          <w:color w:val="auto"/>
          <w:spacing w:val="-3"/>
          <w:sz w:val="25"/>
          <w:szCs w:val="25"/>
          <w:highlight w:val="none"/>
          <w:u w:val="single" w:color="auto"/>
        </w:rPr>
        <w:t>（不低于</w:t>
      </w:r>
      <w:r>
        <w:rPr>
          <w:rFonts w:ascii="Times New Roman" w:hAnsi="Times New Roman" w:eastAsia="Times New Roman" w:cs="Times New Roman"/>
          <w:i/>
          <w:iCs/>
          <w:strike/>
          <w:dstrike w:val="0"/>
          <w:color w:val="auto"/>
          <w:spacing w:val="-3"/>
          <w:sz w:val="24"/>
          <w:szCs w:val="24"/>
          <w:highlight w:val="none"/>
          <w:u w:val="single" w:color="auto"/>
        </w:rPr>
        <w:t>40%</w:t>
      </w:r>
      <w:r>
        <w:rPr>
          <w:rFonts w:ascii="宋体" w:hAnsi="宋体" w:eastAsia="宋体" w:cs="宋体"/>
          <w:i/>
          <w:iCs/>
          <w:strike/>
          <w:dstrike w:val="0"/>
          <w:color w:val="auto"/>
          <w:spacing w:val="-3"/>
          <w:sz w:val="25"/>
          <w:szCs w:val="25"/>
          <w:highlight w:val="none"/>
          <w:u w:val="single" w:color="auto"/>
        </w:rPr>
        <w:t>）</w:t>
      </w:r>
      <w:r>
        <w:rPr>
          <w:rFonts w:ascii="宋体" w:hAnsi="宋体" w:eastAsia="宋体" w:cs="宋体"/>
          <w:strike/>
          <w:dstrike w:val="0"/>
          <w:color w:val="auto"/>
          <w:spacing w:val="-3"/>
          <w:sz w:val="24"/>
          <w:szCs w:val="24"/>
          <w:highlight w:val="none"/>
        </w:rPr>
        <w:t>以上。</w:t>
      </w:r>
    </w:p>
    <w:p w14:paraId="08863579">
      <w:pPr>
        <w:spacing w:before="306" w:line="226" w:lineRule="auto"/>
        <w:ind w:left="34"/>
        <w:outlineLvl w:val="2"/>
        <w:rPr>
          <w:rFonts w:ascii="宋体" w:hAnsi="宋体" w:eastAsia="宋体" w:cs="宋体"/>
          <w:color w:val="auto"/>
          <w:sz w:val="27"/>
          <w:szCs w:val="27"/>
          <w:highlight w:val="none"/>
        </w:rPr>
      </w:pPr>
      <w:bookmarkStart w:id="11" w:name="bookmark6"/>
      <w:bookmarkEnd w:id="11"/>
      <w:bookmarkStart w:id="12" w:name="_Toc30205"/>
      <w:r>
        <w:rPr>
          <w:rFonts w:ascii="Times New Roman" w:hAnsi="Times New Roman" w:eastAsia="Times New Roman" w:cs="Times New Roman"/>
          <w:b/>
          <w:bCs/>
          <w:color w:val="auto"/>
          <w:spacing w:val="6"/>
          <w:sz w:val="27"/>
          <w:szCs w:val="27"/>
          <w:highlight w:val="none"/>
        </w:rPr>
        <w:t xml:space="preserve">3  </w:t>
      </w:r>
      <w:r>
        <w:rPr>
          <w:rFonts w:ascii="宋体" w:hAnsi="宋体" w:eastAsia="宋体" w:cs="宋体"/>
          <w:b/>
          <w:bCs/>
          <w:color w:val="auto"/>
          <w:spacing w:val="6"/>
          <w:sz w:val="27"/>
          <w:szCs w:val="27"/>
          <w:highlight w:val="none"/>
        </w:rPr>
        <w:t>投标人资格要求</w:t>
      </w:r>
      <w:bookmarkEnd w:id="12"/>
    </w:p>
    <w:p w14:paraId="0AA2D6FC">
      <w:pPr>
        <w:pStyle w:val="8"/>
        <w:spacing w:line="247" w:lineRule="auto"/>
        <w:rPr>
          <w:color w:val="auto"/>
          <w:highlight w:val="none"/>
        </w:rPr>
      </w:pPr>
    </w:p>
    <w:p w14:paraId="61D66B1D">
      <w:pPr>
        <w:spacing w:before="78" w:line="359" w:lineRule="auto"/>
        <w:ind w:left="39" w:right="77" w:firstLine="483"/>
        <w:rPr>
          <w:rFonts w:hint="eastAsia" w:ascii="宋体" w:hAnsi="宋体" w:eastAsia="宋体" w:cs="宋体"/>
          <w:color w:val="auto"/>
          <w:spacing w:val="-1"/>
          <w:sz w:val="24"/>
          <w:szCs w:val="24"/>
          <w:highlight w:val="none"/>
          <w:u w:val="single"/>
          <w:lang w:eastAsia="zh-CN"/>
        </w:rPr>
      </w:pPr>
      <w:r>
        <w:rPr>
          <w:rFonts w:ascii="Times New Roman" w:hAnsi="Times New Roman" w:eastAsia="Times New Roman" w:cs="Times New Roman"/>
          <w:color w:val="auto"/>
          <w:spacing w:val="-1"/>
          <w:sz w:val="24"/>
          <w:szCs w:val="24"/>
          <w:highlight w:val="none"/>
        </w:rPr>
        <w:t xml:space="preserve">3.1  </w:t>
      </w:r>
      <w:r>
        <w:rPr>
          <w:rFonts w:ascii="宋体" w:hAnsi="宋体" w:eastAsia="宋体" w:cs="宋体"/>
          <w:color w:val="auto"/>
          <w:spacing w:val="-1"/>
          <w:sz w:val="24"/>
          <w:szCs w:val="24"/>
          <w:highlight w:val="none"/>
        </w:rPr>
        <w:t>本次招标要求投标人具备</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水利水电工程施工总承包</w:t>
      </w:r>
      <w:r>
        <w:rPr>
          <w:rFonts w:hint="eastAsia" w:ascii="宋体" w:hAnsi="宋体" w:eastAsia="宋体" w:cs="宋体"/>
          <w:color w:val="auto"/>
          <w:spacing w:val="-1"/>
          <w:sz w:val="24"/>
          <w:szCs w:val="24"/>
          <w:highlight w:val="none"/>
          <w:u w:val="single" w:color="auto"/>
          <w:lang w:val="en-US" w:eastAsia="zh-CN"/>
        </w:rPr>
        <w:t>三级及以上</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1"/>
          <w:sz w:val="24"/>
          <w:szCs w:val="24"/>
          <w:highlight w:val="none"/>
        </w:rPr>
        <w:t xml:space="preserve"> </w:t>
      </w:r>
      <w:r>
        <w:rPr>
          <w:rFonts w:ascii="宋体" w:hAnsi="宋体" w:eastAsia="宋体" w:cs="宋体"/>
          <w:color w:val="auto"/>
          <w:spacing w:val="-2"/>
          <w:sz w:val="24"/>
          <w:szCs w:val="24"/>
          <w:highlight w:val="none"/>
        </w:rPr>
        <w:t>资质，其它条件详见附表。</w:t>
      </w:r>
      <w:r>
        <w:rPr>
          <w:rFonts w:hint="eastAsia" w:ascii="宋体" w:hAnsi="宋体" w:eastAsia="宋体" w:cs="宋体"/>
          <w:color w:val="auto"/>
          <w:spacing w:val="-1"/>
          <w:sz w:val="24"/>
          <w:szCs w:val="24"/>
          <w:highlight w:val="none"/>
          <w:u w:val="single"/>
          <w:lang w:eastAsia="zh-CN"/>
        </w:rPr>
        <w:t>（对应资质应在“浙江省建筑市场监管公共服务系统”上资质动态核查结果处于“合格”</w:t>
      </w:r>
      <w:r>
        <w:rPr>
          <w:rFonts w:hint="eastAsia" w:ascii="宋体" w:hAnsi="宋体" w:eastAsia="宋体" w:cs="宋体"/>
          <w:color w:val="auto"/>
          <w:spacing w:val="-1"/>
          <w:sz w:val="24"/>
          <w:szCs w:val="24"/>
          <w:highlight w:val="none"/>
          <w:u w:val="single"/>
          <w:lang w:val="en-US" w:eastAsia="zh-CN"/>
        </w:rPr>
        <w:t>状态</w:t>
      </w:r>
      <w:r>
        <w:rPr>
          <w:rFonts w:hint="eastAsia" w:ascii="宋体" w:hAnsi="宋体" w:eastAsia="宋体" w:cs="宋体"/>
          <w:color w:val="auto"/>
          <w:spacing w:val="-1"/>
          <w:sz w:val="24"/>
          <w:szCs w:val="24"/>
          <w:highlight w:val="none"/>
          <w:u w:val="single"/>
          <w:lang w:eastAsia="zh-CN"/>
        </w:rPr>
        <w:t>）；具备有效的企业安全生产许可证，企业主要负责人（法定代表人、企业经理、企业分管安全生产的副经理、企业技术负责人）具有专职安全生产管理人员A类证书。</w:t>
      </w:r>
    </w:p>
    <w:p w14:paraId="3D9A8E54">
      <w:pPr>
        <w:spacing w:before="78" w:line="359" w:lineRule="auto"/>
        <w:ind w:left="39" w:right="77" w:firstLine="483"/>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拟派项目负责人：</w:t>
      </w:r>
      <w:r>
        <w:rPr>
          <w:rFonts w:hint="eastAsia" w:ascii="宋体" w:hAnsi="宋体" w:eastAsia="宋体" w:cs="宋体"/>
          <w:color w:val="auto"/>
          <w:spacing w:val="-1"/>
          <w:sz w:val="24"/>
          <w:szCs w:val="24"/>
          <w:highlight w:val="none"/>
          <w:u w:val="single"/>
          <w:lang w:eastAsia="zh-CN"/>
        </w:rPr>
        <w:t>具有注册在投标人单位的水利水电工程专业二级及以上建造师执业资格，且具有省级及以上水</w:t>
      </w:r>
      <w:r>
        <w:rPr>
          <w:rFonts w:hint="eastAsia" w:ascii="宋体" w:hAnsi="宋体" w:eastAsia="宋体" w:cs="宋体"/>
          <w:color w:val="auto"/>
          <w:spacing w:val="-1"/>
          <w:sz w:val="24"/>
          <w:szCs w:val="24"/>
          <w:highlight w:val="none"/>
          <w:u w:val="single"/>
          <w:lang w:val="en-US" w:eastAsia="zh-CN"/>
        </w:rPr>
        <w:t>利</w:t>
      </w:r>
      <w:r>
        <w:rPr>
          <w:rFonts w:hint="eastAsia" w:ascii="宋体" w:hAnsi="宋体" w:eastAsia="宋体" w:cs="宋体"/>
          <w:color w:val="auto"/>
          <w:spacing w:val="-1"/>
          <w:sz w:val="24"/>
          <w:szCs w:val="24"/>
          <w:highlight w:val="none"/>
          <w:u w:val="single"/>
          <w:lang w:eastAsia="zh-CN"/>
        </w:rPr>
        <w:t>行政主管部门颁发的安全生产考核B证。</w:t>
      </w:r>
      <w:r>
        <w:rPr>
          <w:rFonts w:ascii="宋体" w:hAnsi="宋体" w:eastAsia="宋体" w:cs="宋体"/>
          <w:color w:val="auto"/>
          <w:spacing w:val="-1"/>
          <w:sz w:val="24"/>
          <w:szCs w:val="24"/>
          <w:highlight w:val="none"/>
          <w:lang w:eastAsia="zh-CN"/>
        </w:rPr>
        <w:t>投标人拟派的项目负责人在投标截止时间不得在其他任何在建合同工程中担任项目负责人(包括工程总承包项目中的施工负责人)。在建合同工程的开始时间为合同工程中标通知书发出之日(不通过招标方式的，开始时间为合同签订之日)，结束时间为该合同工程通过验收或合同解除之日。</w:t>
      </w:r>
    </w:p>
    <w:p w14:paraId="0438108F">
      <w:pPr>
        <w:spacing w:before="78" w:line="359" w:lineRule="auto"/>
        <w:ind w:left="39" w:right="77" w:firstLine="483"/>
        <w:rPr>
          <w:rFonts w:hint="eastAsia" w:ascii="宋体" w:hAnsi="宋体" w:eastAsia="宋体" w:cs="宋体"/>
          <w:color w:val="auto"/>
          <w:spacing w:val="-1"/>
          <w:sz w:val="24"/>
          <w:szCs w:val="24"/>
          <w:highlight w:val="none"/>
          <w:u w:val="single"/>
          <w:lang w:eastAsia="zh-CN"/>
        </w:rPr>
      </w:pPr>
      <w:r>
        <w:rPr>
          <w:rFonts w:hint="eastAsia" w:ascii="宋体" w:hAnsi="宋体" w:eastAsia="宋体" w:cs="宋体"/>
          <w:color w:val="auto"/>
          <w:spacing w:val="-1"/>
          <w:sz w:val="24"/>
          <w:szCs w:val="24"/>
          <w:highlight w:val="none"/>
          <w:u w:val="single"/>
          <w:lang w:eastAsia="zh-CN"/>
        </w:rPr>
        <w:t>拟派项目负责人须为投标企业在职职工（在职职工不包括离、退休返聘人员），须提供缴费期限包含202</w:t>
      </w:r>
      <w:r>
        <w:rPr>
          <w:rFonts w:hint="eastAsia" w:ascii="宋体" w:hAnsi="宋体" w:eastAsia="宋体" w:cs="宋体"/>
          <w:color w:val="auto"/>
          <w:spacing w:val="-1"/>
          <w:sz w:val="24"/>
          <w:szCs w:val="24"/>
          <w:highlight w:val="none"/>
          <w:u w:val="single"/>
          <w:lang w:val="en-US" w:eastAsia="zh-CN"/>
        </w:rPr>
        <w:t>5</w:t>
      </w:r>
      <w:r>
        <w:rPr>
          <w:rFonts w:hint="eastAsia" w:ascii="宋体" w:hAnsi="宋体" w:eastAsia="宋体" w:cs="宋体"/>
          <w:color w:val="auto"/>
          <w:spacing w:val="-1"/>
          <w:sz w:val="24"/>
          <w:szCs w:val="24"/>
          <w:highlight w:val="none"/>
          <w:u w:val="single"/>
          <w:lang w:eastAsia="zh-CN"/>
        </w:rPr>
        <w:t>年</w:t>
      </w:r>
      <w:r>
        <w:rPr>
          <w:rFonts w:hint="eastAsia" w:ascii="宋体" w:hAnsi="宋体" w:eastAsia="宋体" w:cs="宋体"/>
          <w:color w:val="auto"/>
          <w:spacing w:val="-1"/>
          <w:sz w:val="24"/>
          <w:szCs w:val="24"/>
          <w:highlight w:val="none"/>
          <w:u w:val="single"/>
          <w:lang w:val="en-US" w:eastAsia="zh-CN"/>
        </w:rPr>
        <w:t>05</w:t>
      </w:r>
      <w:r>
        <w:rPr>
          <w:rFonts w:hint="eastAsia" w:ascii="宋体" w:hAnsi="宋体" w:eastAsia="宋体" w:cs="宋体"/>
          <w:color w:val="auto"/>
          <w:spacing w:val="-1"/>
          <w:sz w:val="24"/>
          <w:szCs w:val="24"/>
          <w:highlight w:val="none"/>
          <w:u w:val="single"/>
          <w:lang w:eastAsia="zh-CN"/>
        </w:rPr>
        <w:t>月至202</w:t>
      </w:r>
      <w:r>
        <w:rPr>
          <w:rFonts w:hint="eastAsia" w:ascii="宋体" w:hAnsi="宋体" w:eastAsia="宋体" w:cs="宋体"/>
          <w:color w:val="auto"/>
          <w:spacing w:val="-1"/>
          <w:sz w:val="24"/>
          <w:szCs w:val="24"/>
          <w:highlight w:val="none"/>
          <w:u w:val="single"/>
          <w:lang w:val="en-US" w:eastAsia="zh-CN"/>
        </w:rPr>
        <w:t>5</w:t>
      </w:r>
      <w:r>
        <w:rPr>
          <w:rFonts w:hint="eastAsia" w:ascii="宋体" w:hAnsi="宋体" w:eastAsia="宋体" w:cs="宋体"/>
          <w:color w:val="auto"/>
          <w:spacing w:val="-1"/>
          <w:sz w:val="24"/>
          <w:szCs w:val="24"/>
          <w:highlight w:val="none"/>
          <w:u w:val="single"/>
          <w:lang w:eastAsia="zh-CN"/>
        </w:rPr>
        <w:t>年</w:t>
      </w:r>
      <w:r>
        <w:rPr>
          <w:rFonts w:hint="eastAsia" w:ascii="宋体" w:hAnsi="宋体" w:eastAsia="宋体" w:cs="宋体"/>
          <w:color w:val="auto"/>
          <w:spacing w:val="-1"/>
          <w:sz w:val="24"/>
          <w:szCs w:val="24"/>
          <w:highlight w:val="none"/>
          <w:u w:val="single"/>
          <w:lang w:val="en-US" w:eastAsia="zh-CN"/>
        </w:rPr>
        <w:t>07</w:t>
      </w:r>
      <w:r>
        <w:rPr>
          <w:rFonts w:hint="eastAsia" w:ascii="宋体" w:hAnsi="宋体" w:eastAsia="宋体" w:cs="宋体"/>
          <w:color w:val="auto"/>
          <w:spacing w:val="-1"/>
          <w:sz w:val="24"/>
          <w:szCs w:val="24"/>
          <w:highlight w:val="none"/>
          <w:u w:val="single"/>
          <w:lang w:eastAsia="zh-CN"/>
        </w:rPr>
        <w:t>月的投标人所属社保机构养老保险交纳清单或证明【缴费单位和投标单位名称必须一致，非独立法人的分公司社保，也予以认可，并加盖社保缴费证明专用章（或电子专用章）】。</w:t>
      </w:r>
    </w:p>
    <w:p w14:paraId="2FECCCC9">
      <w:pPr>
        <w:spacing w:before="78" w:line="359" w:lineRule="auto"/>
        <w:ind w:left="39" w:right="77" w:firstLine="483"/>
        <w:rPr>
          <w:rFonts w:hint="eastAsia" w:ascii="宋体" w:hAnsi="宋体" w:eastAsia="宋体" w:cs="宋体"/>
          <w:color w:val="auto"/>
          <w:spacing w:val="-1"/>
          <w:sz w:val="24"/>
          <w:szCs w:val="24"/>
          <w:highlight w:val="none"/>
          <w:u w:val="single"/>
          <w:lang w:eastAsia="zh-CN"/>
        </w:rPr>
      </w:pPr>
      <w:r>
        <w:rPr>
          <w:rFonts w:hint="eastAsia" w:ascii="宋体" w:hAnsi="宋体" w:eastAsia="宋体" w:cs="宋体"/>
          <w:color w:val="auto"/>
          <w:spacing w:val="-1"/>
          <w:sz w:val="24"/>
          <w:szCs w:val="24"/>
          <w:highlight w:val="none"/>
          <w:u w:val="single"/>
          <w:lang w:eastAsia="zh-CN"/>
        </w:rPr>
        <w:t>注：根据《住房和城乡建设部办公厅关于全面实行一级建造师电子注册证书的通知》（建办市〔2021〕40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p w14:paraId="70725D8C">
      <w:pPr>
        <w:keepNext w:val="0"/>
        <w:keepLines w:val="0"/>
        <w:pageBreakBefore w:val="0"/>
        <w:kinsoku w:val="0"/>
        <w:wordWrap/>
        <w:topLinePunct w:val="0"/>
        <w:autoSpaceDE w:val="0"/>
        <w:autoSpaceDN w:val="0"/>
        <w:bidi w:val="0"/>
        <w:adjustRightInd w:val="0"/>
        <w:snapToGrid w:val="0"/>
        <w:spacing w:before="183" w:line="360" w:lineRule="auto"/>
        <w:ind w:left="40" w:right="50" w:firstLine="479"/>
        <w:textAlignment w:val="baseline"/>
        <w:rPr>
          <w:rFonts w:ascii="宋体" w:hAnsi="宋体" w:eastAsia="宋体" w:cs="宋体"/>
          <w:color w:val="auto"/>
          <w:sz w:val="24"/>
          <w:szCs w:val="24"/>
          <w:highlight w:val="none"/>
        </w:rPr>
      </w:pPr>
      <w:r>
        <w:rPr>
          <w:rFonts w:ascii="Times New Roman" w:hAnsi="Times New Roman" w:eastAsia="Times New Roman" w:cs="Times New Roman"/>
          <w:color w:val="auto"/>
          <w:spacing w:val="-7"/>
          <w:sz w:val="24"/>
          <w:szCs w:val="24"/>
          <w:highlight w:val="none"/>
        </w:rPr>
        <w:t xml:space="preserve">3.2  </w:t>
      </w:r>
      <w:r>
        <w:rPr>
          <w:rFonts w:ascii="宋体" w:hAnsi="宋体" w:eastAsia="宋体" w:cs="宋体"/>
          <w:color w:val="auto"/>
          <w:spacing w:val="-7"/>
          <w:sz w:val="24"/>
          <w:szCs w:val="24"/>
          <w:highlight w:val="none"/>
        </w:rPr>
        <w:t>本次招标</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z w:val="24"/>
          <w:szCs w:val="24"/>
          <w:highlight w:val="none"/>
          <w:u w:val="single" w:color="auto"/>
        </w:rPr>
        <w:t xml:space="preserve">不接受 </w:t>
      </w:r>
      <w:r>
        <w:rPr>
          <w:rFonts w:ascii="宋体" w:hAnsi="宋体" w:eastAsia="宋体" w:cs="宋体"/>
          <w:color w:val="auto"/>
          <w:spacing w:val="-7"/>
          <w:sz w:val="24"/>
          <w:szCs w:val="24"/>
          <w:highlight w:val="none"/>
        </w:rPr>
        <w:t>（接受或不接受）联合体投标。接受联合体投标，应满足下列</w:t>
      </w:r>
      <w:r>
        <w:rPr>
          <w:rFonts w:ascii="宋体" w:hAnsi="宋体" w:eastAsia="宋体" w:cs="宋体"/>
          <w:color w:val="auto"/>
          <w:spacing w:val="-15"/>
          <w:sz w:val="24"/>
          <w:szCs w:val="24"/>
          <w:highlight w:val="none"/>
        </w:rPr>
        <w:t>要求：</w:t>
      </w:r>
    </w:p>
    <w:p w14:paraId="476AA186">
      <w:pPr>
        <w:keepNext w:val="0"/>
        <w:keepLines w:val="0"/>
        <w:pageBreakBefore w:val="0"/>
        <w:widowControl w:val="0"/>
        <w:kinsoku w:val="0"/>
        <w:wordWrap/>
        <w:overflowPunct w:val="0"/>
        <w:topLinePunct w:val="0"/>
        <w:autoSpaceDE w:val="0"/>
        <w:autoSpaceDN w:val="0"/>
        <w:bidi w:val="0"/>
        <w:adjustRightInd w:val="0"/>
        <w:snapToGrid w:val="0"/>
        <w:spacing w:before="179" w:line="360" w:lineRule="auto"/>
        <w:ind w:left="525"/>
        <w:textAlignment w:val="baseline"/>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）联合体所有成员数量不得超过</w:t>
      </w:r>
      <w:r>
        <w:rPr>
          <w:rFonts w:ascii="宋体" w:hAnsi="宋体" w:eastAsia="宋体" w:cs="宋体"/>
          <w:strike/>
          <w:dstrike w:val="0"/>
          <w:color w:val="auto"/>
          <w:spacing w:val="-98"/>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hint="eastAsia" w:ascii="宋体" w:hAnsi="宋体" w:eastAsia="宋体" w:cs="宋体"/>
          <w:strike/>
          <w:dstrike w:val="0"/>
          <w:color w:val="auto"/>
          <w:sz w:val="24"/>
          <w:szCs w:val="24"/>
          <w:highlight w:val="none"/>
          <w:u w:val="single" w:color="auto"/>
          <w:lang w:val="en-US" w:eastAsia="zh-CN"/>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1"/>
          <w:sz w:val="24"/>
          <w:szCs w:val="24"/>
          <w:highlight w:val="none"/>
        </w:rPr>
        <w:t xml:space="preserve"> </w:t>
      </w:r>
      <w:r>
        <w:rPr>
          <w:rFonts w:ascii="宋体" w:hAnsi="宋体" w:eastAsia="宋体" w:cs="宋体"/>
          <w:strike/>
          <w:dstrike w:val="0"/>
          <w:color w:val="auto"/>
          <w:spacing w:val="-4"/>
          <w:sz w:val="24"/>
          <w:szCs w:val="24"/>
          <w:highlight w:val="none"/>
        </w:rPr>
        <w:t>个；</w:t>
      </w:r>
    </w:p>
    <w:p w14:paraId="1AD11B20">
      <w:pPr>
        <w:keepNext w:val="0"/>
        <w:keepLines w:val="0"/>
        <w:pageBreakBefore w:val="0"/>
        <w:widowControl w:val="0"/>
        <w:kinsoku w:val="0"/>
        <w:wordWrap/>
        <w:overflowPunct w:val="0"/>
        <w:topLinePunct w:val="0"/>
        <w:autoSpaceDE w:val="0"/>
        <w:autoSpaceDN w:val="0"/>
        <w:bidi w:val="0"/>
        <w:adjustRightInd w:val="0"/>
        <w:snapToGrid w:val="0"/>
        <w:spacing w:before="47" w:line="360" w:lineRule="auto"/>
        <w:ind w:left="488"/>
        <w:textAlignment w:val="baseline"/>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）以</w:t>
      </w:r>
      <w:r>
        <w:rPr>
          <w:rFonts w:ascii="宋体" w:hAnsi="宋体" w:eastAsia="宋体" w:cs="宋体"/>
          <w:strike/>
          <w:dstrike w:val="0"/>
          <w:color w:val="auto"/>
          <w:spacing w:val="-99"/>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hint="eastAsia" w:ascii="宋体" w:hAnsi="宋体" w:eastAsia="宋体" w:cs="宋体"/>
          <w:strike/>
          <w:dstrike w:val="0"/>
          <w:color w:val="auto"/>
          <w:sz w:val="24"/>
          <w:szCs w:val="24"/>
          <w:highlight w:val="none"/>
          <w:u w:val="single" w:color="auto"/>
          <w:lang w:val="en-US" w:eastAsia="zh-CN"/>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7"/>
          <w:sz w:val="24"/>
          <w:szCs w:val="24"/>
          <w:highlight w:val="none"/>
        </w:rPr>
        <w:t>方作为联合体牵头人；</w:t>
      </w:r>
    </w:p>
    <w:p w14:paraId="2F55C27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76" w:firstLineChars="200"/>
        <w:textAlignment w:val="baseline"/>
        <w:rPr>
          <w:rFonts w:ascii="宋体" w:hAnsi="宋体" w:eastAsia="宋体" w:cs="宋体"/>
          <w:strike/>
          <w:dstrike w:val="0"/>
          <w:color w:val="auto"/>
          <w:spacing w:val="-1"/>
          <w:sz w:val="24"/>
          <w:szCs w:val="24"/>
          <w:highlight w:val="none"/>
          <w:u w:val="single" w:color="auto"/>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3</w:t>
      </w:r>
      <w:r>
        <w:rPr>
          <w:rFonts w:ascii="宋体" w:hAnsi="宋体" w:eastAsia="宋体" w:cs="宋体"/>
          <w:strike/>
          <w:dstrike w:val="0"/>
          <w:color w:val="auto"/>
          <w:spacing w:val="-1"/>
          <w:sz w:val="24"/>
          <w:szCs w:val="24"/>
          <w:highlight w:val="none"/>
        </w:rPr>
        <w:t>）拟派项目主要成员的委派要求</w:t>
      </w:r>
      <w:r>
        <w:rPr>
          <w:rFonts w:ascii="宋体" w:hAnsi="宋体" w:eastAsia="宋体" w:cs="宋体"/>
          <w:strike/>
          <w:dstrike w:val="0"/>
          <w:color w:val="auto"/>
          <w:spacing w:val="-107"/>
          <w:sz w:val="24"/>
          <w:szCs w:val="24"/>
          <w:highlight w:val="none"/>
        </w:rPr>
        <w:t xml:space="preserve"> </w:t>
      </w:r>
      <w:r>
        <w:rPr>
          <w:rFonts w:ascii="宋体" w:hAnsi="宋体" w:eastAsia="宋体" w:cs="宋体"/>
          <w:strike/>
          <w:dstrike w:val="0"/>
          <w:color w:val="auto"/>
          <w:spacing w:val="-1"/>
          <w:sz w:val="24"/>
          <w:szCs w:val="24"/>
          <w:highlight w:val="none"/>
          <w:u w:val="single" w:color="auto"/>
        </w:rPr>
        <w:t xml:space="preserve">    </w:t>
      </w:r>
      <w:r>
        <w:rPr>
          <w:rFonts w:hint="eastAsia" w:ascii="宋体" w:hAnsi="宋体" w:eastAsia="宋体" w:cs="宋体"/>
          <w:strike/>
          <w:dstrike w:val="0"/>
          <w:color w:val="auto"/>
          <w:spacing w:val="-1"/>
          <w:sz w:val="24"/>
          <w:szCs w:val="24"/>
          <w:highlight w:val="none"/>
          <w:u w:val="single" w:color="auto"/>
          <w:lang w:val="en-US" w:eastAsia="zh-CN"/>
        </w:rPr>
        <w:t>/</w:t>
      </w:r>
      <w:r>
        <w:rPr>
          <w:rFonts w:ascii="宋体" w:hAnsi="宋体" w:eastAsia="宋体" w:cs="宋体"/>
          <w:strike/>
          <w:dstrike w:val="0"/>
          <w:color w:val="auto"/>
          <w:spacing w:val="-1"/>
          <w:sz w:val="24"/>
          <w:szCs w:val="24"/>
          <w:highlight w:val="none"/>
          <w:u w:val="single" w:color="auto"/>
        </w:rPr>
        <w:t xml:space="preserve">     </w:t>
      </w:r>
      <w:bookmarkStart w:id="13" w:name="bookmark7"/>
      <w:bookmarkEnd w:id="13"/>
    </w:p>
    <w:p w14:paraId="5497333C">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560" w:firstLineChars="200"/>
        <w:textAlignment w:val="baseline"/>
        <w:rPr>
          <w:color w:val="auto"/>
          <w:highlight w:val="none"/>
        </w:rPr>
      </w:pPr>
      <w:r>
        <w:rPr>
          <w:rFonts w:ascii="Times New Roman" w:hAnsi="Times New Roman" w:eastAsia="Times New Roman" w:cs="Times New Roman"/>
          <w:b/>
          <w:bCs/>
          <w:color w:val="auto"/>
          <w:spacing w:val="5"/>
          <w:sz w:val="27"/>
          <w:szCs w:val="27"/>
          <w:highlight w:val="none"/>
        </w:rPr>
        <w:t xml:space="preserve">4  </w:t>
      </w:r>
      <w:r>
        <w:rPr>
          <w:rFonts w:ascii="宋体" w:hAnsi="宋体" w:eastAsia="宋体" w:cs="宋体"/>
          <w:b/>
          <w:bCs/>
          <w:color w:val="auto"/>
          <w:spacing w:val="5"/>
          <w:sz w:val="27"/>
          <w:szCs w:val="27"/>
          <w:highlight w:val="none"/>
        </w:rPr>
        <w:t>招标文件的获取</w:t>
      </w:r>
    </w:p>
    <w:p w14:paraId="16E5DCD6">
      <w:pPr>
        <w:spacing w:before="79" w:line="360" w:lineRule="auto"/>
        <w:ind w:left="4" w:right="172" w:firstLine="482"/>
        <w:jc w:val="both"/>
        <w:rPr>
          <w:rFonts w:ascii="宋体" w:hAnsi="宋体" w:eastAsia="宋体" w:cs="宋体"/>
          <w:color w:val="auto"/>
          <w:spacing w:val="-9"/>
          <w:sz w:val="24"/>
          <w:szCs w:val="24"/>
          <w:highlight w:val="none"/>
          <w:lang w:eastAsia="zh-CN"/>
        </w:rPr>
      </w:pPr>
      <w:r>
        <w:rPr>
          <w:rFonts w:ascii="宋体" w:hAnsi="宋体" w:eastAsia="宋体" w:cs="宋体"/>
          <w:color w:val="auto"/>
          <w:spacing w:val="-9"/>
          <w:sz w:val="24"/>
          <w:szCs w:val="24"/>
          <w:highlight w:val="none"/>
        </w:rPr>
        <w:t>凡有意参加投标者，请于</w:t>
      </w:r>
      <w:r>
        <w:rPr>
          <w:rFonts w:hint="eastAsia" w:ascii="宋体" w:hAnsi="宋体" w:eastAsia="宋体" w:cs="宋体"/>
          <w:color w:val="auto"/>
          <w:spacing w:val="-9"/>
          <w:sz w:val="24"/>
          <w:szCs w:val="24"/>
          <w:highlight w:val="none"/>
          <w:lang w:val="en-US" w:eastAsia="zh-CN"/>
        </w:rPr>
        <w:t xml:space="preserve"> </w:t>
      </w:r>
      <w:r>
        <w:rPr>
          <w:rFonts w:hint="eastAsia" w:ascii="宋体" w:hAnsi="宋体" w:eastAsia="宋体" w:cs="宋体"/>
          <w:color w:val="auto"/>
          <w:sz w:val="24"/>
          <w:szCs w:val="24"/>
          <w:highlight w:val="none"/>
          <w:u w:val="single" w:color="auto"/>
          <w:lang w:val="en-US" w:eastAsia="zh-CN"/>
        </w:rPr>
        <w:t xml:space="preserve">2025 </w:t>
      </w:r>
      <w:r>
        <w:rPr>
          <w:rFonts w:hint="eastAsia" w:ascii="宋体" w:hAnsi="宋体" w:eastAsia="宋体" w:cs="宋体"/>
          <w:color w:val="auto"/>
          <w:sz w:val="24"/>
          <w:szCs w:val="24"/>
          <w:highlight w:val="none"/>
          <w:u w:val="none" w:color="auto"/>
          <w:lang w:val="en-US" w:eastAsia="zh-CN"/>
        </w:rPr>
        <w:t>年</w:t>
      </w:r>
      <w:r>
        <w:rPr>
          <w:rFonts w:hint="eastAsia" w:ascii="宋体" w:hAnsi="宋体" w:eastAsia="宋体" w:cs="宋体"/>
          <w:color w:val="auto"/>
          <w:sz w:val="24"/>
          <w:szCs w:val="24"/>
          <w:highlight w:val="none"/>
          <w:u w:val="single" w:color="auto"/>
          <w:lang w:val="en-US" w:eastAsia="zh-CN"/>
        </w:rPr>
        <w:t xml:space="preserve">     </w:t>
      </w:r>
      <w:r>
        <w:rPr>
          <w:rFonts w:hint="eastAsia" w:ascii="宋体" w:hAnsi="宋体" w:eastAsia="宋体" w:cs="宋体"/>
          <w:color w:val="auto"/>
          <w:sz w:val="24"/>
          <w:szCs w:val="24"/>
          <w:highlight w:val="none"/>
          <w:u w:val="none" w:color="auto"/>
          <w:lang w:val="en-US" w:eastAsia="zh-CN"/>
        </w:rPr>
        <w:t>月</w:t>
      </w:r>
      <w:r>
        <w:rPr>
          <w:rFonts w:hint="eastAsia" w:ascii="宋体" w:hAnsi="宋体" w:eastAsia="宋体" w:cs="宋体"/>
          <w:color w:val="auto"/>
          <w:sz w:val="24"/>
          <w:szCs w:val="24"/>
          <w:highlight w:val="none"/>
          <w:u w:val="single" w:color="auto"/>
          <w:lang w:val="en-US" w:eastAsia="zh-CN"/>
        </w:rPr>
        <w:t xml:space="preserve">     </w:t>
      </w:r>
      <w:r>
        <w:rPr>
          <w:rFonts w:hint="eastAsia" w:ascii="宋体" w:hAnsi="宋体" w:eastAsia="宋体" w:cs="宋体"/>
          <w:color w:val="auto"/>
          <w:sz w:val="24"/>
          <w:szCs w:val="24"/>
          <w:highlight w:val="none"/>
          <w:u w:val="none" w:color="auto"/>
          <w:lang w:val="en-US" w:eastAsia="zh-CN"/>
        </w:rPr>
        <w:t xml:space="preserve">日 </w:t>
      </w:r>
      <w:r>
        <w:rPr>
          <w:rFonts w:hint="eastAsia" w:ascii="宋体" w:hAnsi="宋体" w:eastAsia="宋体" w:cs="宋体"/>
          <w:color w:val="auto"/>
          <w:sz w:val="24"/>
          <w:szCs w:val="24"/>
          <w:highlight w:val="none"/>
          <w:u w:val="single" w:color="auto"/>
          <w:lang w:val="en-US" w:eastAsia="zh-CN"/>
        </w:rPr>
        <w:t xml:space="preserve">8:30 </w:t>
      </w:r>
      <w:r>
        <w:rPr>
          <w:rFonts w:hint="eastAsia" w:ascii="宋体" w:hAnsi="宋体" w:eastAsia="宋体" w:cs="宋体"/>
          <w:color w:val="auto"/>
          <w:sz w:val="24"/>
          <w:szCs w:val="24"/>
          <w:highlight w:val="none"/>
          <w:u w:val="none" w:color="auto"/>
          <w:lang w:val="en-US" w:eastAsia="zh-CN"/>
        </w:rPr>
        <w:t>时</w:t>
      </w:r>
      <w:r>
        <w:rPr>
          <w:rFonts w:hint="eastAsia" w:ascii="宋体" w:hAnsi="宋体" w:eastAsia="宋体" w:cs="宋体"/>
          <w:color w:val="auto"/>
          <w:sz w:val="24"/>
          <w:szCs w:val="24"/>
          <w:highlight w:val="none"/>
          <w:u w:val="none" w:color="auto"/>
        </w:rPr>
        <w:t>至</w:t>
      </w:r>
      <w:r>
        <w:rPr>
          <w:rFonts w:hint="eastAsia" w:ascii="宋体" w:hAnsi="宋体" w:eastAsia="宋体" w:cs="宋体"/>
          <w:color w:val="auto"/>
          <w:sz w:val="24"/>
          <w:szCs w:val="24"/>
          <w:highlight w:val="none"/>
          <w:u w:val="none" w:color="auto"/>
          <w:lang w:val="en-US" w:eastAsia="zh-CN"/>
        </w:rPr>
        <w:t xml:space="preserve"> </w:t>
      </w:r>
      <w:r>
        <w:rPr>
          <w:rFonts w:hint="eastAsia" w:ascii="宋体" w:hAnsi="宋体" w:eastAsia="宋体" w:cs="宋体"/>
          <w:color w:val="auto"/>
          <w:sz w:val="24"/>
          <w:szCs w:val="24"/>
          <w:highlight w:val="none"/>
          <w:u w:val="single" w:color="auto"/>
          <w:lang w:val="en-US" w:eastAsia="zh-CN"/>
        </w:rPr>
        <w:t xml:space="preserve">2025 </w:t>
      </w:r>
      <w:r>
        <w:rPr>
          <w:rFonts w:hint="eastAsia" w:ascii="宋体" w:hAnsi="宋体" w:eastAsia="宋体" w:cs="宋体"/>
          <w:color w:val="auto"/>
          <w:sz w:val="24"/>
          <w:szCs w:val="24"/>
          <w:highlight w:val="none"/>
          <w:u w:val="none" w:color="auto"/>
          <w:lang w:val="en-US" w:eastAsia="zh-CN"/>
        </w:rPr>
        <w:t>年</w:t>
      </w:r>
      <w:r>
        <w:rPr>
          <w:rFonts w:hint="eastAsia" w:ascii="宋体" w:hAnsi="宋体" w:eastAsia="宋体" w:cs="宋体"/>
          <w:color w:val="auto"/>
          <w:sz w:val="24"/>
          <w:szCs w:val="24"/>
          <w:highlight w:val="none"/>
          <w:u w:val="single" w:color="auto"/>
          <w:lang w:val="en-US" w:eastAsia="zh-CN"/>
        </w:rPr>
        <w:t xml:space="preserve">    </w:t>
      </w:r>
      <w:r>
        <w:rPr>
          <w:rFonts w:hint="eastAsia" w:ascii="宋体" w:hAnsi="宋体" w:eastAsia="宋体" w:cs="宋体"/>
          <w:color w:val="auto"/>
          <w:sz w:val="24"/>
          <w:szCs w:val="24"/>
          <w:highlight w:val="none"/>
          <w:u w:val="none" w:color="auto"/>
          <w:lang w:val="en-US" w:eastAsia="zh-CN"/>
        </w:rPr>
        <w:t>月</w:t>
      </w:r>
      <w:r>
        <w:rPr>
          <w:rFonts w:hint="eastAsia" w:ascii="宋体" w:hAnsi="宋体" w:eastAsia="宋体" w:cs="宋体"/>
          <w:color w:val="auto"/>
          <w:sz w:val="24"/>
          <w:szCs w:val="24"/>
          <w:highlight w:val="none"/>
          <w:u w:val="single" w:color="auto"/>
          <w:lang w:val="en-US" w:eastAsia="zh-CN"/>
        </w:rPr>
        <w:t xml:space="preserve">    </w:t>
      </w:r>
      <w:r>
        <w:rPr>
          <w:rFonts w:hint="eastAsia" w:ascii="宋体" w:hAnsi="宋体" w:eastAsia="宋体" w:cs="宋体"/>
          <w:color w:val="auto"/>
          <w:sz w:val="24"/>
          <w:szCs w:val="24"/>
          <w:highlight w:val="none"/>
          <w:u w:val="none" w:color="auto"/>
          <w:lang w:val="en-US" w:eastAsia="zh-CN"/>
        </w:rPr>
        <w:t xml:space="preserve">日 </w:t>
      </w:r>
      <w:r>
        <w:rPr>
          <w:rFonts w:hint="eastAsia" w:ascii="宋体" w:hAnsi="宋体" w:eastAsia="宋体" w:cs="宋体"/>
          <w:color w:val="auto"/>
          <w:sz w:val="24"/>
          <w:szCs w:val="24"/>
          <w:highlight w:val="none"/>
          <w:u w:val="single" w:color="auto"/>
          <w:lang w:val="en-US" w:eastAsia="zh-CN"/>
        </w:rPr>
        <w:t xml:space="preserve">17:30 </w:t>
      </w:r>
      <w:r>
        <w:rPr>
          <w:rFonts w:hint="eastAsia" w:ascii="宋体" w:hAnsi="宋体" w:eastAsia="宋体" w:cs="宋体"/>
          <w:color w:val="auto"/>
          <w:sz w:val="24"/>
          <w:szCs w:val="24"/>
          <w:highlight w:val="none"/>
          <w:u w:val="none" w:color="auto"/>
          <w:lang w:val="en-US" w:eastAsia="zh-CN"/>
        </w:rPr>
        <w:t>时（北京时间，下同）</w:t>
      </w:r>
      <w:r>
        <w:rPr>
          <w:rFonts w:ascii="宋体" w:hAnsi="宋体" w:eastAsia="宋体" w:cs="宋体"/>
          <w:color w:val="auto"/>
          <w:spacing w:val="-10"/>
          <w:sz w:val="24"/>
          <w:szCs w:val="24"/>
          <w:highlight w:val="none"/>
        </w:rPr>
        <w:t>，</w:t>
      </w:r>
      <w:r>
        <w:rPr>
          <w:rFonts w:ascii="宋体" w:hAnsi="宋体" w:eastAsia="宋体" w:cs="宋体"/>
          <w:color w:val="auto"/>
          <w:spacing w:val="-2"/>
          <w:sz w:val="24"/>
          <w:szCs w:val="24"/>
          <w:highlight w:val="none"/>
        </w:rPr>
        <w:t>登录</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绍兴市公共资源交易中心越城区分中心电子招投标交易平台（http://ztb.sxyc.gov.cn/TPBidder</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下载电子招标</w:t>
      </w:r>
      <w:r>
        <w:rPr>
          <w:rFonts w:ascii="宋体" w:hAnsi="宋体" w:eastAsia="宋体" w:cs="宋体"/>
          <w:color w:val="auto"/>
          <w:spacing w:val="-11"/>
          <w:sz w:val="24"/>
          <w:szCs w:val="24"/>
          <w:highlight w:val="none"/>
        </w:rPr>
        <w:t>文</w:t>
      </w:r>
      <w:r>
        <w:rPr>
          <w:rFonts w:ascii="宋体" w:hAnsi="宋体" w:eastAsia="宋体" w:cs="宋体"/>
          <w:color w:val="auto"/>
          <w:spacing w:val="-9"/>
          <w:sz w:val="24"/>
          <w:szCs w:val="24"/>
          <w:highlight w:val="none"/>
        </w:rPr>
        <w:t>件</w:t>
      </w:r>
      <w:r>
        <w:rPr>
          <w:rFonts w:ascii="宋体" w:hAnsi="宋体" w:eastAsia="宋体" w:cs="宋体"/>
          <w:color w:val="auto"/>
          <w:spacing w:val="-9"/>
          <w:sz w:val="24"/>
          <w:szCs w:val="24"/>
          <w:highlight w:val="none"/>
          <w:lang w:eastAsia="zh-CN"/>
        </w:rPr>
        <w:t>，截止期后交易平台不再提供下载服务；未在规定时间内获取招标文件的，不接受其投标。</w:t>
      </w:r>
    </w:p>
    <w:p w14:paraId="272645C0">
      <w:pPr>
        <w:spacing w:before="79" w:line="360" w:lineRule="auto"/>
        <w:ind w:left="4" w:right="172" w:firstLine="482"/>
        <w:jc w:val="both"/>
        <w:rPr>
          <w:rFonts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注：请各投标人在缴纳投标保证金前自行核对统一主体库内填写的基本账户信息，避免出现保证金缴纳后无法匹配的现象。</w:t>
      </w:r>
    </w:p>
    <w:p w14:paraId="2F857872">
      <w:pPr>
        <w:spacing w:before="121" w:line="226" w:lineRule="auto"/>
        <w:ind w:left="2"/>
        <w:outlineLvl w:val="2"/>
        <w:rPr>
          <w:rFonts w:ascii="宋体" w:hAnsi="宋体" w:eastAsia="宋体" w:cs="宋体"/>
          <w:color w:val="auto"/>
          <w:sz w:val="27"/>
          <w:szCs w:val="27"/>
          <w:highlight w:val="none"/>
        </w:rPr>
      </w:pPr>
      <w:bookmarkStart w:id="14" w:name="bookmark8"/>
      <w:bookmarkEnd w:id="14"/>
      <w:bookmarkStart w:id="15" w:name="_Toc24100"/>
      <w:r>
        <w:rPr>
          <w:rFonts w:ascii="Times New Roman" w:hAnsi="Times New Roman" w:eastAsia="Times New Roman" w:cs="Times New Roman"/>
          <w:b/>
          <w:bCs/>
          <w:color w:val="auto"/>
          <w:spacing w:val="5"/>
          <w:sz w:val="27"/>
          <w:szCs w:val="27"/>
          <w:highlight w:val="none"/>
        </w:rPr>
        <w:t xml:space="preserve">5  </w:t>
      </w:r>
      <w:r>
        <w:rPr>
          <w:rFonts w:ascii="宋体" w:hAnsi="宋体" w:eastAsia="宋体" w:cs="宋体"/>
          <w:b/>
          <w:bCs/>
          <w:color w:val="auto"/>
          <w:spacing w:val="5"/>
          <w:sz w:val="27"/>
          <w:szCs w:val="27"/>
          <w:highlight w:val="none"/>
        </w:rPr>
        <w:t>投标文件的递交</w:t>
      </w:r>
      <w:bookmarkEnd w:id="15"/>
    </w:p>
    <w:p w14:paraId="3FAF13E8">
      <w:pPr>
        <w:pStyle w:val="8"/>
        <w:spacing w:line="248" w:lineRule="auto"/>
        <w:rPr>
          <w:color w:val="auto"/>
          <w:highlight w:val="none"/>
        </w:rPr>
      </w:pPr>
    </w:p>
    <w:p w14:paraId="1347259F">
      <w:pPr>
        <w:spacing w:before="78" w:line="359" w:lineRule="auto"/>
        <w:ind w:left="3" w:right="189" w:firstLine="489"/>
        <w:jc w:val="both"/>
        <w:rPr>
          <w:rFonts w:ascii="宋体" w:hAnsi="宋体" w:eastAsia="宋体" w:cs="宋体"/>
          <w:color w:val="auto"/>
          <w:sz w:val="24"/>
          <w:szCs w:val="24"/>
          <w:highlight w:val="none"/>
        </w:rPr>
      </w:pPr>
      <w:r>
        <w:rPr>
          <w:rFonts w:ascii="Times New Roman" w:hAnsi="Times New Roman" w:eastAsia="Times New Roman" w:cs="Times New Roman"/>
          <w:color w:val="auto"/>
          <w:spacing w:val="-7"/>
          <w:sz w:val="24"/>
          <w:szCs w:val="24"/>
          <w:highlight w:val="none"/>
        </w:rPr>
        <w:t>5.1</w:t>
      </w:r>
      <w:r>
        <w:rPr>
          <w:rFonts w:ascii="宋体" w:hAnsi="宋体" w:eastAsia="宋体" w:cs="宋体"/>
          <w:color w:val="auto"/>
          <w:spacing w:val="-7"/>
          <w:sz w:val="24"/>
          <w:szCs w:val="24"/>
          <w:highlight w:val="none"/>
        </w:rPr>
        <w:t>投标文件递交的截止时间（投标截止时间，下同）为</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2025</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97"/>
          <w:sz w:val="24"/>
          <w:szCs w:val="24"/>
          <w:highlight w:val="none"/>
        </w:rPr>
        <w:t xml:space="preserve"> </w:t>
      </w:r>
      <w:r>
        <w:rPr>
          <w:rFonts w:ascii="宋体" w:hAnsi="宋体" w:eastAsia="宋体" w:cs="宋体"/>
          <w:color w:val="auto"/>
          <w:spacing w:val="-7"/>
          <w:sz w:val="24"/>
          <w:szCs w:val="24"/>
          <w:highlight w:val="none"/>
        </w:rPr>
        <w:t>年</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7"/>
          <w:sz w:val="24"/>
          <w:szCs w:val="24"/>
          <w:highlight w:val="none"/>
        </w:rPr>
        <w:t>月</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7"/>
          <w:sz w:val="24"/>
          <w:szCs w:val="24"/>
          <w:highlight w:val="none"/>
        </w:rPr>
        <w:t>日</w:t>
      </w:r>
      <w:r>
        <w:rPr>
          <w:rFonts w:hint="eastAsia" w:ascii="宋体" w:hAnsi="宋体" w:eastAsia="宋体" w:cs="宋体"/>
          <w:color w:val="auto"/>
          <w:spacing w:val="-7"/>
          <w:sz w:val="24"/>
          <w:szCs w:val="24"/>
          <w:highlight w:val="none"/>
          <w:u w:val="single" w:color="auto"/>
          <w:lang w:val="en-US" w:eastAsia="zh-CN"/>
        </w:rPr>
        <w:t>09：30</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99"/>
          <w:sz w:val="24"/>
          <w:szCs w:val="24"/>
          <w:highlight w:val="none"/>
        </w:rPr>
        <w:t xml:space="preserve"> </w:t>
      </w:r>
      <w:r>
        <w:rPr>
          <w:rFonts w:ascii="宋体" w:hAnsi="宋体" w:eastAsia="宋体" w:cs="宋体"/>
          <w:color w:val="auto"/>
          <w:spacing w:val="-7"/>
          <w:sz w:val="24"/>
          <w:szCs w:val="24"/>
          <w:highlight w:val="none"/>
        </w:rPr>
        <w:t>时，</w:t>
      </w:r>
      <w:r>
        <w:rPr>
          <w:rFonts w:hint="eastAsia" w:ascii="宋体" w:hAnsi="宋体" w:eastAsia="宋体" w:cs="宋体"/>
          <w:color w:val="auto"/>
          <w:spacing w:val="-7"/>
          <w:sz w:val="24"/>
          <w:szCs w:val="24"/>
          <w:highlight w:val="none"/>
          <w:u w:val="single" w:color="auto"/>
          <w:lang w:val="en-US" w:eastAsia="zh-CN"/>
        </w:rPr>
        <w:t>绍兴市公共资源交易中心越城区分中心3楼指定开标室（延安东路660号）</w:t>
      </w:r>
      <w:r>
        <w:rPr>
          <w:rFonts w:ascii="宋体" w:hAnsi="宋体" w:eastAsia="宋体" w:cs="宋体"/>
          <w:color w:val="auto"/>
          <w:spacing w:val="-5"/>
          <w:sz w:val="24"/>
          <w:szCs w:val="24"/>
          <w:highlight w:val="none"/>
        </w:rPr>
        <w:t>。</w:t>
      </w:r>
    </w:p>
    <w:p w14:paraId="14A9C75E">
      <w:pPr>
        <w:spacing w:before="79" w:line="360" w:lineRule="auto"/>
        <w:ind w:left="4" w:right="172" w:firstLine="482"/>
        <w:jc w:val="both"/>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5.2本项目采用“不见面”开标方式，不强制要求投标人参加现场开标会。</w:t>
      </w:r>
    </w:p>
    <w:p w14:paraId="41C832B6">
      <w:pPr>
        <w:spacing w:before="79" w:line="360" w:lineRule="auto"/>
        <w:ind w:left="4" w:right="172" w:firstLine="482"/>
        <w:jc w:val="both"/>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5.3项目资格预审文件和招标文件发布截止时间、递交资格预审申请文件截止时间、投标截止时间、有关公示（公告）截止时间、投诉有效期截止时间如遇国家法定休假日的，则自动顺延至法定休假日后第1个工作日。</w:t>
      </w:r>
    </w:p>
    <w:p w14:paraId="004897D1">
      <w:pPr>
        <w:spacing w:before="308" w:line="225" w:lineRule="auto"/>
        <w:ind w:left="3"/>
        <w:outlineLvl w:val="2"/>
        <w:rPr>
          <w:rFonts w:ascii="宋体" w:hAnsi="宋体" w:eastAsia="宋体" w:cs="宋体"/>
          <w:color w:val="auto"/>
          <w:sz w:val="27"/>
          <w:szCs w:val="27"/>
          <w:highlight w:val="none"/>
        </w:rPr>
      </w:pPr>
      <w:bookmarkStart w:id="16" w:name="bookmark9"/>
      <w:bookmarkEnd w:id="16"/>
      <w:bookmarkStart w:id="17" w:name="_Toc20634"/>
      <w:r>
        <w:rPr>
          <w:rFonts w:ascii="Times New Roman" w:hAnsi="Times New Roman" w:eastAsia="Times New Roman" w:cs="Times New Roman"/>
          <w:b/>
          <w:bCs/>
          <w:color w:val="auto"/>
          <w:spacing w:val="5"/>
          <w:sz w:val="27"/>
          <w:szCs w:val="27"/>
          <w:highlight w:val="none"/>
        </w:rPr>
        <w:t xml:space="preserve">6  </w:t>
      </w:r>
      <w:r>
        <w:rPr>
          <w:rFonts w:ascii="宋体" w:hAnsi="宋体" w:eastAsia="宋体" w:cs="宋体"/>
          <w:b/>
          <w:bCs/>
          <w:color w:val="auto"/>
          <w:spacing w:val="5"/>
          <w:sz w:val="27"/>
          <w:szCs w:val="27"/>
          <w:highlight w:val="none"/>
        </w:rPr>
        <w:t>发布公告的媒介</w:t>
      </w:r>
      <w:bookmarkEnd w:id="17"/>
    </w:p>
    <w:p w14:paraId="2B754559">
      <w:pPr>
        <w:pStyle w:val="8"/>
        <w:spacing w:line="250" w:lineRule="auto"/>
        <w:rPr>
          <w:color w:val="auto"/>
          <w:highlight w:val="none"/>
        </w:rPr>
      </w:pPr>
    </w:p>
    <w:p w14:paraId="0C75D688">
      <w:pPr>
        <w:spacing w:before="78" w:line="218" w:lineRule="auto"/>
        <w:ind w:left="48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本招标公告同时在</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（发布公告的媒介名称）上发布。</w:t>
      </w:r>
    </w:p>
    <w:p w14:paraId="43656CA6">
      <w:pPr>
        <w:spacing w:before="310" w:line="228" w:lineRule="auto"/>
        <w:ind w:left="2"/>
        <w:outlineLvl w:val="2"/>
        <w:rPr>
          <w:rFonts w:ascii="宋体" w:hAnsi="宋体" w:eastAsia="宋体" w:cs="宋体"/>
          <w:color w:val="auto"/>
          <w:sz w:val="27"/>
          <w:szCs w:val="27"/>
          <w:highlight w:val="none"/>
        </w:rPr>
      </w:pPr>
      <w:bookmarkStart w:id="18" w:name="bookmark10"/>
      <w:bookmarkEnd w:id="18"/>
      <w:bookmarkStart w:id="19" w:name="_Toc29034"/>
      <w:r>
        <w:rPr>
          <w:rFonts w:ascii="Times New Roman" w:hAnsi="Times New Roman" w:eastAsia="Times New Roman" w:cs="Times New Roman"/>
          <w:b/>
          <w:bCs/>
          <w:color w:val="auto"/>
          <w:spacing w:val="2"/>
          <w:sz w:val="27"/>
          <w:szCs w:val="27"/>
          <w:highlight w:val="none"/>
        </w:rPr>
        <w:t>7</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2"/>
          <w:sz w:val="27"/>
          <w:szCs w:val="27"/>
          <w:highlight w:val="none"/>
        </w:rPr>
        <w:t>联系方式</w:t>
      </w:r>
      <w:bookmarkEnd w:id="19"/>
    </w:p>
    <w:p w14:paraId="23E75672">
      <w:pPr>
        <w:pStyle w:val="8"/>
        <w:spacing w:line="362" w:lineRule="auto"/>
        <w:rPr>
          <w:color w:val="auto"/>
          <w:highlight w:val="none"/>
        </w:rPr>
      </w:pPr>
    </w:p>
    <w:p w14:paraId="77C7C4D3">
      <w:pPr>
        <w:spacing w:before="78" w:line="219" w:lineRule="auto"/>
        <w:ind w:left="32"/>
        <w:rPr>
          <w:rFonts w:hint="eastAsia" w:ascii="宋体" w:hAnsi="宋体" w:eastAsia="宋体" w:cs="宋体"/>
          <w:color w:val="auto"/>
          <w:sz w:val="21"/>
          <w:szCs w:val="21"/>
          <w:highlight w:val="none"/>
        </w:rPr>
      </w:pPr>
      <w:r>
        <w:rPr>
          <w:rFonts w:hint="eastAsia" w:ascii="宋体" w:hAnsi="宋体" w:eastAsia="宋体" w:cs="宋体"/>
          <w:color w:val="auto"/>
          <w:spacing w:val="7"/>
          <w:sz w:val="24"/>
          <w:szCs w:val="24"/>
          <w:highlight w:val="none"/>
        </w:rPr>
        <w:t>招标人</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7"/>
          <w:sz w:val="24"/>
          <w:szCs w:val="24"/>
          <w:highlight w:val="none"/>
        </w:rPr>
        <w:t>：</w:t>
      </w:r>
      <w:r>
        <w:rPr>
          <w:rFonts w:hint="eastAsia" w:ascii="宋体" w:hAnsi="宋体" w:eastAsia="宋体" w:cs="宋体"/>
          <w:i/>
          <w:color w:val="auto"/>
          <w:spacing w:val="-6"/>
          <w:highlight w:val="none"/>
          <w:u w:val="single"/>
          <w:lang w:eastAsia="zh-CN"/>
        </w:rPr>
        <w:t>绍兴滨海新区滨投农业开发有限公司</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7"/>
          <w:sz w:val="24"/>
          <w:szCs w:val="24"/>
          <w:highlight w:val="none"/>
        </w:rPr>
        <w:t>招标代理机构</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7"/>
          <w:sz w:val="24"/>
          <w:szCs w:val="24"/>
          <w:highlight w:val="none"/>
        </w:rPr>
        <w:t>：</w:t>
      </w:r>
      <w:r>
        <w:rPr>
          <w:rFonts w:hint="eastAsia" w:ascii="宋体" w:hAnsi="宋体" w:eastAsia="宋体" w:cs="宋体"/>
          <w:i/>
          <w:color w:val="auto"/>
          <w:sz w:val="21"/>
          <w:szCs w:val="21"/>
          <w:highlight w:val="none"/>
          <w:u w:val="single"/>
          <w:lang w:val="en-US" w:eastAsia="zh-CN"/>
        </w:rPr>
        <w:t>泰宇建筑工程技术咨询有限公司</w:t>
      </w:r>
    </w:p>
    <w:p w14:paraId="3179E1A9">
      <w:pPr>
        <w:spacing w:before="155" w:line="229" w:lineRule="auto"/>
        <w:ind w:left="31"/>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地</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14"/>
          <w:sz w:val="24"/>
          <w:szCs w:val="24"/>
          <w:highlight w:val="none"/>
        </w:rPr>
        <w:t>址</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i/>
          <w:color w:val="auto"/>
          <w:spacing w:val="-6"/>
          <w:highlight w:val="none"/>
          <w:u w:val="single"/>
          <w:lang w:eastAsia="zh-CN"/>
        </w:rPr>
        <w:t>绍兴市越城区南滨东路98号</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4"/>
          <w:sz w:val="24"/>
          <w:szCs w:val="24"/>
          <w:highlight w:val="none"/>
        </w:rPr>
        <w:t>地</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4"/>
          <w:sz w:val="24"/>
          <w:szCs w:val="24"/>
          <w:highlight w:val="none"/>
        </w:rPr>
        <w:t>址</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bCs/>
          <w:i w:val="0"/>
          <w:iCs w:val="0"/>
          <w:color w:val="auto"/>
          <w:highlight w:val="none"/>
          <w:u w:val="single"/>
          <w:lang w:eastAsia="zh-CN"/>
        </w:rPr>
        <w:t>绍兴市越城区迎凤路87号鑫海大厦1601</w:t>
      </w:r>
      <w:r>
        <w:rPr>
          <w:rFonts w:hint="eastAsia" w:ascii="宋体" w:hAnsi="宋体" w:eastAsia="宋体" w:cs="宋体"/>
          <w:color w:val="auto"/>
          <w:sz w:val="24"/>
          <w:szCs w:val="24"/>
          <w:highlight w:val="none"/>
          <w:u w:val="single" w:color="auto"/>
        </w:rPr>
        <w:t xml:space="preserve"> </w:t>
      </w:r>
    </w:p>
    <w:p w14:paraId="6C49132F">
      <w:pPr>
        <w:spacing w:before="142" w:line="220" w:lineRule="auto"/>
        <w:ind w:left="48"/>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邮</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20"/>
          <w:sz w:val="24"/>
          <w:szCs w:val="24"/>
          <w:highlight w:val="none"/>
        </w:rPr>
        <w:t>编</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20"/>
          <w:sz w:val="24"/>
          <w:szCs w:val="24"/>
          <w:highlight w:val="none"/>
        </w:rPr>
        <w:t>：</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 xml:space="preserve">      312000      </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0"/>
          <w:sz w:val="24"/>
          <w:szCs w:val="24"/>
          <w:highlight w:val="none"/>
        </w:rPr>
        <w:t>邮</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5"/>
          <w:sz w:val="24"/>
          <w:szCs w:val="24"/>
          <w:highlight w:val="none"/>
          <w:lang w:val="en-US" w:eastAsia="zh-CN"/>
        </w:rPr>
        <w:t xml:space="preserve"> </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20"/>
          <w:sz w:val="24"/>
          <w:szCs w:val="24"/>
          <w:highlight w:val="none"/>
        </w:rPr>
        <w:t>编</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20"/>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312000</w:t>
      </w:r>
      <w:r>
        <w:rPr>
          <w:rFonts w:hint="eastAsia" w:ascii="宋体" w:hAnsi="宋体" w:eastAsia="宋体" w:cs="宋体"/>
          <w:color w:val="auto"/>
          <w:sz w:val="24"/>
          <w:szCs w:val="24"/>
          <w:highlight w:val="none"/>
          <w:u w:val="single" w:color="auto"/>
        </w:rPr>
        <w:t xml:space="preserve"> </w:t>
      </w:r>
    </w:p>
    <w:p w14:paraId="0154D9B2">
      <w:pPr>
        <w:spacing w:before="155" w:line="222" w:lineRule="auto"/>
        <w:ind w:left="32"/>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联</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15"/>
          <w:sz w:val="24"/>
          <w:szCs w:val="24"/>
          <w:highlight w:val="none"/>
        </w:rPr>
        <w:t>系</w:t>
      </w:r>
      <w:r>
        <w:rPr>
          <w:rFonts w:hint="eastAsia" w:ascii="宋体" w:hAnsi="宋体" w:eastAsia="宋体" w:cs="宋体"/>
          <w:color w:val="auto"/>
          <w:spacing w:val="20"/>
          <w:sz w:val="24"/>
          <w:szCs w:val="24"/>
          <w:highlight w:val="none"/>
        </w:rPr>
        <w:t xml:space="preserve"> </w:t>
      </w:r>
      <w:r>
        <w:rPr>
          <w:rFonts w:hint="eastAsia" w:ascii="宋体" w:hAnsi="宋体" w:eastAsia="宋体" w:cs="宋体"/>
          <w:color w:val="auto"/>
          <w:spacing w:val="-15"/>
          <w:sz w:val="24"/>
          <w:szCs w:val="24"/>
          <w:highlight w:val="none"/>
        </w:rPr>
        <w:t>人</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 xml:space="preserve">     </w:t>
      </w:r>
      <w:r>
        <w:rPr>
          <w:rFonts w:hint="eastAsia" w:ascii="宋体" w:hAnsi="宋体" w:eastAsia="宋体" w:cs="宋体"/>
          <w:i/>
          <w:color w:val="auto"/>
          <w:highlight w:val="none"/>
          <w:u w:val="single"/>
          <w:lang w:val="en-US" w:eastAsia="zh-CN"/>
        </w:rPr>
        <w:t xml:space="preserve">叶工   </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5"/>
          <w:sz w:val="24"/>
          <w:szCs w:val="24"/>
          <w:highlight w:val="none"/>
        </w:rPr>
        <w:t>联</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15"/>
          <w:sz w:val="24"/>
          <w:szCs w:val="24"/>
          <w:highlight w:val="none"/>
        </w:rPr>
        <w:t>系</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15"/>
          <w:sz w:val="24"/>
          <w:szCs w:val="24"/>
          <w:highlight w:val="none"/>
        </w:rPr>
        <w:t>人</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5"/>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i/>
          <w:color w:val="auto"/>
          <w:highlight w:val="none"/>
          <w:u w:val="single"/>
          <w:lang w:val="en-US" w:eastAsia="zh-CN"/>
        </w:rPr>
        <w:t>金锦英、傅工</w:t>
      </w:r>
      <w:r>
        <w:rPr>
          <w:rFonts w:hint="eastAsia" w:ascii="宋体" w:hAnsi="宋体" w:eastAsia="宋体" w:cs="宋体"/>
          <w:color w:val="auto"/>
          <w:sz w:val="24"/>
          <w:szCs w:val="24"/>
          <w:highlight w:val="none"/>
          <w:u w:val="single" w:color="auto"/>
        </w:rPr>
        <w:t xml:space="preserve">   </w:t>
      </w:r>
    </w:p>
    <w:p w14:paraId="7B635535">
      <w:pPr>
        <w:spacing w:before="150" w:line="222" w:lineRule="auto"/>
        <w:ind w:left="59"/>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电</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18"/>
          <w:sz w:val="24"/>
          <w:szCs w:val="24"/>
          <w:highlight w:val="none"/>
        </w:rPr>
        <w:t>话</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18"/>
          <w:sz w:val="24"/>
          <w:szCs w:val="24"/>
          <w:highlight w:val="none"/>
        </w:rPr>
        <w:t>：</w:t>
      </w:r>
      <w:r>
        <w:rPr>
          <w:rFonts w:hint="eastAsia" w:ascii="宋体" w:hAnsi="宋体" w:eastAsia="宋体" w:cs="宋体"/>
          <w:i/>
          <w:color w:val="auto"/>
          <w:highlight w:val="none"/>
          <w:u w:val="single"/>
          <w:lang w:val="en-US" w:eastAsia="zh-CN"/>
        </w:rPr>
        <w:t xml:space="preserve">      0575-89181102     </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8"/>
          <w:sz w:val="24"/>
          <w:szCs w:val="24"/>
          <w:highlight w:val="none"/>
          <w:lang w:val="en-US" w:eastAsia="zh-CN"/>
        </w:rPr>
        <w:t xml:space="preserve"> </w:t>
      </w:r>
      <w:r>
        <w:rPr>
          <w:rFonts w:hint="eastAsia" w:ascii="宋体" w:hAnsi="宋体" w:eastAsia="宋体" w:cs="宋体"/>
          <w:color w:val="auto"/>
          <w:spacing w:val="-18"/>
          <w:sz w:val="24"/>
          <w:szCs w:val="24"/>
          <w:highlight w:val="none"/>
        </w:rPr>
        <w:t>电</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8"/>
          <w:sz w:val="24"/>
          <w:szCs w:val="24"/>
          <w:highlight w:val="none"/>
        </w:rPr>
        <w:t>话</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18"/>
          <w:sz w:val="24"/>
          <w:szCs w:val="24"/>
          <w:highlight w:val="none"/>
        </w:rPr>
        <w:t>：</w:t>
      </w:r>
      <w:r>
        <w:rPr>
          <w:rFonts w:hint="eastAsia" w:ascii="宋体" w:hAnsi="宋体" w:eastAsia="宋体" w:cs="宋体"/>
          <w:i/>
          <w:color w:val="auto"/>
          <w:sz w:val="21"/>
          <w:szCs w:val="21"/>
          <w:highlight w:val="none"/>
          <w:u w:val="single"/>
          <w:lang w:val="en-US" w:eastAsia="zh-CN"/>
        </w:rPr>
        <w:t>13656752180</w:t>
      </w:r>
      <w:r>
        <w:rPr>
          <w:rFonts w:hint="eastAsia" w:ascii="宋体" w:hAnsi="宋体" w:eastAsia="宋体" w:cs="宋体"/>
          <w:color w:val="auto"/>
          <w:sz w:val="24"/>
          <w:szCs w:val="24"/>
          <w:highlight w:val="none"/>
          <w:u w:val="single" w:color="auto"/>
        </w:rPr>
        <w:t xml:space="preserve">  </w:t>
      </w:r>
    </w:p>
    <w:p w14:paraId="26C885EE">
      <w:pPr>
        <w:spacing w:before="152" w:line="219" w:lineRule="auto"/>
        <w:ind w:left="29"/>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传</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14"/>
          <w:sz w:val="24"/>
          <w:szCs w:val="24"/>
          <w:highlight w:val="none"/>
        </w:rPr>
        <w:t>真</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val="en-US" w:eastAsia="zh-CN"/>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val="en-US" w:eastAsia="zh-CN"/>
        </w:rPr>
        <w:t>/</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val="en-US" w:eastAsia="zh-CN"/>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val="en-US" w:eastAsia="zh-CN"/>
        </w:rPr>
        <w:t xml:space="preserve"> </w:t>
      </w:r>
      <w:r>
        <w:rPr>
          <w:rFonts w:hint="eastAsia" w:ascii="宋体" w:hAnsi="宋体" w:eastAsia="宋体" w:cs="宋体"/>
          <w:color w:val="auto"/>
          <w:spacing w:val="-14"/>
          <w:sz w:val="24"/>
          <w:szCs w:val="24"/>
          <w:highlight w:val="none"/>
        </w:rPr>
        <w:t>传</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4"/>
          <w:sz w:val="24"/>
          <w:szCs w:val="24"/>
          <w:highlight w:val="none"/>
        </w:rPr>
        <w:t>真</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hint="eastAsia" w:ascii="宋体" w:hAnsi="宋体" w:eastAsia="宋体" w:cs="宋体"/>
          <w:color w:val="auto"/>
          <w:sz w:val="24"/>
          <w:szCs w:val="24"/>
          <w:highlight w:val="none"/>
          <w:u w:val="single" w:color="auto"/>
        </w:rPr>
        <w:t xml:space="preserve">    </w:t>
      </w:r>
    </w:p>
    <w:p w14:paraId="37500FC1">
      <w:pPr>
        <w:spacing w:before="171" w:line="220" w:lineRule="auto"/>
        <w:rPr>
          <w:color w:val="auto"/>
          <w:highlight w:val="none"/>
        </w:rPr>
      </w:pPr>
      <w:bookmarkStart w:id="20" w:name="bookmark366"/>
      <w:bookmarkEnd w:id="20"/>
      <w:r>
        <w:rPr>
          <w:rFonts w:ascii="宋体" w:hAnsi="宋体" w:eastAsia="宋体" w:cs="宋体"/>
          <w:color w:val="auto"/>
          <w:spacing w:val="-5"/>
          <w:sz w:val="24"/>
          <w:szCs w:val="24"/>
          <w:highlight w:val="none"/>
        </w:rPr>
        <w:t>电子信箱</w:t>
      </w:r>
      <w:r>
        <w:rPr>
          <w:rFonts w:ascii="宋体" w:hAnsi="宋体" w:eastAsia="宋体" w:cs="宋体"/>
          <w:color w:val="auto"/>
          <w:spacing w:val="-69"/>
          <w:sz w:val="24"/>
          <w:szCs w:val="24"/>
          <w:highlight w:val="none"/>
        </w:rPr>
        <w:t xml:space="preserve"> </w:t>
      </w:r>
      <w:r>
        <w:rPr>
          <w:rFonts w:ascii="宋体" w:hAnsi="宋体" w:eastAsia="宋体" w:cs="宋体"/>
          <w:color w:val="auto"/>
          <w:spacing w:val="-5"/>
          <w:sz w:val="24"/>
          <w:szCs w:val="24"/>
          <w:highlight w:val="none"/>
        </w:rPr>
        <w:t>：</w:t>
      </w:r>
      <w:r>
        <w:rPr>
          <w:rFonts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5"/>
          <w:sz w:val="24"/>
          <w:szCs w:val="24"/>
          <w:highlight w:val="none"/>
          <w:u w:val="single" w:color="auto"/>
          <w:lang w:val="en-US" w:eastAsia="zh-CN"/>
        </w:rPr>
        <w:t>/</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6"/>
          <w:sz w:val="24"/>
          <w:szCs w:val="24"/>
          <w:highlight w:val="none"/>
        </w:rPr>
        <w:t xml:space="preserve">  电子信箱</w:t>
      </w:r>
      <w:r>
        <w:rPr>
          <w:rFonts w:ascii="宋体" w:hAnsi="宋体" w:eastAsia="宋体" w:cs="宋体"/>
          <w:color w:val="auto"/>
          <w:spacing w:val="-66"/>
          <w:sz w:val="24"/>
          <w:szCs w:val="24"/>
          <w:highlight w:val="none"/>
        </w:rPr>
        <w:t xml:space="preserve"> </w:t>
      </w:r>
      <w:r>
        <w:rPr>
          <w:rFonts w:ascii="宋体" w:hAnsi="宋体" w:eastAsia="宋体" w:cs="宋体"/>
          <w:color w:val="auto"/>
          <w:spacing w:val="-6"/>
          <w:sz w:val="24"/>
          <w:szCs w:val="24"/>
          <w:highlight w:val="none"/>
        </w:rPr>
        <w:t>：</w:t>
      </w:r>
      <w:r>
        <w:rPr>
          <w:rFonts w:ascii="宋体" w:hAnsi="宋体" w:eastAsia="宋体" w:cs="宋体"/>
          <w:color w:val="auto"/>
          <w:spacing w:val="-5"/>
          <w:sz w:val="24"/>
          <w:szCs w:val="24"/>
          <w:highlight w:val="none"/>
          <w:u w:val="single" w:color="auto"/>
        </w:rPr>
        <w:t xml:space="preserve">    </w:t>
      </w:r>
      <w:r>
        <w:rPr>
          <w:rFonts w:hint="eastAsia" w:ascii="宋体" w:hAnsi="宋体" w:eastAsia="宋体" w:cs="宋体"/>
          <w:bCs/>
          <w:i w:val="0"/>
          <w:iCs w:val="0"/>
          <w:color w:val="auto"/>
          <w:highlight w:val="none"/>
          <w:u w:val="single"/>
          <w:lang w:val="en-US" w:eastAsia="zh-CN"/>
        </w:rPr>
        <w:t>2429136371@qq.com</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6"/>
          <w:sz w:val="24"/>
          <w:szCs w:val="24"/>
          <w:highlight w:val="none"/>
          <w:u w:val="single" w:color="auto"/>
        </w:rPr>
        <w:t xml:space="preserve">  </w:t>
      </w:r>
    </w:p>
    <w:p w14:paraId="7BCC8696">
      <w:pPr>
        <w:tabs>
          <w:tab w:val="left" w:pos="6800"/>
        </w:tabs>
        <w:spacing w:before="78" w:line="220" w:lineRule="auto"/>
        <w:ind w:left="6081"/>
        <w:rPr>
          <w:rFonts w:ascii="宋体" w:hAnsi="宋体" w:eastAsia="宋体" w:cs="宋体"/>
          <w:color w:val="auto"/>
          <w:sz w:val="24"/>
          <w:szCs w:val="24"/>
          <w:highlight w:val="none"/>
          <w:u w:val="single" w:color="auto"/>
        </w:rPr>
      </w:pPr>
    </w:p>
    <w:p w14:paraId="735D4C81">
      <w:pPr>
        <w:tabs>
          <w:tab w:val="left" w:pos="6800"/>
        </w:tabs>
        <w:spacing w:before="78" w:line="220" w:lineRule="auto"/>
        <w:ind w:left="608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lang w:val="en-US" w:eastAsia="zh-CN"/>
        </w:rPr>
        <w:t>2025</w:t>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9"/>
          <w:sz w:val="24"/>
          <w:szCs w:val="24"/>
          <w:highlight w:val="none"/>
        </w:rPr>
        <w:t>日</w:t>
      </w:r>
    </w:p>
    <w:p w14:paraId="3E4B5238">
      <w:pPr>
        <w:spacing w:line="220" w:lineRule="auto"/>
        <w:rPr>
          <w:rFonts w:ascii="宋体" w:hAnsi="宋体" w:eastAsia="宋体" w:cs="宋体"/>
          <w:color w:val="auto"/>
          <w:sz w:val="24"/>
          <w:szCs w:val="24"/>
          <w:highlight w:val="none"/>
        </w:rPr>
        <w:sectPr>
          <w:footerReference r:id="rId8" w:type="default"/>
          <w:pgSz w:w="11905" w:h="16840"/>
          <w:pgMar w:top="1431" w:right="1304" w:bottom="1255" w:left="1304" w:header="0" w:footer="1093" w:gutter="0"/>
          <w:pgNumType w:fmt="decimal"/>
          <w:cols w:space="720" w:num="1"/>
        </w:sectPr>
      </w:pPr>
    </w:p>
    <w:p w14:paraId="57F344D0">
      <w:pPr>
        <w:spacing w:before="57" w:line="228" w:lineRule="auto"/>
        <w:ind w:left="2856"/>
        <w:outlineLvl w:val="2"/>
        <w:rPr>
          <w:rFonts w:ascii="黑体" w:hAnsi="黑体" w:eastAsia="黑体" w:cs="黑体"/>
          <w:color w:val="auto"/>
          <w:sz w:val="27"/>
          <w:szCs w:val="27"/>
          <w:highlight w:val="none"/>
        </w:rPr>
      </w:pPr>
      <w:bookmarkStart w:id="21" w:name="bookmark11"/>
      <w:bookmarkEnd w:id="21"/>
      <w:bookmarkStart w:id="22" w:name="_Toc31631"/>
      <w:r>
        <w:rPr>
          <w:rFonts w:ascii="黑体" w:hAnsi="黑体" w:eastAsia="黑体" w:cs="黑体"/>
          <w:b/>
          <w:bCs/>
          <w:color w:val="auto"/>
          <w:spacing w:val="7"/>
          <w:sz w:val="27"/>
          <w:szCs w:val="27"/>
          <w:highlight w:val="none"/>
        </w:rPr>
        <w:t>投标人资格条件要求附表</w:t>
      </w:r>
      <w:bookmarkEnd w:id="22"/>
    </w:p>
    <w:p w14:paraId="6F168148">
      <w:pPr>
        <w:spacing w:line="167" w:lineRule="exact"/>
        <w:rPr>
          <w:color w:val="auto"/>
          <w:highlight w:val="none"/>
        </w:rPr>
      </w:pPr>
    </w:p>
    <w:tbl>
      <w:tblPr>
        <w:tblStyle w:val="16"/>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8277"/>
      </w:tblGrid>
      <w:tr w14:paraId="5FD51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732" w:type="dxa"/>
            <w:tcBorders>
              <w:top w:val="single" w:color="000000" w:sz="6" w:space="0"/>
              <w:left w:val="single" w:color="000000" w:sz="6" w:space="0"/>
            </w:tcBorders>
            <w:vAlign w:val="top"/>
          </w:tcPr>
          <w:p w14:paraId="1083B5E9">
            <w:pPr>
              <w:pStyle w:val="17"/>
              <w:spacing w:before="97" w:line="221" w:lineRule="auto"/>
              <w:ind w:left="154"/>
              <w:rPr>
                <w:color w:val="auto"/>
                <w:sz w:val="21"/>
                <w:szCs w:val="21"/>
                <w:highlight w:val="none"/>
              </w:rPr>
            </w:pPr>
            <w:r>
              <w:rPr>
                <w:b/>
                <w:bCs/>
                <w:color w:val="auto"/>
                <w:spacing w:val="-4"/>
                <w:sz w:val="21"/>
                <w:szCs w:val="21"/>
                <w:highlight w:val="none"/>
              </w:rPr>
              <w:t>序号</w:t>
            </w:r>
          </w:p>
        </w:tc>
        <w:tc>
          <w:tcPr>
            <w:tcW w:w="8277" w:type="dxa"/>
            <w:tcBorders>
              <w:top w:val="single" w:color="000000" w:sz="6" w:space="0"/>
              <w:right w:val="single" w:color="000000" w:sz="6" w:space="0"/>
            </w:tcBorders>
            <w:vAlign w:val="top"/>
          </w:tcPr>
          <w:p w14:paraId="3D9988DD">
            <w:pPr>
              <w:pStyle w:val="17"/>
              <w:spacing w:before="96" w:line="220" w:lineRule="auto"/>
              <w:ind w:left="3253"/>
              <w:rPr>
                <w:color w:val="auto"/>
                <w:sz w:val="21"/>
                <w:szCs w:val="21"/>
                <w:highlight w:val="none"/>
              </w:rPr>
            </w:pPr>
            <w:r>
              <w:rPr>
                <w:b/>
                <w:bCs/>
                <w:color w:val="auto"/>
                <w:spacing w:val="-15"/>
                <w:sz w:val="21"/>
                <w:szCs w:val="21"/>
                <w:highlight w:val="none"/>
              </w:rPr>
              <w:t>资</w:t>
            </w:r>
            <w:r>
              <w:rPr>
                <w:color w:val="auto"/>
                <w:spacing w:val="9"/>
                <w:sz w:val="21"/>
                <w:szCs w:val="21"/>
                <w:highlight w:val="none"/>
              </w:rPr>
              <w:t xml:space="preserve"> </w:t>
            </w:r>
            <w:r>
              <w:rPr>
                <w:b/>
                <w:bCs/>
                <w:color w:val="auto"/>
                <w:spacing w:val="-15"/>
                <w:sz w:val="21"/>
                <w:szCs w:val="21"/>
                <w:highlight w:val="none"/>
              </w:rPr>
              <w:t>格</w:t>
            </w:r>
            <w:r>
              <w:rPr>
                <w:color w:val="auto"/>
                <w:spacing w:val="12"/>
                <w:sz w:val="21"/>
                <w:szCs w:val="21"/>
                <w:highlight w:val="none"/>
              </w:rPr>
              <w:t xml:space="preserve"> </w:t>
            </w:r>
            <w:r>
              <w:rPr>
                <w:b/>
                <w:bCs/>
                <w:color w:val="auto"/>
                <w:spacing w:val="-15"/>
                <w:sz w:val="21"/>
                <w:szCs w:val="21"/>
                <w:highlight w:val="none"/>
              </w:rPr>
              <w:t>条</w:t>
            </w:r>
            <w:r>
              <w:rPr>
                <w:color w:val="auto"/>
                <w:spacing w:val="8"/>
                <w:sz w:val="21"/>
                <w:szCs w:val="21"/>
                <w:highlight w:val="none"/>
              </w:rPr>
              <w:t xml:space="preserve"> </w:t>
            </w:r>
            <w:r>
              <w:rPr>
                <w:b/>
                <w:bCs/>
                <w:color w:val="auto"/>
                <w:spacing w:val="-15"/>
                <w:sz w:val="21"/>
                <w:szCs w:val="21"/>
                <w:highlight w:val="none"/>
              </w:rPr>
              <w:t>件</w:t>
            </w:r>
            <w:r>
              <w:rPr>
                <w:color w:val="auto"/>
                <w:spacing w:val="34"/>
                <w:sz w:val="21"/>
                <w:szCs w:val="21"/>
                <w:highlight w:val="none"/>
              </w:rPr>
              <w:t xml:space="preserve"> </w:t>
            </w:r>
            <w:r>
              <w:rPr>
                <w:b/>
                <w:bCs/>
                <w:color w:val="auto"/>
                <w:spacing w:val="-15"/>
                <w:sz w:val="21"/>
                <w:szCs w:val="21"/>
                <w:highlight w:val="none"/>
              </w:rPr>
              <w:t>内</w:t>
            </w:r>
            <w:r>
              <w:rPr>
                <w:color w:val="auto"/>
                <w:spacing w:val="12"/>
                <w:sz w:val="21"/>
                <w:szCs w:val="21"/>
                <w:highlight w:val="none"/>
              </w:rPr>
              <w:t xml:space="preserve"> </w:t>
            </w:r>
            <w:r>
              <w:rPr>
                <w:b/>
                <w:bCs/>
                <w:color w:val="auto"/>
                <w:spacing w:val="-15"/>
                <w:sz w:val="21"/>
                <w:szCs w:val="21"/>
                <w:highlight w:val="none"/>
              </w:rPr>
              <w:t>容</w:t>
            </w:r>
          </w:p>
        </w:tc>
      </w:tr>
      <w:tr w14:paraId="0BAE6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732" w:type="dxa"/>
            <w:tcBorders>
              <w:left w:val="single" w:color="000000" w:sz="6" w:space="0"/>
            </w:tcBorders>
            <w:vAlign w:val="top"/>
          </w:tcPr>
          <w:p w14:paraId="2EFA0373">
            <w:pPr>
              <w:pStyle w:val="17"/>
              <w:spacing w:before="173" w:line="162" w:lineRule="exact"/>
              <w:ind w:left="262"/>
              <w:rPr>
                <w:color w:val="auto"/>
                <w:sz w:val="21"/>
                <w:szCs w:val="21"/>
                <w:highlight w:val="none"/>
              </w:rPr>
            </w:pPr>
            <w:r>
              <w:rPr>
                <w:b/>
                <w:bCs/>
                <w:color w:val="auto"/>
                <w:spacing w:val="-3"/>
                <w:position w:val="-4"/>
                <w:sz w:val="21"/>
                <w:szCs w:val="21"/>
                <w:highlight w:val="none"/>
              </w:rPr>
              <w:t>一</w:t>
            </w:r>
          </w:p>
        </w:tc>
        <w:tc>
          <w:tcPr>
            <w:tcW w:w="8277" w:type="dxa"/>
            <w:tcBorders>
              <w:right w:val="single" w:color="000000" w:sz="6" w:space="0"/>
            </w:tcBorders>
            <w:vAlign w:val="top"/>
          </w:tcPr>
          <w:p w14:paraId="7FBF3419">
            <w:pPr>
              <w:pStyle w:val="17"/>
              <w:spacing w:before="93" w:line="230" w:lineRule="auto"/>
              <w:ind w:left="110"/>
              <w:rPr>
                <w:color w:val="auto"/>
                <w:sz w:val="21"/>
                <w:szCs w:val="21"/>
                <w:highlight w:val="none"/>
              </w:rPr>
            </w:pPr>
            <w:r>
              <w:rPr>
                <w:b/>
                <w:bCs/>
                <w:color w:val="auto"/>
                <w:spacing w:val="-5"/>
                <w:sz w:val="21"/>
                <w:szCs w:val="21"/>
                <w:highlight w:val="none"/>
              </w:rPr>
              <w:t>企业</w:t>
            </w:r>
          </w:p>
        </w:tc>
      </w:tr>
      <w:tr w14:paraId="74E4F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32" w:type="dxa"/>
            <w:tcBorders>
              <w:left w:val="single" w:color="000000" w:sz="6" w:space="0"/>
            </w:tcBorders>
            <w:vAlign w:val="top"/>
          </w:tcPr>
          <w:p w14:paraId="62DA4FD8">
            <w:pPr>
              <w:spacing w:line="413" w:lineRule="auto"/>
              <w:rPr>
                <w:rFonts w:ascii="Arial"/>
                <w:color w:val="auto"/>
                <w:sz w:val="21"/>
                <w:highlight w:val="none"/>
              </w:rPr>
            </w:pPr>
          </w:p>
          <w:p w14:paraId="55B3847F">
            <w:pPr>
              <w:spacing w:before="60" w:line="188" w:lineRule="auto"/>
              <w:ind w:left="32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8277" w:type="dxa"/>
            <w:tcBorders>
              <w:right w:val="single" w:color="000000" w:sz="6" w:space="0"/>
            </w:tcBorders>
            <w:vAlign w:val="top"/>
          </w:tcPr>
          <w:p w14:paraId="6C377F34">
            <w:pPr>
              <w:pStyle w:val="17"/>
              <w:spacing w:before="31" w:line="231" w:lineRule="auto"/>
              <w:ind w:left="107"/>
              <w:jc w:val="both"/>
              <w:rPr>
                <w:color w:val="auto"/>
                <w:sz w:val="21"/>
                <w:szCs w:val="21"/>
                <w:highlight w:val="none"/>
              </w:rPr>
            </w:pPr>
            <w:r>
              <w:rPr>
                <w:color w:val="auto"/>
                <w:spacing w:val="2"/>
                <w:sz w:val="21"/>
                <w:szCs w:val="21"/>
                <w:highlight w:val="none"/>
              </w:rPr>
              <w:t>应具备</w:t>
            </w:r>
            <w:r>
              <w:rPr>
                <w:color w:val="auto"/>
                <w:spacing w:val="5"/>
                <w:sz w:val="21"/>
                <w:szCs w:val="21"/>
                <w:highlight w:val="none"/>
                <w:u w:val="single" w:color="auto"/>
              </w:rPr>
              <w:t xml:space="preserve"> </w:t>
            </w:r>
            <w:r>
              <w:rPr>
                <w:rFonts w:hint="eastAsia" w:ascii="宋体" w:hAnsi="宋体" w:eastAsia="宋体" w:cs="宋体"/>
                <w:color w:val="auto"/>
                <w:sz w:val="21"/>
                <w:szCs w:val="21"/>
                <w:highlight w:val="none"/>
                <w:u w:val="single" w:color="auto"/>
              </w:rPr>
              <w:t>水利水电工程施工总承包</w:t>
            </w:r>
            <w:r>
              <w:rPr>
                <w:rFonts w:hint="eastAsia" w:ascii="宋体" w:hAnsi="宋体" w:eastAsia="宋体" w:cs="宋体"/>
                <w:color w:val="auto"/>
                <w:sz w:val="21"/>
                <w:szCs w:val="21"/>
                <w:highlight w:val="none"/>
                <w:u w:val="single" w:color="auto"/>
                <w:lang w:val="en-US" w:eastAsia="zh-CN"/>
              </w:rPr>
              <w:t>三级及以上</w:t>
            </w:r>
            <w:r>
              <w:rPr>
                <w:color w:val="auto"/>
                <w:spacing w:val="5"/>
                <w:sz w:val="21"/>
                <w:szCs w:val="21"/>
                <w:highlight w:val="none"/>
                <w:u w:val="single" w:color="auto"/>
              </w:rPr>
              <w:t xml:space="preserve"> </w:t>
            </w:r>
            <w:r>
              <w:rPr>
                <w:color w:val="auto"/>
                <w:spacing w:val="-75"/>
                <w:sz w:val="21"/>
                <w:szCs w:val="21"/>
                <w:highlight w:val="none"/>
              </w:rPr>
              <w:t xml:space="preserve"> </w:t>
            </w:r>
            <w:r>
              <w:rPr>
                <w:color w:val="auto"/>
                <w:spacing w:val="2"/>
                <w:sz w:val="21"/>
                <w:szCs w:val="21"/>
                <w:highlight w:val="none"/>
              </w:rPr>
              <w:t>资质（对应资质应在“浙江省建筑市场监管公共服务系统”</w:t>
            </w:r>
            <w:r>
              <w:rPr>
                <w:color w:val="auto"/>
                <w:spacing w:val="-4"/>
                <w:sz w:val="21"/>
                <w:szCs w:val="21"/>
                <w:highlight w:val="none"/>
              </w:rPr>
              <w:t>上资质动态核查结果处于“合格”状态，提供投标人</w:t>
            </w:r>
            <w:r>
              <w:rPr>
                <w:rFonts w:ascii="宋体" w:hAnsi="宋体" w:eastAsia="宋体" w:cs="宋体"/>
                <w:color w:val="auto"/>
                <w:spacing w:val="-4"/>
                <w:sz w:val="21"/>
                <w:szCs w:val="21"/>
                <w:highlight w:val="none"/>
                <w:u w:val="single" w:color="auto"/>
              </w:rPr>
              <w:t xml:space="preserve"> </w:t>
            </w:r>
            <w:r>
              <w:rPr>
                <w:rFonts w:hint="eastAsia" w:ascii="宋体" w:hAnsi="宋体" w:eastAsia="宋体" w:cs="宋体"/>
                <w:color w:val="auto"/>
                <w:spacing w:val="-4"/>
                <w:sz w:val="21"/>
                <w:szCs w:val="21"/>
                <w:highlight w:val="none"/>
                <w:u w:val="single" w:color="auto"/>
                <w:lang w:val="en-US" w:eastAsia="zh-CN"/>
              </w:rPr>
              <w:t>2025</w:t>
            </w:r>
            <w:r>
              <w:rPr>
                <w:rFonts w:ascii="宋体" w:hAnsi="宋体" w:eastAsia="宋体" w:cs="宋体"/>
                <w:color w:val="auto"/>
                <w:spacing w:val="-4"/>
                <w:sz w:val="21"/>
                <w:szCs w:val="21"/>
                <w:highlight w:val="none"/>
                <w:u w:val="single" w:color="auto"/>
              </w:rPr>
              <w:t xml:space="preserve"> </w:t>
            </w:r>
            <w:r>
              <w:rPr>
                <w:color w:val="auto"/>
                <w:spacing w:val="-96"/>
                <w:sz w:val="21"/>
                <w:szCs w:val="21"/>
                <w:highlight w:val="none"/>
              </w:rPr>
              <w:t xml:space="preserve"> </w:t>
            </w:r>
            <w:r>
              <w:rPr>
                <w:color w:val="auto"/>
                <w:spacing w:val="-4"/>
                <w:sz w:val="21"/>
                <w:szCs w:val="21"/>
                <w:highlight w:val="none"/>
              </w:rPr>
              <w:t>年</w:t>
            </w:r>
            <w:r>
              <w:rPr>
                <w:color w:val="auto"/>
                <w:spacing w:val="-4"/>
                <w:sz w:val="21"/>
                <w:szCs w:val="21"/>
                <w:highlight w:val="none"/>
                <w:u w:val="single" w:color="auto"/>
              </w:rPr>
              <w:t xml:space="preserve">   </w:t>
            </w:r>
            <w:r>
              <w:rPr>
                <w:color w:val="auto"/>
                <w:spacing w:val="-91"/>
                <w:sz w:val="21"/>
                <w:szCs w:val="21"/>
                <w:highlight w:val="none"/>
              </w:rPr>
              <w:t xml:space="preserve"> </w:t>
            </w:r>
            <w:r>
              <w:rPr>
                <w:color w:val="auto"/>
                <w:spacing w:val="-4"/>
                <w:sz w:val="21"/>
                <w:szCs w:val="21"/>
                <w:highlight w:val="none"/>
              </w:rPr>
              <w:t>月</w:t>
            </w:r>
            <w:r>
              <w:rPr>
                <w:color w:val="auto"/>
                <w:spacing w:val="-4"/>
                <w:sz w:val="21"/>
                <w:szCs w:val="21"/>
                <w:highlight w:val="none"/>
                <w:u w:val="single" w:color="auto"/>
              </w:rPr>
              <w:t xml:space="preserve">   </w:t>
            </w:r>
            <w:r>
              <w:rPr>
                <w:color w:val="auto"/>
                <w:spacing w:val="-61"/>
                <w:sz w:val="21"/>
                <w:szCs w:val="21"/>
                <w:highlight w:val="none"/>
              </w:rPr>
              <w:t xml:space="preserve"> </w:t>
            </w:r>
            <w:r>
              <w:rPr>
                <w:color w:val="auto"/>
                <w:spacing w:val="-4"/>
                <w:sz w:val="21"/>
                <w:szCs w:val="21"/>
                <w:highlight w:val="none"/>
              </w:rPr>
              <w:t>日（自公告发布之日至投标截止日之间）在“浙江省建筑市场监管公共服务系统”上，参与投标资质的“</w:t>
            </w:r>
            <w:r>
              <w:rPr>
                <w:color w:val="auto"/>
                <w:spacing w:val="-5"/>
                <w:sz w:val="21"/>
                <w:szCs w:val="21"/>
                <w:highlight w:val="none"/>
              </w:rPr>
              <w:t>资质</w:t>
            </w:r>
            <w:r>
              <w:rPr>
                <w:color w:val="auto"/>
                <w:spacing w:val="-2"/>
                <w:sz w:val="21"/>
                <w:szCs w:val="21"/>
                <w:highlight w:val="none"/>
              </w:rPr>
              <w:t>动态核查结果证明”</w:t>
            </w:r>
            <w:r>
              <w:rPr>
                <w:color w:val="auto"/>
                <w:spacing w:val="-1"/>
                <w:sz w:val="21"/>
                <w:szCs w:val="21"/>
                <w:highlight w:val="none"/>
              </w:rPr>
              <w:t>），</w:t>
            </w:r>
            <w:r>
              <w:rPr>
                <w:color w:val="auto"/>
                <w:spacing w:val="-2"/>
                <w:sz w:val="21"/>
                <w:szCs w:val="21"/>
                <w:highlight w:val="none"/>
              </w:rPr>
              <w:t>具有有效的营业执照和安全生产许可证。</w:t>
            </w:r>
          </w:p>
        </w:tc>
      </w:tr>
      <w:tr w14:paraId="16DF8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32" w:type="dxa"/>
            <w:tcBorders>
              <w:left w:val="single" w:color="000000" w:sz="6" w:space="0"/>
            </w:tcBorders>
            <w:vAlign w:val="top"/>
          </w:tcPr>
          <w:p w14:paraId="2495D9C4">
            <w:pPr>
              <w:spacing w:before="132" w:line="188" w:lineRule="auto"/>
              <w:ind w:left="30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8277" w:type="dxa"/>
            <w:tcBorders>
              <w:right w:val="single" w:color="000000" w:sz="6" w:space="0"/>
            </w:tcBorders>
            <w:vAlign w:val="top"/>
          </w:tcPr>
          <w:p w14:paraId="0C54250B">
            <w:pPr>
              <w:pStyle w:val="17"/>
              <w:tabs>
                <w:tab w:val="left" w:pos="790"/>
              </w:tabs>
              <w:spacing w:before="70" w:line="242" w:lineRule="auto"/>
              <w:ind w:left="99"/>
              <w:rPr>
                <w:color w:val="auto"/>
                <w:sz w:val="21"/>
                <w:szCs w:val="21"/>
                <w:highlight w:val="none"/>
              </w:rPr>
            </w:pPr>
            <w:r>
              <w:rPr>
                <w:color w:val="auto"/>
                <w:spacing w:val="3"/>
                <w:sz w:val="21"/>
                <w:szCs w:val="21"/>
                <w:highlight w:val="none"/>
                <w:u w:val="single"/>
              </w:rPr>
              <w:t>不接受</w:t>
            </w:r>
            <w:r>
              <w:rPr>
                <w:color w:val="auto"/>
                <w:spacing w:val="3"/>
                <w:sz w:val="21"/>
                <w:szCs w:val="21"/>
                <w:highlight w:val="none"/>
              </w:rPr>
              <w:t>（接受或不接受）联合体投标</w:t>
            </w:r>
            <w:r>
              <w:rPr>
                <w:color w:val="auto"/>
                <w:spacing w:val="3"/>
                <w:position w:val="10"/>
                <w:sz w:val="11"/>
                <w:szCs w:val="11"/>
                <w:highlight w:val="none"/>
              </w:rPr>
              <w:t>①</w:t>
            </w:r>
            <w:r>
              <w:rPr>
                <w:color w:val="auto"/>
                <w:spacing w:val="3"/>
                <w:sz w:val="21"/>
                <w:szCs w:val="21"/>
                <w:highlight w:val="none"/>
              </w:rPr>
              <w:t>。</w:t>
            </w:r>
          </w:p>
        </w:tc>
      </w:tr>
      <w:tr w14:paraId="036190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2" w:type="dxa"/>
            <w:tcBorders>
              <w:left w:val="single" w:color="000000" w:sz="6" w:space="0"/>
            </w:tcBorders>
            <w:vAlign w:val="top"/>
          </w:tcPr>
          <w:p w14:paraId="0BD1FFB0">
            <w:pPr>
              <w:spacing w:before="207" w:line="188" w:lineRule="auto"/>
              <w:ind w:left="31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8277" w:type="dxa"/>
            <w:tcBorders>
              <w:right w:val="single" w:color="000000" w:sz="6" w:space="0"/>
            </w:tcBorders>
            <w:vAlign w:val="top"/>
          </w:tcPr>
          <w:p w14:paraId="151B43A7">
            <w:pPr>
              <w:pStyle w:val="17"/>
              <w:spacing w:before="33" w:line="217" w:lineRule="auto"/>
              <w:ind w:left="109" w:right="103"/>
              <w:rPr>
                <w:color w:val="auto"/>
                <w:sz w:val="21"/>
                <w:szCs w:val="21"/>
                <w:highlight w:val="none"/>
              </w:rPr>
            </w:pPr>
            <w:r>
              <w:rPr>
                <w:color w:val="auto"/>
                <w:spacing w:val="-4"/>
                <w:sz w:val="21"/>
                <w:szCs w:val="21"/>
                <w:highlight w:val="none"/>
              </w:rPr>
              <w:t>投标人及其法定代表人自</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2022</w:t>
            </w:r>
            <w:r>
              <w:rPr>
                <w:color w:val="auto"/>
                <w:spacing w:val="-4"/>
                <w:sz w:val="21"/>
                <w:szCs w:val="21"/>
                <w:highlight w:val="none"/>
                <w:u w:val="single" w:color="auto"/>
              </w:rPr>
              <w:t xml:space="preserve"> </w:t>
            </w:r>
            <w:r>
              <w:rPr>
                <w:color w:val="auto"/>
                <w:spacing w:val="-86"/>
                <w:sz w:val="21"/>
                <w:szCs w:val="21"/>
                <w:highlight w:val="none"/>
              </w:rPr>
              <w:t xml:space="preserve"> </w:t>
            </w:r>
            <w:r>
              <w:rPr>
                <w:color w:val="auto"/>
                <w:spacing w:val="-4"/>
                <w:sz w:val="21"/>
                <w:szCs w:val="21"/>
                <w:highlight w:val="none"/>
              </w:rPr>
              <w:t>年</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92"/>
                <w:sz w:val="21"/>
                <w:szCs w:val="21"/>
                <w:highlight w:val="none"/>
              </w:rPr>
              <w:t xml:space="preserve"> </w:t>
            </w:r>
            <w:r>
              <w:rPr>
                <w:color w:val="auto"/>
                <w:spacing w:val="-4"/>
                <w:sz w:val="21"/>
                <w:szCs w:val="21"/>
                <w:highlight w:val="none"/>
              </w:rPr>
              <w:t>月</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60"/>
                <w:sz w:val="21"/>
                <w:szCs w:val="21"/>
                <w:highlight w:val="none"/>
              </w:rPr>
              <w:t xml:space="preserve"> </w:t>
            </w:r>
            <w:r>
              <w:rPr>
                <w:color w:val="auto"/>
                <w:spacing w:val="-4"/>
                <w:sz w:val="21"/>
                <w:szCs w:val="21"/>
                <w:highlight w:val="none"/>
              </w:rPr>
              <w:t>日至投标截止时间</w:t>
            </w:r>
            <w:r>
              <w:rPr>
                <w:i/>
                <w:iCs/>
                <w:color w:val="auto"/>
                <w:spacing w:val="-4"/>
                <w:sz w:val="22"/>
                <w:szCs w:val="22"/>
                <w:highlight w:val="none"/>
              </w:rPr>
              <w:t>（不得少于</w:t>
            </w:r>
            <w:r>
              <w:rPr>
                <w:rFonts w:ascii="Times New Roman" w:hAnsi="Times New Roman" w:eastAsia="Times New Roman" w:cs="Times New Roman"/>
                <w:i/>
                <w:iCs/>
                <w:color w:val="auto"/>
                <w:spacing w:val="-4"/>
                <w:sz w:val="21"/>
                <w:szCs w:val="21"/>
                <w:highlight w:val="none"/>
              </w:rPr>
              <w:t>3</w:t>
            </w:r>
            <w:r>
              <w:rPr>
                <w:i/>
                <w:iCs/>
                <w:color w:val="auto"/>
                <w:spacing w:val="-4"/>
                <w:sz w:val="22"/>
                <w:szCs w:val="22"/>
                <w:highlight w:val="none"/>
              </w:rPr>
              <w:t>年）</w:t>
            </w:r>
            <w:r>
              <w:rPr>
                <w:color w:val="auto"/>
                <w:spacing w:val="-4"/>
                <w:sz w:val="21"/>
                <w:szCs w:val="21"/>
                <w:highlight w:val="none"/>
              </w:rPr>
              <w:t>无行贿犯</w:t>
            </w:r>
            <w:r>
              <w:rPr>
                <w:color w:val="auto"/>
                <w:sz w:val="21"/>
                <w:szCs w:val="21"/>
                <w:highlight w:val="none"/>
              </w:rPr>
              <w:t xml:space="preserve"> </w:t>
            </w:r>
            <w:r>
              <w:rPr>
                <w:color w:val="auto"/>
                <w:spacing w:val="-1"/>
                <w:sz w:val="21"/>
                <w:szCs w:val="21"/>
                <w:highlight w:val="none"/>
              </w:rPr>
              <w:t>罪记录（以中国裁判文书网（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1"/>
                <w:sz w:val="21"/>
                <w:szCs w:val="21"/>
                <w:highlight w:val="none"/>
              </w:rPr>
              <w:t>http://wenshu.court.gov.cn/</w:t>
            </w:r>
            <w:r>
              <w:rPr>
                <w:rFonts w:ascii="Times New Roman" w:hAnsi="Times New Roman" w:eastAsia="Times New Roman" w:cs="Times New Roman"/>
                <w:color w:val="auto"/>
                <w:spacing w:val="-1"/>
                <w:sz w:val="21"/>
                <w:szCs w:val="21"/>
                <w:highlight w:val="none"/>
              </w:rPr>
              <w:fldChar w:fldCharType="end"/>
            </w:r>
            <w:r>
              <w:rPr>
                <w:color w:val="auto"/>
                <w:spacing w:val="-1"/>
                <w:sz w:val="21"/>
                <w:szCs w:val="21"/>
                <w:highlight w:val="none"/>
              </w:rPr>
              <w:t>）查询结果为准）。</w:t>
            </w:r>
          </w:p>
        </w:tc>
      </w:tr>
      <w:tr w14:paraId="35C1D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2" w:type="dxa"/>
            <w:tcBorders>
              <w:left w:val="single" w:color="000000" w:sz="6" w:space="0"/>
            </w:tcBorders>
            <w:vAlign w:val="top"/>
          </w:tcPr>
          <w:p w14:paraId="2C3720C0">
            <w:pPr>
              <w:spacing w:line="281" w:lineRule="auto"/>
              <w:rPr>
                <w:rFonts w:ascii="Arial"/>
                <w:color w:val="auto"/>
                <w:sz w:val="21"/>
                <w:highlight w:val="none"/>
              </w:rPr>
            </w:pPr>
          </w:p>
          <w:p w14:paraId="3E2C3ED7">
            <w:pPr>
              <w:spacing w:before="60" w:line="188" w:lineRule="auto"/>
              <w:ind w:left="3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4</w:t>
            </w:r>
          </w:p>
        </w:tc>
        <w:tc>
          <w:tcPr>
            <w:tcW w:w="8277" w:type="dxa"/>
            <w:tcBorders>
              <w:right w:val="single" w:color="000000" w:sz="6" w:space="0"/>
            </w:tcBorders>
            <w:vAlign w:val="top"/>
          </w:tcPr>
          <w:p w14:paraId="2F4F1FE4">
            <w:pPr>
              <w:pStyle w:val="17"/>
              <w:spacing w:before="32" w:line="228" w:lineRule="auto"/>
              <w:ind w:left="106" w:right="124"/>
              <w:rPr>
                <w:color w:val="auto"/>
                <w:sz w:val="21"/>
                <w:szCs w:val="21"/>
                <w:highlight w:val="none"/>
              </w:rPr>
            </w:pPr>
            <w:r>
              <w:rPr>
                <w:strike/>
                <w:dstrike w:val="0"/>
                <w:color w:val="auto"/>
                <w:spacing w:val="28"/>
                <w:sz w:val="21"/>
                <w:szCs w:val="21"/>
                <w:highlight w:val="none"/>
              </w:rPr>
              <w:t>投标人自</w:t>
            </w:r>
            <w:r>
              <w:rPr>
                <w:strike/>
                <w:dstrike w:val="0"/>
                <w:color w:val="auto"/>
                <w:spacing w:val="28"/>
                <w:sz w:val="21"/>
                <w:szCs w:val="21"/>
                <w:highlight w:val="none"/>
                <w:u w:val="single" w:color="auto"/>
              </w:rPr>
              <w:t xml:space="preserve"> </w:t>
            </w:r>
            <w:r>
              <w:rPr>
                <w:strike/>
                <w:dstrike w:val="0"/>
                <w:color w:val="auto"/>
                <w:spacing w:val="28"/>
                <w:sz w:val="21"/>
                <w:szCs w:val="21"/>
                <w:highlight w:val="none"/>
              </w:rPr>
              <w:t>年</w:t>
            </w:r>
            <w:r>
              <w:rPr>
                <w:strike/>
                <w:dstrike w:val="0"/>
                <w:color w:val="auto"/>
                <w:spacing w:val="12"/>
                <w:sz w:val="21"/>
                <w:szCs w:val="21"/>
                <w:highlight w:val="none"/>
                <w:u w:val="single" w:color="auto"/>
              </w:rPr>
              <w:t xml:space="preserve">  </w:t>
            </w:r>
            <w:r>
              <w:rPr>
                <w:strike/>
                <w:dstrike w:val="0"/>
                <w:color w:val="auto"/>
                <w:spacing w:val="-94"/>
                <w:sz w:val="21"/>
                <w:szCs w:val="21"/>
                <w:highlight w:val="none"/>
              </w:rPr>
              <w:t xml:space="preserve"> </w:t>
            </w:r>
            <w:r>
              <w:rPr>
                <w:strike/>
                <w:dstrike w:val="0"/>
                <w:color w:val="auto"/>
                <w:spacing w:val="28"/>
                <w:sz w:val="21"/>
                <w:szCs w:val="21"/>
                <w:highlight w:val="none"/>
              </w:rPr>
              <w:t>月</w:t>
            </w:r>
            <w:r>
              <w:rPr>
                <w:strike/>
                <w:dstrike w:val="0"/>
                <w:color w:val="auto"/>
                <w:spacing w:val="6"/>
                <w:sz w:val="21"/>
                <w:szCs w:val="21"/>
                <w:highlight w:val="none"/>
                <w:u w:val="single" w:color="auto"/>
              </w:rPr>
              <w:t xml:space="preserve">  </w:t>
            </w:r>
            <w:r>
              <w:rPr>
                <w:strike/>
                <w:dstrike w:val="0"/>
                <w:color w:val="auto"/>
                <w:spacing w:val="-49"/>
                <w:sz w:val="21"/>
                <w:szCs w:val="21"/>
                <w:highlight w:val="none"/>
              </w:rPr>
              <w:t xml:space="preserve"> </w:t>
            </w:r>
            <w:r>
              <w:rPr>
                <w:strike/>
                <w:dstrike w:val="0"/>
                <w:color w:val="auto"/>
                <w:spacing w:val="28"/>
                <w:sz w:val="21"/>
                <w:szCs w:val="21"/>
                <w:highlight w:val="none"/>
              </w:rPr>
              <w:t>日至投标截止时间〔日期以完工（竣工）验收鉴定书或工</w:t>
            </w:r>
            <w:r>
              <w:rPr>
                <w:strike/>
                <w:dstrike w:val="0"/>
                <w:color w:val="auto"/>
                <w:sz w:val="21"/>
                <w:szCs w:val="21"/>
                <w:highlight w:val="none"/>
              </w:rPr>
              <w:t xml:space="preserve"> </w:t>
            </w:r>
            <w:r>
              <w:rPr>
                <w:strike/>
                <w:dstrike w:val="0"/>
                <w:color w:val="auto"/>
                <w:spacing w:val="17"/>
                <w:sz w:val="21"/>
                <w:szCs w:val="21"/>
                <w:highlight w:val="none"/>
              </w:rPr>
              <w:t>程质量（安全） 监督报告中明确的完工（竣工）日期为准〕，完成过</w:t>
            </w:r>
            <w:r>
              <w:rPr>
                <w:strike/>
                <w:dstrike w:val="0"/>
                <w:color w:val="auto"/>
                <w:spacing w:val="17"/>
                <w:sz w:val="21"/>
                <w:szCs w:val="21"/>
                <w:highlight w:val="none"/>
                <w:u w:val="single" w:color="auto"/>
              </w:rPr>
              <w:t xml:space="preserve">      </w:t>
            </w:r>
            <w:r>
              <w:rPr>
                <w:strike/>
                <w:dstrike w:val="0"/>
                <w:color w:val="auto"/>
                <w:spacing w:val="-94"/>
                <w:sz w:val="21"/>
                <w:szCs w:val="21"/>
                <w:highlight w:val="none"/>
              </w:rPr>
              <w:t xml:space="preserve"> </w:t>
            </w:r>
            <w:r>
              <w:rPr>
                <w:strike/>
                <w:dstrike w:val="0"/>
                <w:color w:val="auto"/>
                <w:spacing w:val="17"/>
                <w:sz w:val="21"/>
                <w:szCs w:val="21"/>
                <w:highlight w:val="none"/>
              </w:rPr>
              <w:t>业</w:t>
            </w:r>
            <w:r>
              <w:rPr>
                <w:strike/>
                <w:dstrike w:val="0"/>
                <w:color w:val="auto"/>
                <w:sz w:val="21"/>
                <w:szCs w:val="21"/>
                <w:highlight w:val="none"/>
              </w:rPr>
              <w:t xml:space="preserve">  </w:t>
            </w:r>
            <w:r>
              <w:rPr>
                <w:strike/>
                <w:dstrike w:val="0"/>
                <w:color w:val="auto"/>
                <w:spacing w:val="13"/>
                <w:sz w:val="21"/>
                <w:szCs w:val="21"/>
                <w:highlight w:val="none"/>
              </w:rPr>
              <w:t>绩</w:t>
            </w:r>
            <w:r>
              <w:rPr>
                <w:strike/>
                <w:dstrike w:val="0"/>
                <w:color w:val="auto"/>
                <w:spacing w:val="13"/>
                <w:position w:val="10"/>
                <w:sz w:val="11"/>
                <w:szCs w:val="11"/>
                <w:highlight w:val="none"/>
              </w:rPr>
              <w:t>②</w:t>
            </w:r>
            <w:r>
              <w:rPr>
                <w:strike/>
                <w:dstrike w:val="0"/>
                <w:color w:val="auto"/>
                <w:spacing w:val="-17"/>
                <w:position w:val="10"/>
                <w:sz w:val="11"/>
                <w:szCs w:val="11"/>
                <w:highlight w:val="none"/>
              </w:rPr>
              <w:t xml:space="preserve"> </w:t>
            </w:r>
            <w:r>
              <w:rPr>
                <w:strike/>
                <w:dstrike w:val="0"/>
                <w:color w:val="auto"/>
                <w:spacing w:val="13"/>
                <w:sz w:val="21"/>
                <w:szCs w:val="21"/>
                <w:highlight w:val="none"/>
              </w:rPr>
              <w:t>。业绩证明材料见下文。</w:t>
            </w:r>
          </w:p>
        </w:tc>
      </w:tr>
      <w:tr w14:paraId="30183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732" w:type="dxa"/>
            <w:tcBorders>
              <w:left w:val="single" w:color="000000" w:sz="6" w:space="0"/>
            </w:tcBorders>
            <w:vAlign w:val="top"/>
          </w:tcPr>
          <w:p w14:paraId="622DB347">
            <w:pPr>
              <w:spacing w:before="211" w:line="185" w:lineRule="auto"/>
              <w:ind w:left="31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277" w:type="dxa"/>
            <w:tcBorders>
              <w:right w:val="single" w:color="000000" w:sz="6" w:space="0"/>
            </w:tcBorders>
            <w:vAlign w:val="top"/>
          </w:tcPr>
          <w:p w14:paraId="5DF561D7">
            <w:pPr>
              <w:pStyle w:val="17"/>
              <w:spacing w:before="37" w:line="221" w:lineRule="auto"/>
              <w:ind w:left="129" w:right="128" w:firstLine="1"/>
              <w:rPr>
                <w:color w:val="auto"/>
                <w:sz w:val="21"/>
                <w:szCs w:val="21"/>
                <w:highlight w:val="none"/>
              </w:rPr>
            </w:pPr>
            <w:r>
              <w:rPr>
                <w:strike/>
                <w:dstrike w:val="0"/>
                <w:color w:val="auto"/>
                <w:spacing w:val="19"/>
                <w:sz w:val="21"/>
                <w:szCs w:val="21"/>
                <w:highlight w:val="none"/>
              </w:rPr>
              <w:t>□面向中小企业招标的，投标人（或联合体中的中小企业</w:t>
            </w:r>
            <w:r>
              <w:rPr>
                <w:strike/>
                <w:dstrike w:val="0"/>
                <w:color w:val="auto"/>
                <w:spacing w:val="18"/>
                <w:sz w:val="21"/>
                <w:szCs w:val="21"/>
                <w:highlight w:val="none"/>
              </w:rPr>
              <w:t>）应提交《中小企业声</w:t>
            </w:r>
            <w:r>
              <w:rPr>
                <w:strike/>
                <w:dstrike w:val="0"/>
                <w:color w:val="auto"/>
                <w:sz w:val="21"/>
                <w:szCs w:val="21"/>
                <w:highlight w:val="none"/>
              </w:rPr>
              <w:t xml:space="preserve"> </w:t>
            </w:r>
            <w:r>
              <w:rPr>
                <w:strike/>
                <w:dstrike w:val="0"/>
                <w:color w:val="auto"/>
                <w:spacing w:val="1"/>
                <w:sz w:val="21"/>
                <w:szCs w:val="21"/>
                <w:highlight w:val="none"/>
              </w:rPr>
              <w:t>明函》。</w:t>
            </w:r>
          </w:p>
        </w:tc>
      </w:tr>
      <w:tr w14:paraId="7CE20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32" w:type="dxa"/>
            <w:tcBorders>
              <w:left w:val="single" w:color="000000" w:sz="6" w:space="0"/>
            </w:tcBorders>
            <w:vAlign w:val="top"/>
          </w:tcPr>
          <w:p w14:paraId="2EA4AD06">
            <w:pPr>
              <w:pStyle w:val="17"/>
              <w:spacing w:before="137" w:line="178" w:lineRule="auto"/>
              <w:ind w:left="262"/>
              <w:rPr>
                <w:color w:val="auto"/>
                <w:sz w:val="21"/>
                <w:szCs w:val="21"/>
                <w:highlight w:val="none"/>
              </w:rPr>
            </w:pPr>
            <w:r>
              <w:rPr>
                <w:b/>
                <w:bCs/>
                <w:color w:val="auto"/>
                <w:spacing w:val="-3"/>
                <w:sz w:val="21"/>
                <w:szCs w:val="21"/>
                <w:highlight w:val="none"/>
              </w:rPr>
              <w:t>二</w:t>
            </w:r>
          </w:p>
        </w:tc>
        <w:tc>
          <w:tcPr>
            <w:tcW w:w="8277" w:type="dxa"/>
            <w:tcBorders>
              <w:right w:val="single" w:color="000000" w:sz="6" w:space="0"/>
            </w:tcBorders>
            <w:vAlign w:val="top"/>
          </w:tcPr>
          <w:p w14:paraId="07BA53F6">
            <w:pPr>
              <w:pStyle w:val="17"/>
              <w:spacing w:before="97" w:line="219" w:lineRule="auto"/>
              <w:ind w:left="107"/>
              <w:rPr>
                <w:color w:val="auto"/>
                <w:sz w:val="21"/>
                <w:szCs w:val="21"/>
                <w:highlight w:val="none"/>
              </w:rPr>
            </w:pPr>
            <w:r>
              <w:rPr>
                <w:b/>
                <w:bCs/>
                <w:color w:val="auto"/>
                <w:spacing w:val="-3"/>
                <w:sz w:val="21"/>
                <w:szCs w:val="21"/>
                <w:highlight w:val="none"/>
              </w:rPr>
              <w:t>拟派项目组主要人员</w:t>
            </w:r>
          </w:p>
        </w:tc>
      </w:tr>
      <w:tr w14:paraId="77FAE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5" w:hRule="atLeast"/>
        </w:trPr>
        <w:tc>
          <w:tcPr>
            <w:tcW w:w="732" w:type="dxa"/>
            <w:tcBorders>
              <w:left w:val="single" w:color="000000" w:sz="6" w:space="0"/>
            </w:tcBorders>
            <w:vAlign w:val="top"/>
          </w:tcPr>
          <w:p w14:paraId="2277B492">
            <w:pPr>
              <w:spacing w:line="277" w:lineRule="auto"/>
              <w:rPr>
                <w:rFonts w:ascii="Arial"/>
                <w:color w:val="auto"/>
                <w:sz w:val="21"/>
                <w:highlight w:val="none"/>
              </w:rPr>
            </w:pPr>
          </w:p>
          <w:p w14:paraId="3BAF6936">
            <w:pPr>
              <w:spacing w:line="277" w:lineRule="auto"/>
              <w:rPr>
                <w:rFonts w:ascii="Arial"/>
                <w:color w:val="auto"/>
                <w:sz w:val="21"/>
                <w:highlight w:val="none"/>
              </w:rPr>
            </w:pPr>
          </w:p>
          <w:p w14:paraId="70997178">
            <w:pPr>
              <w:spacing w:before="60" w:line="188" w:lineRule="auto"/>
              <w:ind w:left="32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8277" w:type="dxa"/>
            <w:tcBorders>
              <w:right w:val="single" w:color="000000" w:sz="6" w:space="0"/>
            </w:tcBorders>
            <w:vAlign w:val="top"/>
          </w:tcPr>
          <w:p w14:paraId="357115C6">
            <w:pPr>
              <w:spacing w:before="78" w:line="359" w:lineRule="auto"/>
              <w:ind w:left="39" w:right="77" w:firstLine="483"/>
              <w:rPr>
                <w:rFonts w:hint="eastAsia" w:ascii="宋体" w:hAnsi="宋体" w:eastAsia="宋体" w:cs="宋体"/>
                <w:color w:val="auto"/>
                <w:spacing w:val="2"/>
                <w:sz w:val="21"/>
                <w:szCs w:val="21"/>
                <w:highlight w:val="none"/>
              </w:rPr>
            </w:pPr>
            <w:r>
              <w:rPr>
                <w:color w:val="auto"/>
                <w:spacing w:val="1"/>
                <w:sz w:val="21"/>
                <w:szCs w:val="21"/>
                <w:highlight w:val="none"/>
              </w:rPr>
              <w:t>项目负责人应持有注册在投标人单位的</w:t>
            </w:r>
            <w:r>
              <w:rPr>
                <w:color w:val="auto"/>
                <w:spacing w:val="-103"/>
                <w:sz w:val="21"/>
                <w:szCs w:val="21"/>
                <w:highlight w:val="none"/>
              </w:rPr>
              <w:t xml:space="preserve"> </w:t>
            </w:r>
            <w:r>
              <w:rPr>
                <w:color w:val="auto"/>
                <w:sz w:val="21"/>
                <w:szCs w:val="21"/>
                <w:highlight w:val="none"/>
                <w:u w:val="single" w:color="auto"/>
              </w:rPr>
              <w:t xml:space="preserve"> </w:t>
            </w:r>
            <w:r>
              <w:rPr>
                <w:rFonts w:hint="eastAsia" w:ascii="宋体" w:hAnsi="宋体" w:eastAsia="宋体" w:cs="宋体"/>
                <w:color w:val="auto"/>
                <w:spacing w:val="-4"/>
                <w:sz w:val="21"/>
                <w:szCs w:val="21"/>
                <w:highlight w:val="none"/>
                <w:u w:val="single" w:color="auto"/>
                <w:lang w:val="en-US" w:eastAsia="zh-CN"/>
              </w:rPr>
              <w:t>水利水电工程专业二级及以上建造师执业资格，且具有省级及以上水利行政主管部门颁发的安全生产考核B证</w:t>
            </w:r>
            <w:r>
              <w:rPr>
                <w:color w:val="auto"/>
                <w:sz w:val="21"/>
                <w:szCs w:val="21"/>
                <w:highlight w:val="none"/>
                <w:u w:val="single" w:color="auto"/>
              </w:rPr>
              <w:t xml:space="preserve"> </w:t>
            </w:r>
            <w:r>
              <w:rPr>
                <w:color w:val="auto"/>
                <w:spacing w:val="-95"/>
                <w:sz w:val="21"/>
                <w:szCs w:val="21"/>
                <w:highlight w:val="none"/>
              </w:rPr>
              <w:t xml:space="preserve"> </w:t>
            </w:r>
            <w:r>
              <w:rPr>
                <w:color w:val="auto"/>
                <w:spacing w:val="1"/>
                <w:sz w:val="21"/>
                <w:szCs w:val="21"/>
                <w:highlight w:val="none"/>
              </w:rPr>
              <w:t>证书</w:t>
            </w:r>
            <w:r>
              <w:rPr>
                <w:color w:val="auto"/>
                <w:spacing w:val="1"/>
                <w:position w:val="10"/>
                <w:sz w:val="11"/>
                <w:szCs w:val="11"/>
                <w:highlight w:val="none"/>
              </w:rPr>
              <w:t>③</w:t>
            </w:r>
            <w:r>
              <w:rPr>
                <w:color w:val="auto"/>
                <w:spacing w:val="-26"/>
                <w:position w:val="10"/>
                <w:sz w:val="11"/>
                <w:szCs w:val="11"/>
                <w:highlight w:val="none"/>
              </w:rPr>
              <w:t xml:space="preserve"> </w:t>
            </w:r>
            <w:r>
              <w:rPr>
                <w:color w:val="auto"/>
                <w:spacing w:val="1"/>
                <w:sz w:val="21"/>
                <w:szCs w:val="21"/>
                <w:highlight w:val="none"/>
              </w:rPr>
              <w:t>。投标人拟派</w:t>
            </w:r>
            <w:r>
              <w:rPr>
                <w:color w:val="auto"/>
                <w:sz w:val="21"/>
                <w:szCs w:val="21"/>
                <w:highlight w:val="none"/>
              </w:rPr>
              <w:t>的项目负责人</w:t>
            </w:r>
            <w:r>
              <w:rPr>
                <w:color w:val="auto"/>
                <w:spacing w:val="2"/>
                <w:sz w:val="21"/>
                <w:szCs w:val="21"/>
                <w:highlight w:val="none"/>
              </w:rPr>
              <w:t>在投标截止时间不得在其他任何在建合同工程中担任项目负责人（包括工程总承包项目</w:t>
            </w:r>
            <w:r>
              <w:rPr>
                <w:color w:val="auto"/>
                <w:spacing w:val="-4"/>
                <w:sz w:val="21"/>
                <w:szCs w:val="21"/>
                <w:highlight w:val="none"/>
              </w:rPr>
              <w:t>中的施工负责人）。在建合同工程的开始时间为合同工程中标通知书发出之日（不通过招</w:t>
            </w:r>
            <w:r>
              <w:rPr>
                <w:color w:val="auto"/>
                <w:spacing w:val="2"/>
                <w:sz w:val="21"/>
                <w:szCs w:val="21"/>
                <w:highlight w:val="none"/>
              </w:rPr>
              <w:t>标方式的，开始时间为合同签订之日），结束时间为该合同工程通过验收或合同解</w:t>
            </w:r>
            <w:r>
              <w:rPr>
                <w:rFonts w:hint="eastAsia" w:ascii="宋体" w:hAnsi="宋体" w:eastAsia="宋体" w:cs="宋体"/>
                <w:color w:val="auto"/>
                <w:spacing w:val="2"/>
                <w:sz w:val="21"/>
                <w:szCs w:val="21"/>
                <w:highlight w:val="none"/>
              </w:rPr>
              <w:t>除之日。</w:t>
            </w:r>
          </w:p>
          <w:p w14:paraId="667A0F86">
            <w:pPr>
              <w:spacing w:before="78" w:line="359" w:lineRule="auto"/>
              <w:ind w:left="39" w:right="77" w:firstLine="483"/>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拟派项目负责人须为投标企业在职职工（在职职工不包括离、退休返聘人员），须提供缴费期限包含202</w:t>
            </w:r>
            <w:r>
              <w:rPr>
                <w:rFonts w:hint="eastAsia" w:ascii="宋体" w:hAnsi="宋体" w:eastAsia="宋体" w:cs="宋体"/>
                <w:color w:val="auto"/>
                <w:spacing w:val="2"/>
                <w:sz w:val="21"/>
                <w:szCs w:val="21"/>
                <w:highlight w:val="none"/>
                <w:lang w:val="en-US" w:eastAsia="zh-CN"/>
              </w:rPr>
              <w:t>5</w:t>
            </w:r>
            <w:r>
              <w:rPr>
                <w:rFonts w:hint="eastAsia" w:ascii="宋体" w:hAnsi="宋体" w:eastAsia="宋体" w:cs="宋体"/>
                <w:color w:val="auto"/>
                <w:spacing w:val="2"/>
                <w:sz w:val="21"/>
                <w:szCs w:val="21"/>
                <w:highlight w:val="none"/>
                <w:lang w:eastAsia="zh-CN"/>
              </w:rPr>
              <w:t>年</w:t>
            </w:r>
            <w:r>
              <w:rPr>
                <w:rFonts w:hint="eastAsia" w:ascii="宋体" w:hAnsi="宋体" w:eastAsia="宋体" w:cs="宋体"/>
                <w:color w:val="auto"/>
                <w:spacing w:val="2"/>
                <w:sz w:val="21"/>
                <w:szCs w:val="21"/>
                <w:highlight w:val="none"/>
                <w:lang w:val="en-US" w:eastAsia="zh-CN"/>
              </w:rPr>
              <w:t>05</w:t>
            </w:r>
            <w:r>
              <w:rPr>
                <w:rFonts w:hint="eastAsia" w:ascii="宋体" w:hAnsi="宋体" w:eastAsia="宋体" w:cs="宋体"/>
                <w:color w:val="auto"/>
                <w:spacing w:val="2"/>
                <w:sz w:val="21"/>
                <w:szCs w:val="21"/>
                <w:highlight w:val="none"/>
                <w:lang w:eastAsia="zh-CN"/>
              </w:rPr>
              <w:t>月至202</w:t>
            </w:r>
            <w:r>
              <w:rPr>
                <w:rFonts w:hint="eastAsia" w:ascii="宋体" w:hAnsi="宋体" w:eastAsia="宋体" w:cs="宋体"/>
                <w:color w:val="auto"/>
                <w:spacing w:val="2"/>
                <w:sz w:val="21"/>
                <w:szCs w:val="21"/>
                <w:highlight w:val="none"/>
                <w:lang w:val="en-US" w:eastAsia="zh-CN"/>
              </w:rPr>
              <w:t>5</w:t>
            </w:r>
            <w:r>
              <w:rPr>
                <w:rFonts w:hint="eastAsia" w:ascii="宋体" w:hAnsi="宋体" w:eastAsia="宋体" w:cs="宋体"/>
                <w:color w:val="auto"/>
                <w:spacing w:val="2"/>
                <w:sz w:val="21"/>
                <w:szCs w:val="21"/>
                <w:highlight w:val="none"/>
                <w:lang w:eastAsia="zh-CN"/>
              </w:rPr>
              <w:t>年</w:t>
            </w:r>
            <w:r>
              <w:rPr>
                <w:rFonts w:hint="eastAsia" w:ascii="宋体" w:hAnsi="宋体" w:eastAsia="宋体" w:cs="宋体"/>
                <w:color w:val="auto"/>
                <w:spacing w:val="2"/>
                <w:sz w:val="21"/>
                <w:szCs w:val="21"/>
                <w:highlight w:val="none"/>
                <w:lang w:val="en-US" w:eastAsia="zh-CN"/>
              </w:rPr>
              <w:t>07</w:t>
            </w:r>
            <w:r>
              <w:rPr>
                <w:rFonts w:hint="eastAsia" w:ascii="宋体" w:hAnsi="宋体" w:eastAsia="宋体" w:cs="宋体"/>
                <w:color w:val="auto"/>
                <w:spacing w:val="2"/>
                <w:sz w:val="21"/>
                <w:szCs w:val="21"/>
                <w:highlight w:val="none"/>
                <w:lang w:eastAsia="zh-CN"/>
              </w:rPr>
              <w:t>月的投标人所属社保机构养老保险交纳清单或证明【缴费单位和投标单位名称必须一致，非独立法人的分公司社保，也予以认可，并加盖社保缴费证明专用章（或电子专用章）】。</w:t>
            </w:r>
          </w:p>
          <w:p w14:paraId="621603CE">
            <w:pPr>
              <w:spacing w:before="78" w:line="359" w:lineRule="auto"/>
              <w:ind w:left="39" w:right="77" w:firstLine="483"/>
              <w:rPr>
                <w:color w:val="auto"/>
                <w:sz w:val="21"/>
                <w:szCs w:val="21"/>
                <w:highlight w:val="none"/>
              </w:rPr>
            </w:pPr>
            <w:r>
              <w:rPr>
                <w:rFonts w:hint="eastAsia" w:ascii="宋体" w:hAnsi="宋体" w:eastAsia="宋体" w:cs="宋体"/>
                <w:color w:val="auto"/>
                <w:spacing w:val="2"/>
                <w:sz w:val="21"/>
                <w:szCs w:val="21"/>
                <w:highlight w:val="none"/>
                <w:lang w:eastAsia="zh-CN"/>
              </w:rPr>
              <w:t>注：根据《住房和城乡建设部办公厅关于全面实行一级建造师电子注册证书的通知》（建办市〔2021〕40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tc>
      </w:tr>
      <w:tr w14:paraId="4CB0C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2" w:type="dxa"/>
            <w:tcBorders>
              <w:left w:val="single" w:color="000000" w:sz="6" w:space="0"/>
            </w:tcBorders>
            <w:vAlign w:val="top"/>
          </w:tcPr>
          <w:p w14:paraId="4B78B103">
            <w:pPr>
              <w:spacing w:before="210" w:line="188" w:lineRule="auto"/>
              <w:ind w:left="30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8277" w:type="dxa"/>
            <w:tcBorders>
              <w:right w:val="single" w:color="000000" w:sz="6" w:space="0"/>
            </w:tcBorders>
            <w:vAlign w:val="top"/>
          </w:tcPr>
          <w:p w14:paraId="6587C8DB">
            <w:pPr>
              <w:pStyle w:val="17"/>
              <w:spacing w:before="38" w:line="215" w:lineRule="auto"/>
              <w:ind w:left="126" w:right="103" w:hanging="16"/>
              <w:rPr>
                <w:color w:val="auto"/>
                <w:sz w:val="21"/>
                <w:szCs w:val="21"/>
                <w:highlight w:val="none"/>
              </w:rPr>
            </w:pPr>
            <w:r>
              <w:rPr>
                <w:color w:val="auto"/>
                <w:spacing w:val="-4"/>
                <w:sz w:val="21"/>
                <w:szCs w:val="21"/>
                <w:highlight w:val="none"/>
              </w:rPr>
              <w:t>项目负责人自</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2022</w:t>
            </w:r>
            <w:r>
              <w:rPr>
                <w:color w:val="auto"/>
                <w:spacing w:val="-4"/>
                <w:sz w:val="21"/>
                <w:szCs w:val="21"/>
                <w:highlight w:val="none"/>
                <w:u w:val="single" w:color="auto"/>
              </w:rPr>
              <w:t xml:space="preserve"> </w:t>
            </w:r>
            <w:r>
              <w:rPr>
                <w:color w:val="auto"/>
                <w:spacing w:val="-87"/>
                <w:sz w:val="21"/>
                <w:szCs w:val="21"/>
                <w:highlight w:val="none"/>
              </w:rPr>
              <w:t xml:space="preserve"> </w:t>
            </w:r>
            <w:r>
              <w:rPr>
                <w:color w:val="auto"/>
                <w:spacing w:val="-4"/>
                <w:sz w:val="21"/>
                <w:szCs w:val="21"/>
                <w:highlight w:val="none"/>
              </w:rPr>
              <w:t>年</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91"/>
                <w:sz w:val="21"/>
                <w:szCs w:val="21"/>
                <w:highlight w:val="none"/>
              </w:rPr>
              <w:t xml:space="preserve"> </w:t>
            </w:r>
            <w:r>
              <w:rPr>
                <w:color w:val="auto"/>
                <w:spacing w:val="-4"/>
                <w:sz w:val="21"/>
                <w:szCs w:val="21"/>
                <w:highlight w:val="none"/>
              </w:rPr>
              <w:t>月</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61"/>
                <w:sz w:val="21"/>
                <w:szCs w:val="21"/>
                <w:highlight w:val="none"/>
              </w:rPr>
              <w:t xml:space="preserve"> </w:t>
            </w:r>
            <w:r>
              <w:rPr>
                <w:color w:val="auto"/>
                <w:spacing w:val="-4"/>
                <w:sz w:val="21"/>
                <w:szCs w:val="21"/>
                <w:highlight w:val="none"/>
              </w:rPr>
              <w:t>日至投标截止时间</w:t>
            </w:r>
            <w:r>
              <w:rPr>
                <w:i/>
                <w:iCs/>
                <w:color w:val="auto"/>
                <w:spacing w:val="-4"/>
                <w:sz w:val="22"/>
                <w:szCs w:val="22"/>
                <w:highlight w:val="none"/>
              </w:rPr>
              <w:t>（不得少于</w:t>
            </w:r>
            <w:r>
              <w:rPr>
                <w:rFonts w:ascii="Times New Roman" w:hAnsi="Times New Roman" w:eastAsia="Times New Roman" w:cs="Times New Roman"/>
                <w:i/>
                <w:iCs/>
                <w:color w:val="auto"/>
                <w:spacing w:val="-4"/>
                <w:sz w:val="21"/>
                <w:szCs w:val="21"/>
                <w:highlight w:val="none"/>
              </w:rPr>
              <w:t>3</w:t>
            </w:r>
            <w:r>
              <w:rPr>
                <w:i/>
                <w:iCs/>
                <w:color w:val="auto"/>
                <w:spacing w:val="-4"/>
                <w:sz w:val="22"/>
                <w:szCs w:val="22"/>
                <w:highlight w:val="none"/>
              </w:rPr>
              <w:t>年）</w:t>
            </w:r>
            <w:r>
              <w:rPr>
                <w:color w:val="auto"/>
                <w:spacing w:val="-4"/>
                <w:sz w:val="21"/>
                <w:szCs w:val="21"/>
                <w:highlight w:val="none"/>
              </w:rPr>
              <w:t>无行贿犯罪记录（以</w:t>
            </w:r>
            <w:r>
              <w:rPr>
                <w:color w:val="auto"/>
                <w:sz w:val="21"/>
                <w:szCs w:val="21"/>
                <w:highlight w:val="none"/>
              </w:rPr>
              <w:t xml:space="preserve"> </w:t>
            </w:r>
            <w:r>
              <w:rPr>
                <w:color w:val="auto"/>
                <w:spacing w:val="-1"/>
                <w:sz w:val="21"/>
                <w:szCs w:val="21"/>
                <w:highlight w:val="none"/>
              </w:rPr>
              <w:t>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1"/>
                <w:sz w:val="21"/>
                <w:szCs w:val="21"/>
                <w:highlight w:val="none"/>
              </w:rPr>
              <w:t>http://wenshu.court.gov</w:t>
            </w:r>
            <w:r>
              <w:rPr>
                <w:rFonts w:ascii="Times New Roman" w:hAnsi="Times New Roman" w:eastAsia="Times New Roman" w:cs="Times New Roman"/>
                <w:color w:val="auto"/>
                <w:spacing w:val="-2"/>
                <w:sz w:val="21"/>
                <w:szCs w:val="21"/>
                <w:highlight w:val="none"/>
              </w:rPr>
              <w:t>.cn/</w:t>
            </w:r>
            <w:r>
              <w:rPr>
                <w:rFonts w:ascii="Times New Roman" w:hAnsi="Times New Roman" w:eastAsia="Times New Roman" w:cs="Times New Roman"/>
                <w:color w:val="auto"/>
                <w:spacing w:val="-2"/>
                <w:sz w:val="21"/>
                <w:szCs w:val="21"/>
                <w:highlight w:val="none"/>
              </w:rPr>
              <w:fldChar w:fldCharType="end"/>
            </w:r>
            <w:r>
              <w:rPr>
                <w:color w:val="auto"/>
                <w:spacing w:val="-2"/>
                <w:sz w:val="21"/>
                <w:szCs w:val="21"/>
                <w:highlight w:val="none"/>
              </w:rPr>
              <w:t>）查询结果为准）。</w:t>
            </w:r>
          </w:p>
        </w:tc>
      </w:tr>
      <w:tr w14:paraId="3F4BD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32" w:type="dxa"/>
            <w:tcBorders>
              <w:left w:val="single" w:color="000000" w:sz="6" w:space="0"/>
            </w:tcBorders>
            <w:vAlign w:val="top"/>
          </w:tcPr>
          <w:p w14:paraId="7DF4E9CA">
            <w:pPr>
              <w:spacing w:before="137" w:line="188" w:lineRule="auto"/>
              <w:ind w:left="31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8277" w:type="dxa"/>
            <w:tcBorders>
              <w:right w:val="single" w:color="000000" w:sz="6" w:space="0"/>
            </w:tcBorders>
            <w:vAlign w:val="top"/>
          </w:tcPr>
          <w:p w14:paraId="41B6707C">
            <w:pPr>
              <w:pStyle w:val="17"/>
              <w:spacing w:before="63" w:line="205" w:lineRule="auto"/>
              <w:ind w:left="110"/>
              <w:rPr>
                <w:rFonts w:ascii="微软雅黑" w:hAnsi="微软雅黑" w:eastAsia="微软雅黑" w:cs="微软雅黑"/>
                <w:color w:val="auto"/>
                <w:sz w:val="21"/>
                <w:szCs w:val="21"/>
                <w:highlight w:val="none"/>
              </w:rPr>
            </w:pPr>
            <w:r>
              <w:rPr>
                <w:color w:val="auto"/>
                <w:spacing w:val="-1"/>
                <w:sz w:val="21"/>
                <w:szCs w:val="21"/>
                <w:highlight w:val="none"/>
              </w:rPr>
              <w:t xml:space="preserve">项目技术负责人应持有 </w:t>
            </w:r>
            <w:r>
              <w:rPr>
                <w:color w:val="auto"/>
                <w:spacing w:val="-1"/>
                <w:sz w:val="21"/>
                <w:szCs w:val="21"/>
                <w:highlight w:val="none"/>
                <w:u w:val="single" w:color="auto"/>
              </w:rPr>
              <w:t xml:space="preserve"> </w:t>
            </w:r>
            <w:r>
              <w:rPr>
                <w:rFonts w:hint="eastAsia" w:ascii="Times New Roman" w:hAnsi="Times New Roman" w:cs="Times New Roman"/>
                <w:color w:val="auto"/>
                <w:sz w:val="21"/>
                <w:szCs w:val="21"/>
                <w:highlight w:val="none"/>
                <w:u w:val="single"/>
                <w:lang w:eastAsia="zh-CN"/>
              </w:rPr>
              <w:t>中级及以上职称证书</w:t>
            </w:r>
            <w:r>
              <w:rPr>
                <w:rFonts w:ascii="Times New Roman" w:hAnsi="Times New Roman" w:cs="Times New Roman"/>
                <w:color w:val="auto"/>
                <w:sz w:val="21"/>
                <w:szCs w:val="21"/>
                <w:highlight w:val="none"/>
                <w:u w:val="single"/>
                <w:lang w:eastAsia="zh-CN"/>
              </w:rPr>
              <w:t>或</w:t>
            </w:r>
            <w:r>
              <w:rPr>
                <w:rFonts w:hint="eastAsia" w:ascii="Times New Roman" w:hAnsi="Times New Roman" w:cs="Times New Roman"/>
                <w:color w:val="auto"/>
                <w:sz w:val="21"/>
                <w:szCs w:val="21"/>
                <w:highlight w:val="none"/>
                <w:u w:val="single"/>
                <w:lang w:eastAsia="zh-CN"/>
              </w:rPr>
              <w:t>水利水电工程专业二级及以上</w:t>
            </w:r>
            <w:r>
              <w:rPr>
                <w:rFonts w:ascii="Times New Roman" w:hAnsi="Times New Roman" w:cs="Times New Roman"/>
                <w:color w:val="auto"/>
                <w:sz w:val="21"/>
                <w:szCs w:val="21"/>
                <w:highlight w:val="none"/>
                <w:u w:val="single"/>
                <w:lang w:eastAsia="zh-CN"/>
              </w:rPr>
              <w:t>建造师</w:t>
            </w:r>
            <w:r>
              <w:rPr>
                <w:color w:val="auto"/>
                <w:spacing w:val="-1"/>
                <w:sz w:val="21"/>
                <w:szCs w:val="21"/>
                <w:highlight w:val="none"/>
                <w:u w:val="single" w:color="auto"/>
              </w:rPr>
              <w:t xml:space="preserve"> </w:t>
            </w:r>
            <w:r>
              <w:rPr>
                <w:color w:val="auto"/>
                <w:spacing w:val="-91"/>
                <w:sz w:val="21"/>
                <w:szCs w:val="21"/>
                <w:highlight w:val="none"/>
              </w:rPr>
              <w:t xml:space="preserve"> </w:t>
            </w:r>
            <w:r>
              <w:rPr>
                <w:color w:val="auto"/>
                <w:spacing w:val="-1"/>
                <w:sz w:val="21"/>
                <w:szCs w:val="21"/>
                <w:highlight w:val="none"/>
              </w:rPr>
              <w:t>证书</w:t>
            </w:r>
            <w:r>
              <w:rPr>
                <w:color w:val="auto"/>
                <w:spacing w:val="-1"/>
                <w:position w:val="10"/>
                <w:sz w:val="11"/>
                <w:szCs w:val="11"/>
                <w:highlight w:val="none"/>
              </w:rPr>
              <w:t>③</w:t>
            </w:r>
            <w:r>
              <w:rPr>
                <w:rFonts w:ascii="微软雅黑" w:hAnsi="微软雅黑" w:eastAsia="微软雅黑" w:cs="微软雅黑"/>
                <w:color w:val="auto"/>
                <w:spacing w:val="-1"/>
                <w:sz w:val="21"/>
                <w:szCs w:val="21"/>
                <w:highlight w:val="none"/>
              </w:rPr>
              <w:t>。</w:t>
            </w:r>
          </w:p>
        </w:tc>
      </w:tr>
      <w:tr w14:paraId="0F2C8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2" w:type="dxa"/>
            <w:tcBorders>
              <w:left w:val="single" w:color="000000" w:sz="6" w:space="0"/>
            </w:tcBorders>
            <w:vAlign w:val="top"/>
          </w:tcPr>
          <w:p w14:paraId="2882CF1D">
            <w:pPr>
              <w:spacing w:before="212" w:line="188" w:lineRule="auto"/>
              <w:ind w:left="3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4</w:t>
            </w:r>
          </w:p>
        </w:tc>
        <w:tc>
          <w:tcPr>
            <w:tcW w:w="8277" w:type="dxa"/>
            <w:tcBorders>
              <w:right w:val="single" w:color="000000" w:sz="6" w:space="0"/>
            </w:tcBorders>
            <w:vAlign w:val="top"/>
          </w:tcPr>
          <w:p w14:paraId="3B0A9532">
            <w:pPr>
              <w:pStyle w:val="17"/>
              <w:spacing w:before="40" w:line="219" w:lineRule="auto"/>
              <w:ind w:left="109" w:right="101"/>
              <w:rPr>
                <w:color w:val="auto"/>
                <w:sz w:val="21"/>
                <w:szCs w:val="21"/>
                <w:highlight w:val="none"/>
              </w:rPr>
            </w:pPr>
            <w:r>
              <w:rPr>
                <w:color w:val="auto"/>
                <w:spacing w:val="2"/>
                <w:sz w:val="21"/>
                <w:szCs w:val="21"/>
                <w:highlight w:val="none"/>
              </w:rPr>
              <w:t>项目安全员、质检员和施工员应持有中国水利工程协会或中国水利企业协会颁发</w:t>
            </w:r>
            <w:r>
              <w:rPr>
                <w:color w:val="auto"/>
                <w:spacing w:val="1"/>
                <w:sz w:val="21"/>
                <w:szCs w:val="21"/>
                <w:highlight w:val="none"/>
              </w:rPr>
              <w:t>的全国</w:t>
            </w:r>
            <w:r>
              <w:rPr>
                <w:color w:val="auto"/>
                <w:sz w:val="21"/>
                <w:szCs w:val="21"/>
                <w:highlight w:val="none"/>
              </w:rPr>
              <w:t xml:space="preserve"> </w:t>
            </w:r>
            <w:r>
              <w:rPr>
                <w:color w:val="auto"/>
                <w:spacing w:val="-2"/>
                <w:sz w:val="21"/>
                <w:szCs w:val="21"/>
                <w:highlight w:val="none"/>
              </w:rPr>
              <w:t>水利水电工程施工现场管理人员培训合格证书。</w:t>
            </w:r>
          </w:p>
        </w:tc>
      </w:tr>
      <w:tr w14:paraId="439DA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5" w:hRule="atLeast"/>
        </w:trPr>
        <w:tc>
          <w:tcPr>
            <w:tcW w:w="732" w:type="dxa"/>
            <w:tcBorders>
              <w:left w:val="single" w:color="000000" w:sz="6" w:space="0"/>
            </w:tcBorders>
            <w:vAlign w:val="top"/>
          </w:tcPr>
          <w:p w14:paraId="1EB0506A">
            <w:pPr>
              <w:spacing w:line="425" w:lineRule="auto"/>
              <w:rPr>
                <w:rFonts w:ascii="Arial"/>
                <w:color w:val="auto"/>
                <w:sz w:val="21"/>
                <w:highlight w:val="none"/>
              </w:rPr>
            </w:pPr>
          </w:p>
          <w:p w14:paraId="70054381">
            <w:pPr>
              <w:spacing w:before="60" w:line="185" w:lineRule="auto"/>
              <w:ind w:left="31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277" w:type="dxa"/>
            <w:tcBorders>
              <w:right w:val="single" w:color="000000" w:sz="6" w:space="0"/>
            </w:tcBorders>
            <w:vAlign w:val="top"/>
          </w:tcPr>
          <w:p w14:paraId="3FB949F2">
            <w:pPr>
              <w:pStyle w:val="17"/>
              <w:spacing w:before="41" w:line="232" w:lineRule="auto"/>
              <w:ind w:left="104" w:right="98"/>
              <w:jc w:val="both"/>
              <w:rPr>
                <w:strike/>
                <w:dstrike w:val="0"/>
                <w:color w:val="auto"/>
                <w:sz w:val="21"/>
                <w:szCs w:val="21"/>
                <w:highlight w:val="none"/>
              </w:rPr>
            </w:pPr>
            <w:r>
              <w:rPr>
                <w:strike/>
                <w:dstrike w:val="0"/>
                <w:color w:val="auto"/>
                <w:spacing w:val="29"/>
                <w:sz w:val="21"/>
                <w:szCs w:val="21"/>
                <w:highlight w:val="none"/>
              </w:rPr>
              <w:t>项目负责人自</w:t>
            </w:r>
            <w:r>
              <w:rPr>
                <w:strike/>
                <w:dstrike w:val="0"/>
                <w:color w:val="auto"/>
                <w:spacing w:val="29"/>
                <w:sz w:val="21"/>
                <w:szCs w:val="21"/>
                <w:highlight w:val="none"/>
                <w:u w:val="single" w:color="auto"/>
              </w:rPr>
              <w:t xml:space="preserve"> </w:t>
            </w:r>
            <w:r>
              <w:rPr>
                <w:strike/>
                <w:dstrike w:val="0"/>
                <w:color w:val="auto"/>
                <w:spacing w:val="29"/>
                <w:sz w:val="21"/>
                <w:szCs w:val="21"/>
                <w:highlight w:val="none"/>
              </w:rPr>
              <w:t>年</w:t>
            </w:r>
            <w:r>
              <w:rPr>
                <w:strike/>
                <w:dstrike w:val="0"/>
                <w:color w:val="auto"/>
                <w:spacing w:val="10"/>
                <w:sz w:val="21"/>
                <w:szCs w:val="21"/>
                <w:highlight w:val="none"/>
                <w:u w:val="single" w:color="auto"/>
              </w:rPr>
              <w:t xml:space="preserve">  </w:t>
            </w:r>
            <w:r>
              <w:rPr>
                <w:strike/>
                <w:dstrike w:val="0"/>
                <w:color w:val="auto"/>
                <w:spacing w:val="-95"/>
                <w:sz w:val="21"/>
                <w:szCs w:val="21"/>
                <w:highlight w:val="none"/>
              </w:rPr>
              <w:t xml:space="preserve"> </w:t>
            </w:r>
            <w:r>
              <w:rPr>
                <w:strike/>
                <w:dstrike w:val="0"/>
                <w:color w:val="auto"/>
                <w:spacing w:val="29"/>
                <w:sz w:val="21"/>
                <w:szCs w:val="21"/>
                <w:highlight w:val="none"/>
              </w:rPr>
              <w:t>月</w:t>
            </w:r>
            <w:r>
              <w:rPr>
                <w:strike/>
                <w:dstrike w:val="0"/>
                <w:color w:val="auto"/>
                <w:spacing w:val="6"/>
                <w:sz w:val="21"/>
                <w:szCs w:val="21"/>
                <w:highlight w:val="none"/>
                <w:u w:val="single" w:color="auto"/>
              </w:rPr>
              <w:t xml:space="preserve">  </w:t>
            </w:r>
            <w:r>
              <w:rPr>
                <w:strike/>
                <w:dstrike w:val="0"/>
                <w:color w:val="auto"/>
                <w:spacing w:val="-48"/>
                <w:sz w:val="21"/>
                <w:szCs w:val="21"/>
                <w:highlight w:val="none"/>
              </w:rPr>
              <w:t xml:space="preserve"> </w:t>
            </w:r>
            <w:r>
              <w:rPr>
                <w:strike/>
                <w:dstrike w:val="0"/>
                <w:color w:val="auto"/>
                <w:spacing w:val="29"/>
                <w:sz w:val="21"/>
                <w:szCs w:val="21"/>
                <w:highlight w:val="none"/>
              </w:rPr>
              <w:t>日至投标截止时间〔日期以完工（竣工）验收鉴定书</w:t>
            </w:r>
            <w:r>
              <w:rPr>
                <w:strike/>
                <w:dstrike w:val="0"/>
                <w:color w:val="auto"/>
                <w:sz w:val="21"/>
                <w:szCs w:val="21"/>
                <w:highlight w:val="none"/>
              </w:rPr>
              <w:t xml:space="preserve"> </w:t>
            </w:r>
            <w:r>
              <w:rPr>
                <w:strike/>
                <w:dstrike w:val="0"/>
                <w:color w:val="auto"/>
                <w:spacing w:val="9"/>
                <w:sz w:val="21"/>
                <w:szCs w:val="21"/>
                <w:highlight w:val="none"/>
              </w:rPr>
              <w:t>或工程质量（安全）</w:t>
            </w:r>
            <w:r>
              <w:rPr>
                <w:strike/>
                <w:dstrike w:val="0"/>
                <w:color w:val="auto"/>
                <w:spacing w:val="-46"/>
                <w:sz w:val="21"/>
                <w:szCs w:val="21"/>
                <w:highlight w:val="none"/>
              </w:rPr>
              <w:t xml:space="preserve"> </w:t>
            </w:r>
            <w:r>
              <w:rPr>
                <w:strike/>
                <w:dstrike w:val="0"/>
                <w:color w:val="auto"/>
                <w:spacing w:val="9"/>
                <w:sz w:val="21"/>
                <w:szCs w:val="21"/>
                <w:highlight w:val="none"/>
              </w:rPr>
              <w:t>监督报告中明确的完工（竣工） 日期为准〕，以项目负责人或</w:t>
            </w:r>
            <w:r>
              <w:rPr>
                <w:strike/>
                <w:dstrike w:val="0"/>
                <w:color w:val="auto"/>
                <w:sz w:val="21"/>
                <w:szCs w:val="21"/>
                <w:highlight w:val="none"/>
              </w:rPr>
              <w:t xml:space="preserve"> </w:t>
            </w:r>
            <w:r>
              <w:rPr>
                <w:strike/>
                <w:dstrike w:val="0"/>
                <w:color w:val="auto"/>
                <w:spacing w:val="14"/>
                <w:sz w:val="21"/>
                <w:szCs w:val="21"/>
                <w:highlight w:val="none"/>
              </w:rPr>
              <w:t>技术负责人（包括工程总承包项目中的施工负责人或施工技术负责</w:t>
            </w:r>
            <w:r>
              <w:rPr>
                <w:strike/>
                <w:dstrike w:val="0"/>
                <w:color w:val="auto"/>
                <w:spacing w:val="13"/>
                <w:sz w:val="21"/>
                <w:szCs w:val="21"/>
                <w:highlight w:val="none"/>
              </w:rPr>
              <w:t>人）身份完成过</w:t>
            </w:r>
          </w:p>
          <w:p w14:paraId="2AD38093">
            <w:pPr>
              <w:pStyle w:val="17"/>
              <w:spacing w:line="203" w:lineRule="auto"/>
              <w:ind w:left="585"/>
              <w:rPr>
                <w:color w:val="auto"/>
                <w:sz w:val="21"/>
                <w:szCs w:val="21"/>
                <w:highlight w:val="none"/>
              </w:rPr>
            </w:pPr>
            <w:r>
              <w:rPr>
                <w:strike/>
                <w:dstrike w:val="0"/>
                <w:color w:val="auto"/>
                <w:spacing w:val="11"/>
                <w:sz w:val="21"/>
                <w:szCs w:val="21"/>
                <w:highlight w:val="none"/>
              </w:rPr>
              <w:t>业绩</w:t>
            </w:r>
            <w:r>
              <w:rPr>
                <w:strike/>
                <w:dstrike w:val="0"/>
                <w:color w:val="auto"/>
                <w:spacing w:val="11"/>
                <w:position w:val="10"/>
                <w:sz w:val="11"/>
                <w:szCs w:val="11"/>
                <w:highlight w:val="none"/>
              </w:rPr>
              <w:t>②</w:t>
            </w:r>
            <w:r>
              <w:rPr>
                <w:strike/>
                <w:dstrike w:val="0"/>
                <w:color w:val="auto"/>
                <w:spacing w:val="-17"/>
                <w:position w:val="10"/>
                <w:sz w:val="11"/>
                <w:szCs w:val="11"/>
                <w:highlight w:val="none"/>
              </w:rPr>
              <w:t xml:space="preserve"> </w:t>
            </w:r>
            <w:r>
              <w:rPr>
                <w:strike/>
                <w:dstrike w:val="0"/>
                <w:color w:val="auto"/>
                <w:spacing w:val="11"/>
                <w:sz w:val="21"/>
                <w:szCs w:val="21"/>
                <w:highlight w:val="none"/>
              </w:rPr>
              <w:t>。业绩证明材料见下文。</w:t>
            </w:r>
          </w:p>
        </w:tc>
      </w:tr>
      <w:tr w14:paraId="43F8A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32" w:type="dxa"/>
            <w:tcBorders>
              <w:left w:val="single" w:color="000000" w:sz="6" w:space="0"/>
            </w:tcBorders>
            <w:vAlign w:val="top"/>
          </w:tcPr>
          <w:p w14:paraId="112E8CEF">
            <w:pPr>
              <w:pStyle w:val="17"/>
              <w:spacing w:before="122" w:line="237" w:lineRule="auto"/>
              <w:ind w:left="259"/>
              <w:rPr>
                <w:color w:val="auto"/>
                <w:sz w:val="21"/>
                <w:szCs w:val="21"/>
                <w:highlight w:val="none"/>
              </w:rPr>
            </w:pPr>
            <w:r>
              <w:rPr>
                <w:b/>
                <w:bCs/>
                <w:color w:val="auto"/>
                <w:spacing w:val="-3"/>
                <w:sz w:val="21"/>
                <w:szCs w:val="21"/>
                <w:highlight w:val="none"/>
              </w:rPr>
              <w:t>三</w:t>
            </w:r>
          </w:p>
        </w:tc>
        <w:tc>
          <w:tcPr>
            <w:tcW w:w="8277" w:type="dxa"/>
            <w:tcBorders>
              <w:right w:val="single" w:color="000000" w:sz="6" w:space="0"/>
            </w:tcBorders>
            <w:vAlign w:val="top"/>
          </w:tcPr>
          <w:p w14:paraId="365E411A">
            <w:pPr>
              <w:pStyle w:val="17"/>
              <w:spacing w:before="122" w:line="221" w:lineRule="auto"/>
              <w:ind w:left="108"/>
              <w:rPr>
                <w:color w:val="auto"/>
                <w:sz w:val="21"/>
                <w:szCs w:val="21"/>
                <w:highlight w:val="none"/>
              </w:rPr>
            </w:pPr>
            <w:r>
              <w:rPr>
                <w:b/>
                <w:bCs/>
                <w:color w:val="auto"/>
                <w:spacing w:val="-5"/>
                <w:sz w:val="21"/>
                <w:szCs w:val="21"/>
                <w:highlight w:val="none"/>
              </w:rPr>
              <w:t>其它</w:t>
            </w:r>
          </w:p>
        </w:tc>
      </w:tr>
      <w:tr w14:paraId="7DDDD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4" w:hRule="atLeast"/>
        </w:trPr>
        <w:tc>
          <w:tcPr>
            <w:tcW w:w="732" w:type="dxa"/>
            <w:tcBorders>
              <w:left w:val="single" w:color="000000" w:sz="6" w:space="0"/>
            </w:tcBorders>
            <w:vAlign w:val="top"/>
          </w:tcPr>
          <w:p w14:paraId="3E972128">
            <w:pPr>
              <w:spacing w:line="423" w:lineRule="auto"/>
              <w:rPr>
                <w:rFonts w:ascii="Arial"/>
                <w:color w:val="auto"/>
                <w:sz w:val="21"/>
                <w:highlight w:val="none"/>
              </w:rPr>
            </w:pPr>
          </w:p>
          <w:p w14:paraId="51315DEF">
            <w:pPr>
              <w:spacing w:before="60" w:line="188" w:lineRule="auto"/>
              <w:ind w:left="32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8277" w:type="dxa"/>
            <w:tcBorders>
              <w:right w:val="single" w:color="000000" w:sz="6" w:space="0"/>
            </w:tcBorders>
            <w:vAlign w:val="top"/>
          </w:tcPr>
          <w:p w14:paraId="2C65FE94">
            <w:pPr>
              <w:pStyle w:val="17"/>
              <w:spacing w:before="40" w:line="225" w:lineRule="auto"/>
              <w:ind w:left="109" w:right="13"/>
              <w:jc w:val="both"/>
              <w:rPr>
                <w:color w:val="auto"/>
                <w:spacing w:val="1"/>
                <w:sz w:val="21"/>
                <w:szCs w:val="21"/>
                <w:highlight w:val="none"/>
              </w:rPr>
            </w:pPr>
            <w:r>
              <w:rPr>
                <w:color w:val="auto"/>
                <w:spacing w:val="-5"/>
                <w:sz w:val="21"/>
                <w:szCs w:val="21"/>
                <w:highlight w:val="none"/>
              </w:rPr>
              <w:t>投标人的“三类人员”（企业主要负责人、项目负责</w:t>
            </w:r>
            <w:r>
              <w:rPr>
                <w:color w:val="auto"/>
                <w:spacing w:val="-6"/>
                <w:sz w:val="21"/>
                <w:szCs w:val="21"/>
                <w:highlight w:val="none"/>
              </w:rPr>
              <w:t>人、专职安全生产管理人员，</w:t>
            </w:r>
            <w:r>
              <w:rPr>
                <w:color w:val="auto"/>
                <w:spacing w:val="58"/>
                <w:sz w:val="21"/>
                <w:szCs w:val="21"/>
                <w:highlight w:val="none"/>
              </w:rPr>
              <w:t xml:space="preserve"> </w:t>
            </w:r>
            <w:r>
              <w:rPr>
                <w:color w:val="auto"/>
                <w:spacing w:val="-6"/>
                <w:sz w:val="21"/>
                <w:szCs w:val="21"/>
                <w:highlight w:val="none"/>
              </w:rPr>
              <w:t>下同）</w:t>
            </w:r>
            <w:r>
              <w:rPr>
                <w:color w:val="auto"/>
                <w:sz w:val="21"/>
                <w:szCs w:val="21"/>
                <w:highlight w:val="none"/>
              </w:rPr>
              <w:t xml:space="preserve"> </w:t>
            </w:r>
            <w:r>
              <w:rPr>
                <w:color w:val="auto"/>
                <w:spacing w:val="-3"/>
                <w:sz w:val="21"/>
                <w:szCs w:val="21"/>
                <w:highlight w:val="none"/>
              </w:rPr>
              <w:t>必须持有省级及以上水行政主管部门颁发的安全生产考核合格证书（</w:t>
            </w:r>
            <w:r>
              <w:rPr>
                <w:rFonts w:ascii="Times New Roman" w:hAnsi="Times New Roman" w:eastAsia="Times New Roman" w:cs="Times New Roman"/>
                <w:color w:val="auto"/>
                <w:spacing w:val="-3"/>
                <w:sz w:val="21"/>
                <w:szCs w:val="21"/>
                <w:highlight w:val="none"/>
              </w:rPr>
              <w:t>A</w:t>
            </w: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B</w:t>
            </w: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C</w:t>
            </w:r>
            <w:r>
              <w:rPr>
                <w:color w:val="auto"/>
                <w:spacing w:val="-3"/>
                <w:sz w:val="21"/>
                <w:szCs w:val="21"/>
                <w:highlight w:val="none"/>
              </w:rPr>
              <w:t>证</w:t>
            </w:r>
            <w:r>
              <w:rPr>
                <w:color w:val="auto"/>
                <w:spacing w:val="-18"/>
                <w:sz w:val="21"/>
                <w:szCs w:val="21"/>
                <w:highlight w:val="none"/>
              </w:rPr>
              <w:t>），</w:t>
            </w:r>
            <w:r>
              <w:rPr>
                <w:color w:val="auto"/>
                <w:spacing w:val="-3"/>
                <w:sz w:val="21"/>
                <w:szCs w:val="21"/>
                <w:highlight w:val="none"/>
              </w:rPr>
              <w:t>其中</w:t>
            </w:r>
            <w:r>
              <w:rPr>
                <w:color w:val="auto"/>
                <w:sz w:val="21"/>
                <w:szCs w:val="21"/>
                <w:highlight w:val="none"/>
              </w:rPr>
              <w:t xml:space="preserve">  </w:t>
            </w:r>
            <w:r>
              <w:rPr>
                <w:color w:val="auto"/>
                <w:spacing w:val="-5"/>
                <w:sz w:val="21"/>
                <w:szCs w:val="21"/>
                <w:highlight w:val="none"/>
              </w:rPr>
              <w:t>企业经理、企业技术负责人、企业分管安全生产的副总经理应有任命文件；</w:t>
            </w:r>
            <w:r>
              <w:rPr>
                <w:color w:val="auto"/>
                <w:spacing w:val="-44"/>
                <w:sz w:val="21"/>
                <w:szCs w:val="21"/>
                <w:highlight w:val="none"/>
              </w:rPr>
              <w:t xml:space="preserve"> </w:t>
            </w:r>
            <w:r>
              <w:rPr>
                <w:color w:val="auto"/>
                <w:spacing w:val="-5"/>
                <w:sz w:val="21"/>
                <w:szCs w:val="21"/>
                <w:highlight w:val="none"/>
              </w:rPr>
              <w:t>专</w:t>
            </w:r>
            <w:r>
              <w:rPr>
                <w:color w:val="auto"/>
                <w:spacing w:val="-6"/>
                <w:sz w:val="21"/>
                <w:szCs w:val="21"/>
                <w:highlight w:val="none"/>
              </w:rPr>
              <w:t>职安全生产</w:t>
            </w:r>
            <w:r>
              <w:rPr>
                <w:color w:val="auto"/>
                <w:sz w:val="21"/>
                <w:szCs w:val="21"/>
                <w:highlight w:val="none"/>
              </w:rPr>
              <w:t xml:space="preserve">  </w:t>
            </w:r>
            <w:r>
              <w:rPr>
                <w:color w:val="auto"/>
                <w:spacing w:val="1"/>
                <w:sz w:val="21"/>
                <w:szCs w:val="21"/>
                <w:highlight w:val="none"/>
              </w:rPr>
              <w:t>管理人员不少于</w:t>
            </w:r>
            <w:r>
              <w:rPr>
                <w:rFonts w:hint="eastAsia"/>
                <w:color w:val="auto"/>
                <w:spacing w:val="1"/>
                <w:sz w:val="21"/>
                <w:szCs w:val="21"/>
                <w:highlight w:val="none"/>
                <w:lang w:val="en-US" w:eastAsia="zh-CN"/>
              </w:rPr>
              <w:t>1</w:t>
            </w:r>
            <w:r>
              <w:rPr>
                <w:color w:val="auto"/>
                <w:spacing w:val="1"/>
                <w:sz w:val="21"/>
                <w:szCs w:val="21"/>
                <w:highlight w:val="none"/>
              </w:rPr>
              <w:t>人</w:t>
            </w:r>
            <w:r>
              <w:rPr>
                <w:color w:val="auto"/>
                <w:spacing w:val="1"/>
                <w:position w:val="10"/>
                <w:sz w:val="11"/>
                <w:szCs w:val="11"/>
                <w:highlight w:val="none"/>
              </w:rPr>
              <w:t>④</w:t>
            </w:r>
            <w:r>
              <w:rPr>
                <w:color w:val="auto"/>
                <w:spacing w:val="-27"/>
                <w:position w:val="10"/>
                <w:sz w:val="11"/>
                <w:szCs w:val="11"/>
                <w:highlight w:val="none"/>
              </w:rPr>
              <w:t xml:space="preserve"> </w:t>
            </w:r>
            <w:r>
              <w:rPr>
                <w:color w:val="auto"/>
                <w:spacing w:val="1"/>
                <w:sz w:val="21"/>
                <w:szCs w:val="21"/>
                <w:highlight w:val="none"/>
              </w:rPr>
              <w:t>,且不得与拟派项目组其他主要人员相互兼任。</w:t>
            </w:r>
          </w:p>
          <w:p w14:paraId="0A1CEB9D">
            <w:pPr>
              <w:pStyle w:val="17"/>
              <w:spacing w:before="40" w:line="225" w:lineRule="auto"/>
              <w:ind w:left="109" w:right="13"/>
              <w:jc w:val="both"/>
              <w:rPr>
                <w:color w:val="auto"/>
                <w:sz w:val="21"/>
                <w:szCs w:val="21"/>
                <w:highlight w:val="none"/>
              </w:rPr>
            </w:pPr>
            <w:r>
              <w:rPr>
                <w:rFonts w:hint="eastAsia" w:ascii="Times New Roman" w:hAnsi="Times New Roman" w:cs="Times New Roman"/>
                <w:b/>
                <w:color w:val="auto"/>
                <w:spacing w:val="-10"/>
                <w:sz w:val="21"/>
                <w:szCs w:val="21"/>
                <w:highlight w:val="none"/>
                <w:lang w:eastAsia="zh-CN"/>
              </w:rPr>
              <w:t>注：根据《浙江省水利厅关于全面启用水利水电施工企业“三类人员”电子证书的公告》(浙水监督[2020]1号)规定，由浙江省水利厅颁发的企业主要负责人、项目负责人、专职安全生产管理人员的安全生产考核合格证书(A、B、C证)，以浙江省水利厅颁发的电子证书为准，原浙江省水利厅颁发的纸质证书不予认可。</w:t>
            </w:r>
          </w:p>
        </w:tc>
      </w:tr>
      <w:tr w14:paraId="5AEC9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732" w:type="dxa"/>
            <w:tcBorders>
              <w:left w:val="single" w:color="000000" w:sz="6" w:space="0"/>
            </w:tcBorders>
            <w:vAlign w:val="top"/>
          </w:tcPr>
          <w:p w14:paraId="4AB9DF50">
            <w:pPr>
              <w:spacing w:before="235" w:line="188" w:lineRule="auto"/>
              <w:ind w:left="30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8277" w:type="dxa"/>
            <w:tcBorders>
              <w:right w:val="single" w:color="000000" w:sz="6" w:space="0"/>
            </w:tcBorders>
            <w:vAlign w:val="top"/>
          </w:tcPr>
          <w:p w14:paraId="679C93CC">
            <w:pPr>
              <w:pStyle w:val="17"/>
              <w:spacing w:before="61" w:line="218" w:lineRule="auto"/>
              <w:ind w:left="107" w:right="28"/>
              <w:rPr>
                <w:color w:val="auto"/>
                <w:sz w:val="21"/>
                <w:szCs w:val="21"/>
                <w:highlight w:val="none"/>
              </w:rPr>
            </w:pPr>
            <w:r>
              <w:rPr>
                <w:color w:val="auto"/>
                <w:spacing w:val="-7"/>
                <w:sz w:val="21"/>
                <w:szCs w:val="21"/>
                <w:highlight w:val="none"/>
              </w:rPr>
              <w:t>拟派项目组主要人员（指项目负责人、项目技术负责人、专职安全生产管理人员、安全员、</w:t>
            </w:r>
            <w:r>
              <w:rPr>
                <w:color w:val="auto"/>
                <w:spacing w:val="9"/>
                <w:sz w:val="21"/>
                <w:szCs w:val="21"/>
                <w:highlight w:val="none"/>
              </w:rPr>
              <w:t xml:space="preserve"> </w:t>
            </w:r>
            <w:r>
              <w:rPr>
                <w:color w:val="auto"/>
                <w:spacing w:val="-1"/>
                <w:sz w:val="21"/>
                <w:szCs w:val="21"/>
                <w:highlight w:val="none"/>
              </w:rPr>
              <w:t>质检员、施工员，下同）必须已在浙江省水利</w:t>
            </w:r>
            <w:r>
              <w:rPr>
                <w:color w:val="auto"/>
                <w:spacing w:val="-2"/>
                <w:sz w:val="21"/>
                <w:szCs w:val="21"/>
                <w:highlight w:val="none"/>
              </w:rPr>
              <w:t>厅</w:t>
            </w:r>
            <w:r>
              <w:rPr>
                <w:b/>
                <w:bCs/>
                <w:color w:val="auto"/>
                <w:spacing w:val="-2"/>
                <w:sz w:val="21"/>
                <w:szCs w:val="21"/>
                <w:highlight w:val="none"/>
              </w:rPr>
              <w:t>“浙江省水利建设市场信息”上公示。</w:t>
            </w:r>
          </w:p>
        </w:tc>
      </w:tr>
      <w:tr w14:paraId="62170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32" w:type="dxa"/>
            <w:tcBorders>
              <w:left w:val="single" w:color="000000" w:sz="6" w:space="0"/>
            </w:tcBorders>
            <w:vAlign w:val="top"/>
          </w:tcPr>
          <w:p w14:paraId="6BBE46DF">
            <w:pPr>
              <w:spacing w:before="143" w:line="188" w:lineRule="auto"/>
              <w:ind w:left="31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8277" w:type="dxa"/>
            <w:tcBorders>
              <w:right w:val="single" w:color="000000" w:sz="6" w:space="0"/>
            </w:tcBorders>
            <w:vAlign w:val="top"/>
          </w:tcPr>
          <w:p w14:paraId="3BFDC541">
            <w:pPr>
              <w:pStyle w:val="17"/>
              <w:spacing w:before="106" w:line="219" w:lineRule="auto"/>
              <w:ind w:left="108"/>
              <w:rPr>
                <w:color w:val="auto"/>
                <w:sz w:val="21"/>
                <w:szCs w:val="21"/>
                <w:highlight w:val="none"/>
              </w:rPr>
            </w:pPr>
            <w:r>
              <w:rPr>
                <w:color w:val="auto"/>
                <w:spacing w:val="-1"/>
                <w:sz w:val="21"/>
                <w:szCs w:val="21"/>
                <w:highlight w:val="none"/>
              </w:rPr>
              <w:t>法定代表人的委托代理人（如有）及拟派项目组主要人员应为投标人本单位正式员</w:t>
            </w:r>
            <w:r>
              <w:rPr>
                <w:color w:val="auto"/>
                <w:spacing w:val="-2"/>
                <w:sz w:val="21"/>
                <w:szCs w:val="21"/>
                <w:highlight w:val="none"/>
              </w:rPr>
              <w:t>工。</w:t>
            </w:r>
          </w:p>
        </w:tc>
      </w:tr>
      <w:tr w14:paraId="7AAB4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732" w:type="dxa"/>
            <w:tcBorders>
              <w:left w:val="single" w:color="000000" w:sz="6" w:space="0"/>
            </w:tcBorders>
            <w:vAlign w:val="top"/>
          </w:tcPr>
          <w:p w14:paraId="617C3E92">
            <w:pPr>
              <w:spacing w:before="218" w:line="188" w:lineRule="auto"/>
              <w:ind w:left="3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4</w:t>
            </w:r>
          </w:p>
        </w:tc>
        <w:tc>
          <w:tcPr>
            <w:tcW w:w="8277" w:type="dxa"/>
            <w:tcBorders>
              <w:right w:val="single" w:color="000000" w:sz="6" w:space="0"/>
            </w:tcBorders>
            <w:vAlign w:val="top"/>
          </w:tcPr>
          <w:p w14:paraId="25B1EC09">
            <w:pPr>
              <w:pStyle w:val="17"/>
              <w:spacing w:before="46" w:line="217" w:lineRule="auto"/>
              <w:ind w:left="108" w:right="102" w:firstLine="1"/>
              <w:rPr>
                <w:color w:val="auto"/>
                <w:sz w:val="21"/>
                <w:szCs w:val="21"/>
                <w:highlight w:val="none"/>
              </w:rPr>
            </w:pPr>
            <w:r>
              <w:rPr>
                <w:color w:val="auto"/>
                <w:spacing w:val="-3"/>
                <w:sz w:val="21"/>
                <w:szCs w:val="21"/>
                <w:highlight w:val="none"/>
              </w:rPr>
              <w:t>投标人及其法定代表人、拟派项目负责人未</w:t>
            </w:r>
            <w:r>
              <w:rPr>
                <w:color w:val="auto"/>
                <w:spacing w:val="-4"/>
                <w:sz w:val="21"/>
                <w:szCs w:val="21"/>
                <w:highlight w:val="none"/>
              </w:rPr>
              <w:t>被列入失信被执行人名单（以“信用中国”网</w:t>
            </w:r>
            <w:r>
              <w:rPr>
                <w:color w:val="auto"/>
                <w:sz w:val="21"/>
                <w:szCs w:val="21"/>
                <w:highlight w:val="none"/>
              </w:rPr>
              <w:t xml:space="preserve"> </w:t>
            </w:r>
            <w:r>
              <w:rPr>
                <w:color w:val="auto"/>
                <w:spacing w:val="-1"/>
                <w:sz w:val="21"/>
                <w:szCs w:val="21"/>
                <w:highlight w:val="none"/>
              </w:rPr>
              <w:t>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Times New Roman" w:hAnsi="Times New Roman" w:eastAsia="Times New Roman" w:cs="Times New Roman"/>
                <w:color w:val="auto"/>
                <w:spacing w:val="-1"/>
                <w:sz w:val="21"/>
                <w:szCs w:val="21"/>
                <w:highlight w:val="none"/>
              </w:rPr>
              <w:t>www.creditchina.gov.cn</w:t>
            </w:r>
            <w:r>
              <w:rPr>
                <w:rFonts w:ascii="Times New Roman" w:hAnsi="Times New Roman" w:eastAsia="Times New Roman" w:cs="Times New Roman"/>
                <w:color w:val="auto"/>
                <w:spacing w:val="-1"/>
                <w:sz w:val="21"/>
                <w:szCs w:val="21"/>
                <w:highlight w:val="none"/>
              </w:rPr>
              <w:fldChar w:fldCharType="end"/>
            </w:r>
            <w:r>
              <w:rPr>
                <w:color w:val="auto"/>
                <w:spacing w:val="-1"/>
                <w:sz w:val="21"/>
                <w:szCs w:val="21"/>
                <w:highlight w:val="none"/>
              </w:rPr>
              <w:t>）查询为准）</w:t>
            </w:r>
          </w:p>
        </w:tc>
      </w:tr>
      <w:tr w14:paraId="56E0E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2" w:type="dxa"/>
            <w:tcBorders>
              <w:left w:val="single" w:color="000000" w:sz="6" w:space="0"/>
            </w:tcBorders>
            <w:vAlign w:val="top"/>
          </w:tcPr>
          <w:p w14:paraId="667347B4">
            <w:pPr>
              <w:spacing w:before="220" w:line="185" w:lineRule="auto"/>
              <w:ind w:left="31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277" w:type="dxa"/>
            <w:tcBorders>
              <w:right w:val="single" w:color="000000" w:sz="6" w:space="0"/>
            </w:tcBorders>
            <w:vAlign w:val="top"/>
          </w:tcPr>
          <w:p w14:paraId="2F471615">
            <w:pPr>
              <w:pStyle w:val="17"/>
              <w:spacing w:before="45" w:line="217" w:lineRule="auto"/>
              <w:ind w:left="122" w:right="102" w:hanging="13"/>
              <w:rPr>
                <w:color w:val="auto"/>
                <w:sz w:val="21"/>
                <w:szCs w:val="21"/>
                <w:highlight w:val="none"/>
              </w:rPr>
            </w:pPr>
            <w:r>
              <w:rPr>
                <w:color w:val="auto"/>
                <w:spacing w:val="-3"/>
                <w:sz w:val="21"/>
                <w:szCs w:val="21"/>
                <w:highlight w:val="none"/>
              </w:rPr>
              <w:t>投标人、投标人的“三类人员”、拟派项目</w:t>
            </w:r>
            <w:r>
              <w:rPr>
                <w:color w:val="auto"/>
                <w:spacing w:val="-4"/>
                <w:sz w:val="21"/>
                <w:szCs w:val="21"/>
                <w:highlight w:val="none"/>
              </w:rPr>
              <w:t>组主要人员未被列入全国水利建设市场信用平</w:t>
            </w:r>
            <w:r>
              <w:rPr>
                <w:color w:val="auto"/>
                <w:sz w:val="21"/>
                <w:szCs w:val="21"/>
                <w:highlight w:val="none"/>
              </w:rPr>
              <w:t xml:space="preserve"> </w:t>
            </w:r>
            <w:r>
              <w:rPr>
                <w:color w:val="auto"/>
                <w:spacing w:val="-7"/>
                <w:sz w:val="21"/>
                <w:szCs w:val="21"/>
                <w:highlight w:val="none"/>
              </w:rPr>
              <w:t>台“黑名单”。</w:t>
            </w:r>
          </w:p>
        </w:tc>
      </w:tr>
      <w:tr w14:paraId="31D2D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732" w:type="dxa"/>
            <w:tcBorders>
              <w:left w:val="single" w:color="000000" w:sz="6" w:space="0"/>
              <w:bottom w:val="single" w:color="000000" w:sz="6" w:space="0"/>
            </w:tcBorders>
            <w:vAlign w:val="top"/>
          </w:tcPr>
          <w:p w14:paraId="1B7B794D">
            <w:pPr>
              <w:spacing w:before="145" w:line="188" w:lineRule="auto"/>
              <w:ind w:left="31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6</w:t>
            </w:r>
          </w:p>
        </w:tc>
        <w:tc>
          <w:tcPr>
            <w:tcW w:w="8277" w:type="dxa"/>
            <w:tcBorders>
              <w:bottom w:val="single" w:color="000000" w:sz="6" w:space="0"/>
              <w:right w:val="single" w:color="000000" w:sz="6" w:space="0"/>
            </w:tcBorders>
            <w:vAlign w:val="top"/>
          </w:tcPr>
          <w:p w14:paraId="39E6313B">
            <w:pPr>
              <w:spacing w:before="268" w:line="66" w:lineRule="exact"/>
              <w:ind w:left="12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position w:val="1"/>
                <w:sz w:val="21"/>
                <w:szCs w:val="21"/>
                <w:highlight w:val="none"/>
              </w:rPr>
              <w:t>……</w:t>
            </w:r>
          </w:p>
        </w:tc>
      </w:tr>
    </w:tbl>
    <w:p w14:paraId="602AC92C">
      <w:pPr>
        <w:spacing w:before="57" w:line="364" w:lineRule="auto"/>
        <w:ind w:left="1" w:right="235" w:firstLine="424"/>
        <w:rPr>
          <w:rFonts w:ascii="宋体" w:hAnsi="宋体" w:eastAsia="宋体" w:cs="宋体"/>
          <w:color w:val="auto"/>
          <w:sz w:val="21"/>
          <w:szCs w:val="21"/>
          <w:highlight w:val="none"/>
        </w:rPr>
      </w:pPr>
    </w:p>
    <w:p w14:paraId="73E16739">
      <w:pPr>
        <w:spacing w:line="364" w:lineRule="auto"/>
        <w:rPr>
          <w:rFonts w:ascii="宋体" w:hAnsi="宋体" w:eastAsia="宋体" w:cs="宋体"/>
          <w:color w:val="auto"/>
          <w:sz w:val="21"/>
          <w:szCs w:val="21"/>
          <w:highlight w:val="none"/>
        </w:rPr>
        <w:sectPr>
          <w:footerReference r:id="rId9" w:type="default"/>
          <w:pgSz w:w="11905" w:h="16840"/>
          <w:pgMar w:top="1426" w:right="1292" w:bottom="1255" w:left="1587" w:header="0" w:footer="1093" w:gutter="0"/>
          <w:pgNumType w:fmt="decimal"/>
          <w:cols w:space="720" w:num="1"/>
        </w:sectPr>
      </w:pPr>
    </w:p>
    <w:p w14:paraId="0F0A71D4">
      <w:pPr>
        <w:spacing w:before="71" w:line="219" w:lineRule="auto"/>
        <w:ind w:left="2936"/>
        <w:outlineLvl w:val="1"/>
        <w:rPr>
          <w:rFonts w:ascii="宋体" w:hAnsi="宋体" w:eastAsia="宋体" w:cs="宋体"/>
          <w:color w:val="auto"/>
          <w:sz w:val="36"/>
          <w:szCs w:val="36"/>
          <w:highlight w:val="none"/>
        </w:rPr>
      </w:pPr>
      <w:bookmarkStart w:id="23" w:name="bookmark371"/>
      <w:bookmarkEnd w:id="23"/>
      <w:bookmarkStart w:id="24" w:name="bookmark22"/>
      <w:bookmarkEnd w:id="24"/>
      <w:bookmarkStart w:id="25" w:name="bookmark21"/>
      <w:bookmarkEnd w:id="25"/>
      <w:bookmarkStart w:id="26" w:name="bookmark12"/>
      <w:bookmarkEnd w:id="26"/>
      <w:bookmarkStart w:id="27" w:name="bookmark367"/>
      <w:bookmarkEnd w:id="27"/>
      <w:bookmarkStart w:id="28" w:name="bookmark20"/>
      <w:bookmarkEnd w:id="28"/>
      <w:bookmarkStart w:id="29" w:name="bookmark23"/>
      <w:bookmarkEnd w:id="29"/>
      <w:bookmarkStart w:id="30" w:name="bookmark370"/>
      <w:bookmarkEnd w:id="30"/>
      <w:bookmarkStart w:id="31" w:name="bookmark368"/>
      <w:bookmarkEnd w:id="31"/>
      <w:bookmarkStart w:id="32" w:name="_Toc22480"/>
      <w:r>
        <w:rPr>
          <w:rFonts w:ascii="宋体" w:hAnsi="宋体" w:eastAsia="宋体" w:cs="宋体"/>
          <w:b/>
          <w:bCs/>
          <w:color w:val="auto"/>
          <w:spacing w:val="-4"/>
          <w:sz w:val="36"/>
          <w:szCs w:val="36"/>
          <w:highlight w:val="none"/>
        </w:rPr>
        <w:t>第二章</w:t>
      </w:r>
      <w:r>
        <w:rPr>
          <w:rFonts w:ascii="宋体" w:hAnsi="宋体" w:eastAsia="宋体" w:cs="宋体"/>
          <w:color w:val="auto"/>
          <w:spacing w:val="-4"/>
          <w:sz w:val="36"/>
          <w:szCs w:val="36"/>
          <w:highlight w:val="none"/>
        </w:rPr>
        <w:t xml:space="preserve"> </w:t>
      </w:r>
      <w:r>
        <w:rPr>
          <w:rFonts w:ascii="宋体" w:hAnsi="宋体" w:eastAsia="宋体" w:cs="宋体"/>
          <w:b/>
          <w:bCs/>
          <w:color w:val="auto"/>
          <w:spacing w:val="-4"/>
          <w:sz w:val="36"/>
          <w:szCs w:val="36"/>
          <w:highlight w:val="none"/>
        </w:rPr>
        <w:t>投标人须知</w:t>
      </w:r>
      <w:bookmarkEnd w:id="32"/>
    </w:p>
    <w:p w14:paraId="444D97E7">
      <w:pPr>
        <w:spacing w:before="270" w:line="225" w:lineRule="auto"/>
        <w:ind w:left="3346"/>
        <w:outlineLvl w:val="2"/>
        <w:rPr>
          <w:rFonts w:ascii="宋体" w:hAnsi="宋体" w:eastAsia="宋体" w:cs="宋体"/>
          <w:color w:val="auto"/>
          <w:sz w:val="27"/>
          <w:szCs w:val="27"/>
          <w:highlight w:val="none"/>
        </w:rPr>
      </w:pPr>
      <w:bookmarkStart w:id="33" w:name="bookmark24"/>
      <w:bookmarkEnd w:id="33"/>
      <w:bookmarkStart w:id="34" w:name="_Toc20911"/>
      <w:r>
        <w:rPr>
          <w:rFonts w:ascii="宋体" w:hAnsi="宋体" w:eastAsia="宋体" w:cs="宋体"/>
          <w:b/>
          <w:bCs/>
          <w:color w:val="auto"/>
          <w:spacing w:val="6"/>
          <w:sz w:val="27"/>
          <w:szCs w:val="27"/>
          <w:highlight w:val="none"/>
        </w:rPr>
        <w:t>投标人须知前附表</w:t>
      </w:r>
      <w:bookmarkEnd w:id="34"/>
    </w:p>
    <w:p w14:paraId="2A9DE078">
      <w:pPr>
        <w:spacing w:before="50"/>
        <w:rPr>
          <w:color w:val="auto"/>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444"/>
        <w:gridCol w:w="5506"/>
      </w:tblGrid>
      <w:tr w14:paraId="286112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52" w:type="dxa"/>
            <w:tcBorders>
              <w:top w:val="single" w:color="000000" w:sz="6" w:space="0"/>
              <w:left w:val="single" w:color="000000" w:sz="6" w:space="0"/>
            </w:tcBorders>
            <w:vAlign w:val="top"/>
          </w:tcPr>
          <w:p w14:paraId="2541C2AD">
            <w:pPr>
              <w:pStyle w:val="17"/>
              <w:spacing w:before="182" w:line="220" w:lineRule="auto"/>
              <w:ind w:left="160"/>
              <w:rPr>
                <w:color w:val="auto"/>
                <w:sz w:val="21"/>
                <w:szCs w:val="21"/>
                <w:highlight w:val="none"/>
              </w:rPr>
            </w:pPr>
            <w:r>
              <w:rPr>
                <w:b/>
                <w:bCs/>
                <w:color w:val="auto"/>
                <w:spacing w:val="-4"/>
                <w:sz w:val="21"/>
                <w:szCs w:val="21"/>
                <w:highlight w:val="none"/>
              </w:rPr>
              <w:t>条款号</w:t>
            </w:r>
          </w:p>
        </w:tc>
        <w:tc>
          <w:tcPr>
            <w:tcW w:w="2444" w:type="dxa"/>
            <w:tcBorders>
              <w:top w:val="single" w:color="000000" w:sz="6" w:space="0"/>
            </w:tcBorders>
            <w:vAlign w:val="top"/>
          </w:tcPr>
          <w:p w14:paraId="0392020D">
            <w:pPr>
              <w:pStyle w:val="17"/>
              <w:spacing w:before="182" w:line="220" w:lineRule="auto"/>
              <w:ind w:left="646"/>
              <w:rPr>
                <w:color w:val="auto"/>
                <w:sz w:val="21"/>
                <w:szCs w:val="21"/>
                <w:highlight w:val="none"/>
              </w:rPr>
            </w:pPr>
            <w:r>
              <w:rPr>
                <w:b/>
                <w:bCs/>
                <w:color w:val="auto"/>
                <w:spacing w:val="-10"/>
                <w:sz w:val="21"/>
                <w:szCs w:val="21"/>
                <w:highlight w:val="none"/>
              </w:rPr>
              <w:t>条</w:t>
            </w:r>
            <w:r>
              <w:rPr>
                <w:color w:val="auto"/>
                <w:spacing w:val="11"/>
                <w:sz w:val="21"/>
                <w:szCs w:val="21"/>
                <w:highlight w:val="none"/>
              </w:rPr>
              <w:t xml:space="preserve"> </w:t>
            </w:r>
            <w:r>
              <w:rPr>
                <w:b/>
                <w:bCs/>
                <w:color w:val="auto"/>
                <w:spacing w:val="-10"/>
                <w:sz w:val="21"/>
                <w:szCs w:val="21"/>
                <w:highlight w:val="none"/>
              </w:rPr>
              <w:t>款</w:t>
            </w:r>
            <w:r>
              <w:rPr>
                <w:color w:val="auto"/>
                <w:spacing w:val="12"/>
                <w:sz w:val="21"/>
                <w:szCs w:val="21"/>
                <w:highlight w:val="none"/>
              </w:rPr>
              <w:t xml:space="preserve"> </w:t>
            </w:r>
            <w:r>
              <w:rPr>
                <w:b/>
                <w:bCs/>
                <w:color w:val="auto"/>
                <w:spacing w:val="-10"/>
                <w:sz w:val="21"/>
                <w:szCs w:val="21"/>
                <w:highlight w:val="none"/>
              </w:rPr>
              <w:t>名</w:t>
            </w:r>
            <w:r>
              <w:rPr>
                <w:color w:val="auto"/>
                <w:spacing w:val="8"/>
                <w:sz w:val="21"/>
                <w:szCs w:val="21"/>
                <w:highlight w:val="none"/>
              </w:rPr>
              <w:t xml:space="preserve"> </w:t>
            </w:r>
            <w:r>
              <w:rPr>
                <w:b/>
                <w:bCs/>
                <w:color w:val="auto"/>
                <w:spacing w:val="-10"/>
                <w:sz w:val="21"/>
                <w:szCs w:val="21"/>
                <w:highlight w:val="none"/>
              </w:rPr>
              <w:t>称</w:t>
            </w:r>
          </w:p>
        </w:tc>
        <w:tc>
          <w:tcPr>
            <w:tcW w:w="5506" w:type="dxa"/>
            <w:tcBorders>
              <w:top w:val="single" w:color="000000" w:sz="6" w:space="0"/>
              <w:right w:val="single" w:color="000000" w:sz="6" w:space="0"/>
            </w:tcBorders>
            <w:vAlign w:val="top"/>
          </w:tcPr>
          <w:p w14:paraId="4D9FBC75">
            <w:pPr>
              <w:pStyle w:val="17"/>
              <w:spacing w:before="182" w:line="220" w:lineRule="auto"/>
              <w:ind w:left="1703"/>
              <w:rPr>
                <w:color w:val="auto"/>
                <w:sz w:val="21"/>
                <w:szCs w:val="21"/>
                <w:highlight w:val="none"/>
              </w:rPr>
            </w:pPr>
            <w:r>
              <w:rPr>
                <w:b/>
                <w:bCs/>
                <w:color w:val="auto"/>
                <w:spacing w:val="-17"/>
                <w:sz w:val="21"/>
                <w:szCs w:val="21"/>
                <w:highlight w:val="none"/>
              </w:rPr>
              <w:t>编</w:t>
            </w:r>
            <w:r>
              <w:rPr>
                <w:color w:val="auto"/>
                <w:spacing w:val="4"/>
                <w:sz w:val="21"/>
                <w:szCs w:val="21"/>
                <w:highlight w:val="none"/>
              </w:rPr>
              <w:t xml:space="preserve">    </w:t>
            </w:r>
            <w:r>
              <w:rPr>
                <w:b/>
                <w:bCs/>
                <w:color w:val="auto"/>
                <w:spacing w:val="-17"/>
                <w:sz w:val="21"/>
                <w:szCs w:val="21"/>
                <w:highlight w:val="none"/>
              </w:rPr>
              <w:t>列</w:t>
            </w:r>
            <w:r>
              <w:rPr>
                <w:color w:val="auto"/>
                <w:spacing w:val="9"/>
                <w:sz w:val="21"/>
                <w:szCs w:val="21"/>
                <w:highlight w:val="none"/>
              </w:rPr>
              <w:t xml:space="preserve">    </w:t>
            </w:r>
            <w:r>
              <w:rPr>
                <w:b/>
                <w:bCs/>
                <w:color w:val="auto"/>
                <w:spacing w:val="-17"/>
                <w:sz w:val="21"/>
                <w:szCs w:val="21"/>
                <w:highlight w:val="none"/>
              </w:rPr>
              <w:t>内</w:t>
            </w:r>
            <w:r>
              <w:rPr>
                <w:color w:val="auto"/>
                <w:spacing w:val="3"/>
                <w:sz w:val="21"/>
                <w:szCs w:val="21"/>
                <w:highlight w:val="none"/>
              </w:rPr>
              <w:t xml:space="preserve">    </w:t>
            </w:r>
            <w:r>
              <w:rPr>
                <w:b/>
                <w:bCs/>
                <w:color w:val="auto"/>
                <w:spacing w:val="-17"/>
                <w:sz w:val="21"/>
                <w:szCs w:val="21"/>
                <w:highlight w:val="none"/>
              </w:rPr>
              <w:t>容</w:t>
            </w:r>
          </w:p>
        </w:tc>
      </w:tr>
      <w:tr w14:paraId="26447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3" w:hRule="atLeast"/>
        </w:trPr>
        <w:tc>
          <w:tcPr>
            <w:tcW w:w="952" w:type="dxa"/>
            <w:tcBorders>
              <w:left w:val="single" w:color="000000" w:sz="6" w:space="0"/>
            </w:tcBorders>
            <w:vAlign w:val="top"/>
          </w:tcPr>
          <w:p w14:paraId="174AC340">
            <w:pPr>
              <w:spacing w:line="331" w:lineRule="auto"/>
              <w:rPr>
                <w:rFonts w:ascii="Arial"/>
                <w:color w:val="auto"/>
                <w:sz w:val="21"/>
                <w:highlight w:val="none"/>
              </w:rPr>
            </w:pPr>
          </w:p>
          <w:p w14:paraId="73183AA9">
            <w:pPr>
              <w:spacing w:line="331" w:lineRule="auto"/>
              <w:rPr>
                <w:rFonts w:ascii="Arial"/>
                <w:color w:val="auto"/>
                <w:sz w:val="21"/>
                <w:highlight w:val="none"/>
              </w:rPr>
            </w:pPr>
          </w:p>
          <w:p w14:paraId="552BD681">
            <w:pPr>
              <w:spacing w:before="60"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1.1.2</w:t>
            </w:r>
          </w:p>
        </w:tc>
        <w:tc>
          <w:tcPr>
            <w:tcW w:w="2444" w:type="dxa"/>
            <w:vAlign w:val="top"/>
          </w:tcPr>
          <w:p w14:paraId="4A46F178">
            <w:pPr>
              <w:spacing w:line="309" w:lineRule="auto"/>
              <w:rPr>
                <w:rFonts w:ascii="Arial"/>
                <w:color w:val="auto"/>
                <w:sz w:val="21"/>
                <w:highlight w:val="none"/>
              </w:rPr>
            </w:pPr>
          </w:p>
          <w:p w14:paraId="5DF98B8A">
            <w:pPr>
              <w:spacing w:line="309" w:lineRule="auto"/>
              <w:rPr>
                <w:rFonts w:ascii="Arial"/>
                <w:color w:val="auto"/>
                <w:sz w:val="21"/>
                <w:highlight w:val="none"/>
              </w:rPr>
            </w:pPr>
          </w:p>
          <w:p w14:paraId="348FB3C0">
            <w:pPr>
              <w:pStyle w:val="17"/>
              <w:spacing w:before="68" w:line="220" w:lineRule="auto"/>
              <w:ind w:left="109"/>
              <w:rPr>
                <w:color w:val="auto"/>
                <w:sz w:val="21"/>
                <w:szCs w:val="21"/>
                <w:highlight w:val="none"/>
              </w:rPr>
            </w:pPr>
            <w:r>
              <w:rPr>
                <w:color w:val="auto"/>
                <w:spacing w:val="-3"/>
                <w:sz w:val="21"/>
                <w:szCs w:val="21"/>
                <w:highlight w:val="none"/>
              </w:rPr>
              <w:t>招标人</w:t>
            </w:r>
          </w:p>
        </w:tc>
        <w:tc>
          <w:tcPr>
            <w:tcW w:w="5506" w:type="dxa"/>
            <w:tcBorders>
              <w:right w:val="single" w:color="000000" w:sz="6" w:space="0"/>
            </w:tcBorders>
            <w:vAlign w:val="center"/>
          </w:tcPr>
          <w:p w14:paraId="2C0C27AA">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color w:val="auto"/>
                <w:spacing w:val="-14"/>
                <w:sz w:val="21"/>
                <w:szCs w:val="21"/>
                <w:highlight w:val="none"/>
              </w:rPr>
            </w:pPr>
            <w:r>
              <w:rPr>
                <w:color w:val="auto"/>
                <w:spacing w:val="-14"/>
                <w:sz w:val="21"/>
                <w:szCs w:val="21"/>
                <w:highlight w:val="none"/>
              </w:rPr>
              <w:t>名称：</w:t>
            </w:r>
            <w:r>
              <w:rPr>
                <w:rFonts w:hint="eastAsia"/>
                <w:color w:val="auto"/>
                <w:spacing w:val="-14"/>
                <w:sz w:val="21"/>
                <w:szCs w:val="21"/>
                <w:highlight w:val="none"/>
                <w:lang w:val="en-US" w:eastAsia="zh-CN"/>
              </w:rPr>
              <w:t>绍兴滨海新区滨投农业开发有限公司</w:t>
            </w:r>
          </w:p>
          <w:p w14:paraId="2B021A6A">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color w:val="auto"/>
                <w:spacing w:val="-14"/>
                <w:sz w:val="21"/>
                <w:szCs w:val="21"/>
                <w:highlight w:val="none"/>
              </w:rPr>
            </w:pPr>
            <w:r>
              <w:rPr>
                <w:color w:val="auto"/>
                <w:spacing w:val="-14"/>
                <w:sz w:val="21"/>
                <w:szCs w:val="21"/>
                <w:highlight w:val="none"/>
              </w:rPr>
              <w:t>地址：</w:t>
            </w:r>
            <w:r>
              <w:rPr>
                <w:rFonts w:hint="eastAsia"/>
                <w:color w:val="auto"/>
                <w:spacing w:val="-14"/>
                <w:sz w:val="21"/>
                <w:szCs w:val="21"/>
                <w:highlight w:val="none"/>
                <w:lang w:val="en-US" w:eastAsia="zh-CN"/>
              </w:rPr>
              <w:t>绍兴市越城区南滨东路98号</w:t>
            </w:r>
          </w:p>
          <w:p w14:paraId="4F66ABE4">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color w:val="auto"/>
                <w:spacing w:val="-14"/>
                <w:sz w:val="21"/>
                <w:szCs w:val="21"/>
                <w:highlight w:val="none"/>
              </w:rPr>
            </w:pPr>
            <w:r>
              <w:rPr>
                <w:color w:val="auto"/>
                <w:spacing w:val="-14"/>
                <w:sz w:val="21"/>
                <w:szCs w:val="21"/>
                <w:highlight w:val="none"/>
              </w:rPr>
              <w:t>联系人：</w:t>
            </w:r>
            <w:r>
              <w:rPr>
                <w:rFonts w:hint="eastAsia"/>
                <w:color w:val="auto"/>
                <w:spacing w:val="-14"/>
                <w:sz w:val="21"/>
                <w:szCs w:val="21"/>
                <w:highlight w:val="none"/>
                <w:lang w:val="en-US" w:eastAsia="zh-CN"/>
              </w:rPr>
              <w:t>叶工</w:t>
            </w:r>
          </w:p>
          <w:p w14:paraId="43393362">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rFonts w:hint="eastAsia"/>
                <w:color w:val="auto"/>
                <w:spacing w:val="-14"/>
                <w:sz w:val="21"/>
                <w:szCs w:val="21"/>
                <w:highlight w:val="none"/>
                <w:lang w:val="en-US" w:eastAsia="zh-CN"/>
              </w:rPr>
            </w:pPr>
            <w:r>
              <w:rPr>
                <w:color w:val="auto"/>
                <w:spacing w:val="-14"/>
                <w:sz w:val="21"/>
                <w:szCs w:val="21"/>
                <w:highlight w:val="none"/>
              </w:rPr>
              <w:t>电话：</w:t>
            </w:r>
            <w:r>
              <w:rPr>
                <w:rFonts w:hint="eastAsia"/>
                <w:color w:val="auto"/>
                <w:spacing w:val="-14"/>
                <w:sz w:val="21"/>
                <w:szCs w:val="21"/>
                <w:highlight w:val="none"/>
                <w:lang w:val="en-US" w:eastAsia="zh-CN"/>
              </w:rPr>
              <w:t>0575-89181102</w:t>
            </w:r>
            <w:r>
              <w:rPr>
                <w:color w:val="auto"/>
                <w:spacing w:val="-14"/>
                <w:sz w:val="21"/>
                <w:szCs w:val="21"/>
                <w:highlight w:val="none"/>
              </w:rPr>
              <w:t xml:space="preserve">         传真：</w:t>
            </w:r>
            <w:r>
              <w:rPr>
                <w:rFonts w:hint="eastAsia"/>
                <w:color w:val="auto"/>
                <w:spacing w:val="-14"/>
                <w:sz w:val="21"/>
                <w:szCs w:val="21"/>
                <w:highlight w:val="none"/>
                <w:lang w:val="en-US" w:eastAsia="zh-CN"/>
              </w:rPr>
              <w:t>/</w:t>
            </w:r>
          </w:p>
          <w:p w14:paraId="7F87E6F1">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rFonts w:hint="eastAsia" w:eastAsia="宋体"/>
                <w:color w:val="auto"/>
                <w:sz w:val="21"/>
                <w:szCs w:val="21"/>
                <w:highlight w:val="none"/>
                <w:lang w:val="en-US" w:eastAsia="zh-CN"/>
              </w:rPr>
            </w:pPr>
            <w:r>
              <w:rPr>
                <w:color w:val="auto"/>
                <w:spacing w:val="-14"/>
                <w:sz w:val="21"/>
                <w:szCs w:val="21"/>
                <w:highlight w:val="none"/>
              </w:rPr>
              <w:t>电子信箱：</w:t>
            </w:r>
            <w:r>
              <w:rPr>
                <w:rFonts w:hint="eastAsia"/>
                <w:color w:val="auto"/>
                <w:spacing w:val="-14"/>
                <w:sz w:val="21"/>
                <w:szCs w:val="21"/>
                <w:highlight w:val="none"/>
                <w:lang w:val="en-US" w:eastAsia="zh-CN"/>
              </w:rPr>
              <w:t>/</w:t>
            </w:r>
          </w:p>
        </w:tc>
      </w:tr>
      <w:tr w14:paraId="13A77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6" w:hRule="atLeast"/>
        </w:trPr>
        <w:tc>
          <w:tcPr>
            <w:tcW w:w="952" w:type="dxa"/>
            <w:tcBorders>
              <w:left w:val="single" w:color="000000" w:sz="6" w:space="0"/>
            </w:tcBorders>
            <w:vAlign w:val="top"/>
          </w:tcPr>
          <w:p w14:paraId="1D5098C4">
            <w:pPr>
              <w:spacing w:line="320" w:lineRule="auto"/>
              <w:rPr>
                <w:rFonts w:ascii="Arial"/>
                <w:color w:val="auto"/>
                <w:sz w:val="21"/>
                <w:highlight w:val="none"/>
              </w:rPr>
            </w:pPr>
          </w:p>
          <w:p w14:paraId="091C3261">
            <w:pPr>
              <w:spacing w:line="320" w:lineRule="auto"/>
              <w:rPr>
                <w:rFonts w:ascii="Arial"/>
                <w:color w:val="auto"/>
                <w:sz w:val="21"/>
                <w:highlight w:val="none"/>
              </w:rPr>
            </w:pPr>
          </w:p>
          <w:p w14:paraId="50E17116">
            <w:pPr>
              <w:spacing w:before="61"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1.1.3</w:t>
            </w:r>
          </w:p>
        </w:tc>
        <w:tc>
          <w:tcPr>
            <w:tcW w:w="2444" w:type="dxa"/>
            <w:vAlign w:val="top"/>
          </w:tcPr>
          <w:p w14:paraId="18E7C399">
            <w:pPr>
              <w:spacing w:line="298" w:lineRule="auto"/>
              <w:rPr>
                <w:rFonts w:ascii="Arial"/>
                <w:color w:val="auto"/>
                <w:sz w:val="21"/>
                <w:highlight w:val="none"/>
              </w:rPr>
            </w:pPr>
          </w:p>
          <w:p w14:paraId="6606C098">
            <w:pPr>
              <w:spacing w:line="298" w:lineRule="auto"/>
              <w:rPr>
                <w:rFonts w:ascii="Arial"/>
                <w:color w:val="auto"/>
                <w:sz w:val="21"/>
                <w:highlight w:val="none"/>
              </w:rPr>
            </w:pPr>
          </w:p>
          <w:p w14:paraId="00DB7956">
            <w:pPr>
              <w:pStyle w:val="17"/>
              <w:spacing w:before="68" w:line="219" w:lineRule="auto"/>
              <w:ind w:left="109"/>
              <w:rPr>
                <w:color w:val="auto"/>
                <w:sz w:val="21"/>
                <w:szCs w:val="21"/>
                <w:highlight w:val="none"/>
              </w:rPr>
            </w:pPr>
            <w:r>
              <w:rPr>
                <w:color w:val="auto"/>
                <w:spacing w:val="-2"/>
                <w:sz w:val="21"/>
                <w:szCs w:val="21"/>
                <w:highlight w:val="none"/>
              </w:rPr>
              <w:t>招标代理机构</w:t>
            </w:r>
          </w:p>
        </w:tc>
        <w:tc>
          <w:tcPr>
            <w:tcW w:w="5506" w:type="dxa"/>
            <w:tcBorders>
              <w:right w:val="single" w:color="000000" w:sz="6" w:space="0"/>
            </w:tcBorders>
            <w:vAlign w:val="center"/>
          </w:tcPr>
          <w:p w14:paraId="22ED2BFC">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rFonts w:hint="eastAsia"/>
                <w:color w:val="auto"/>
                <w:spacing w:val="-14"/>
                <w:sz w:val="21"/>
                <w:szCs w:val="21"/>
                <w:highlight w:val="none"/>
                <w:lang w:val="en-US" w:eastAsia="zh-CN"/>
              </w:rPr>
            </w:pPr>
            <w:r>
              <w:rPr>
                <w:color w:val="auto"/>
                <w:spacing w:val="-14"/>
                <w:sz w:val="21"/>
                <w:szCs w:val="21"/>
                <w:highlight w:val="none"/>
              </w:rPr>
              <w:t>名称：</w:t>
            </w:r>
            <w:r>
              <w:rPr>
                <w:rFonts w:hint="eastAsia"/>
                <w:color w:val="auto"/>
                <w:spacing w:val="-14"/>
                <w:sz w:val="21"/>
                <w:szCs w:val="21"/>
                <w:highlight w:val="none"/>
                <w:lang w:val="en-US" w:eastAsia="zh-CN"/>
              </w:rPr>
              <w:t>泰宇建筑工程技术咨询有限公司</w:t>
            </w:r>
          </w:p>
          <w:p w14:paraId="61547F7D">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color w:val="auto"/>
                <w:spacing w:val="-14"/>
                <w:sz w:val="21"/>
                <w:szCs w:val="21"/>
                <w:highlight w:val="none"/>
              </w:rPr>
            </w:pPr>
            <w:r>
              <w:rPr>
                <w:color w:val="auto"/>
                <w:spacing w:val="-14"/>
                <w:sz w:val="21"/>
                <w:szCs w:val="21"/>
                <w:highlight w:val="none"/>
              </w:rPr>
              <w:t>地址：</w:t>
            </w:r>
            <w:r>
              <w:rPr>
                <w:rFonts w:hint="eastAsia"/>
                <w:color w:val="auto"/>
                <w:spacing w:val="-14"/>
                <w:sz w:val="21"/>
                <w:szCs w:val="21"/>
                <w:highlight w:val="none"/>
                <w:lang w:val="en-US" w:eastAsia="zh-CN"/>
              </w:rPr>
              <w:t>绍兴市越城区迎凤路87号鑫海大厦1601</w:t>
            </w:r>
          </w:p>
          <w:p w14:paraId="39F078EC">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rFonts w:hint="eastAsia"/>
                <w:color w:val="auto"/>
                <w:spacing w:val="-14"/>
                <w:sz w:val="21"/>
                <w:szCs w:val="21"/>
                <w:highlight w:val="none"/>
                <w:lang w:val="en-US" w:eastAsia="zh-CN"/>
              </w:rPr>
            </w:pPr>
            <w:r>
              <w:rPr>
                <w:color w:val="auto"/>
                <w:spacing w:val="-14"/>
                <w:sz w:val="21"/>
                <w:szCs w:val="21"/>
                <w:highlight w:val="none"/>
              </w:rPr>
              <w:t>联系人：</w:t>
            </w:r>
            <w:r>
              <w:rPr>
                <w:rFonts w:hint="eastAsia"/>
                <w:color w:val="auto"/>
                <w:spacing w:val="-14"/>
                <w:sz w:val="21"/>
                <w:szCs w:val="21"/>
                <w:highlight w:val="none"/>
                <w:lang w:val="en-US" w:eastAsia="zh-CN"/>
              </w:rPr>
              <w:t>金锦英</w:t>
            </w:r>
          </w:p>
          <w:p w14:paraId="555AAD89">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rFonts w:hint="eastAsia"/>
                <w:color w:val="auto"/>
                <w:spacing w:val="-14"/>
                <w:sz w:val="21"/>
                <w:szCs w:val="21"/>
                <w:highlight w:val="none"/>
                <w:lang w:val="en-US" w:eastAsia="zh-CN"/>
              </w:rPr>
            </w:pPr>
            <w:r>
              <w:rPr>
                <w:color w:val="auto"/>
                <w:spacing w:val="-14"/>
                <w:sz w:val="21"/>
                <w:szCs w:val="21"/>
                <w:highlight w:val="none"/>
              </w:rPr>
              <w:t>电话：</w:t>
            </w:r>
            <w:r>
              <w:rPr>
                <w:rFonts w:hint="eastAsia"/>
                <w:color w:val="auto"/>
                <w:spacing w:val="-14"/>
                <w:sz w:val="21"/>
                <w:szCs w:val="21"/>
                <w:highlight w:val="none"/>
                <w:lang w:val="en-US" w:eastAsia="zh-CN"/>
              </w:rPr>
              <w:t>13656752180</w:t>
            </w:r>
            <w:r>
              <w:rPr>
                <w:color w:val="auto"/>
                <w:spacing w:val="-14"/>
                <w:sz w:val="21"/>
                <w:szCs w:val="21"/>
                <w:highlight w:val="none"/>
              </w:rPr>
              <w:t xml:space="preserve">       传真：</w:t>
            </w:r>
            <w:r>
              <w:rPr>
                <w:rFonts w:hint="eastAsia"/>
                <w:color w:val="auto"/>
                <w:spacing w:val="-14"/>
                <w:sz w:val="21"/>
                <w:szCs w:val="21"/>
                <w:highlight w:val="none"/>
                <w:lang w:val="en-US" w:eastAsia="zh-CN"/>
              </w:rPr>
              <w:t>/</w:t>
            </w:r>
          </w:p>
          <w:p w14:paraId="16FFA753">
            <w:pPr>
              <w:pStyle w:val="17"/>
              <w:keepNext w:val="0"/>
              <w:keepLines w:val="0"/>
              <w:pageBreakBefore w:val="0"/>
              <w:widowControl/>
              <w:kinsoku w:val="0"/>
              <w:wordWrap/>
              <w:overflowPunct/>
              <w:topLinePunct w:val="0"/>
              <w:autoSpaceDE w:val="0"/>
              <w:autoSpaceDN w:val="0"/>
              <w:bidi w:val="0"/>
              <w:adjustRightInd w:val="0"/>
              <w:snapToGrid w:val="0"/>
              <w:spacing w:before="123" w:line="200" w:lineRule="exact"/>
              <w:ind w:left="323"/>
              <w:jc w:val="left"/>
              <w:textAlignment w:val="baseline"/>
              <w:rPr>
                <w:color w:val="auto"/>
                <w:sz w:val="21"/>
                <w:szCs w:val="21"/>
                <w:highlight w:val="none"/>
              </w:rPr>
            </w:pPr>
            <w:r>
              <w:rPr>
                <w:color w:val="auto"/>
                <w:spacing w:val="-14"/>
                <w:sz w:val="21"/>
                <w:szCs w:val="21"/>
                <w:highlight w:val="none"/>
              </w:rPr>
              <w:t>电子信箱：</w:t>
            </w:r>
            <w:r>
              <w:rPr>
                <w:rFonts w:hint="eastAsia"/>
                <w:color w:val="auto"/>
                <w:spacing w:val="-14"/>
                <w:sz w:val="21"/>
                <w:szCs w:val="21"/>
                <w:highlight w:val="none"/>
                <w:lang w:val="en-US" w:eastAsia="zh-CN"/>
              </w:rPr>
              <w:t>2429136371@qq.com</w:t>
            </w:r>
          </w:p>
        </w:tc>
      </w:tr>
      <w:tr w14:paraId="334CF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3D991144">
            <w:pPr>
              <w:spacing w:before="218"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1.1.4</w:t>
            </w:r>
          </w:p>
        </w:tc>
        <w:tc>
          <w:tcPr>
            <w:tcW w:w="2444" w:type="dxa"/>
            <w:vAlign w:val="top"/>
          </w:tcPr>
          <w:p w14:paraId="077CDB62">
            <w:pPr>
              <w:pStyle w:val="17"/>
              <w:spacing w:before="182" w:line="220" w:lineRule="auto"/>
              <w:ind w:left="111"/>
              <w:rPr>
                <w:color w:val="auto"/>
                <w:sz w:val="21"/>
                <w:szCs w:val="21"/>
                <w:highlight w:val="none"/>
              </w:rPr>
            </w:pPr>
            <w:r>
              <w:rPr>
                <w:color w:val="auto"/>
                <w:spacing w:val="-2"/>
                <w:sz w:val="21"/>
                <w:szCs w:val="21"/>
                <w:highlight w:val="none"/>
              </w:rPr>
              <w:t>项目及标段名称</w:t>
            </w:r>
          </w:p>
        </w:tc>
        <w:tc>
          <w:tcPr>
            <w:tcW w:w="5506" w:type="dxa"/>
            <w:tcBorders>
              <w:right w:val="single" w:color="000000" w:sz="6" w:space="0"/>
            </w:tcBorders>
            <w:vAlign w:val="center"/>
          </w:tcPr>
          <w:p w14:paraId="4355C091">
            <w:pPr>
              <w:jc w:val="left"/>
              <w:rPr>
                <w:rFonts w:hint="eastAsia" w:ascii="Arial"/>
                <w:color w:val="auto"/>
                <w:sz w:val="21"/>
                <w:highlight w:val="none"/>
                <w:lang w:eastAsia="zh-CN"/>
              </w:rPr>
            </w:pPr>
            <w:r>
              <w:rPr>
                <w:rFonts w:hint="eastAsia" w:ascii="宋体" w:hAnsi="宋体" w:eastAsia="宋体" w:cs="宋体"/>
                <w:color w:val="auto"/>
                <w:sz w:val="21"/>
                <w:highlight w:val="none"/>
                <w:lang w:eastAsia="zh-CN"/>
              </w:rPr>
              <w:t>绍兴滨海新区土地综合整治项目-2025年耕地功能恢复暨高标准农田建设（国投集团）项目</w:t>
            </w:r>
          </w:p>
        </w:tc>
      </w:tr>
      <w:tr w14:paraId="59DA3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52" w:type="dxa"/>
            <w:tcBorders>
              <w:left w:val="single" w:color="000000" w:sz="6" w:space="0"/>
            </w:tcBorders>
            <w:vAlign w:val="top"/>
          </w:tcPr>
          <w:p w14:paraId="537B6ED3">
            <w:pPr>
              <w:spacing w:before="218"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1.1.5</w:t>
            </w:r>
          </w:p>
        </w:tc>
        <w:tc>
          <w:tcPr>
            <w:tcW w:w="2444" w:type="dxa"/>
            <w:vAlign w:val="top"/>
          </w:tcPr>
          <w:p w14:paraId="503361A1">
            <w:pPr>
              <w:pStyle w:val="17"/>
              <w:spacing w:before="182" w:line="221" w:lineRule="auto"/>
              <w:ind w:left="110"/>
              <w:rPr>
                <w:color w:val="auto"/>
                <w:spacing w:val="-3"/>
                <w:sz w:val="21"/>
                <w:szCs w:val="21"/>
                <w:highlight w:val="none"/>
              </w:rPr>
            </w:pPr>
            <w:r>
              <w:rPr>
                <w:color w:val="auto"/>
                <w:spacing w:val="-3"/>
                <w:sz w:val="21"/>
                <w:szCs w:val="21"/>
                <w:highlight w:val="none"/>
              </w:rPr>
              <w:t>建设地点</w:t>
            </w:r>
          </w:p>
        </w:tc>
        <w:tc>
          <w:tcPr>
            <w:tcW w:w="5506" w:type="dxa"/>
            <w:tcBorders>
              <w:right w:val="single" w:color="000000" w:sz="6" w:space="0"/>
            </w:tcBorders>
            <w:vAlign w:val="center"/>
          </w:tcPr>
          <w:p w14:paraId="1BB2AB09">
            <w:pPr>
              <w:jc w:val="both"/>
              <w:rPr>
                <w:rFonts w:hint="eastAsia" w:ascii="Arial"/>
                <w:color w:val="auto"/>
                <w:sz w:val="21"/>
                <w:highlight w:val="none"/>
                <w:lang w:eastAsia="zh-CN"/>
              </w:rPr>
            </w:pPr>
            <w:r>
              <w:rPr>
                <w:rFonts w:hint="eastAsia" w:ascii="宋体" w:hAnsi="宋体" w:eastAsia="宋体" w:cs="宋体"/>
                <w:color w:val="auto"/>
                <w:sz w:val="21"/>
                <w:highlight w:val="none"/>
                <w:lang w:eastAsia="zh-CN"/>
              </w:rPr>
              <w:t>绍兴滨海新区海涂北部</w:t>
            </w:r>
          </w:p>
        </w:tc>
      </w:tr>
      <w:tr w14:paraId="5EE2F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3C2CA41B">
            <w:pPr>
              <w:spacing w:before="219"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1.1.6</w:t>
            </w:r>
          </w:p>
        </w:tc>
        <w:tc>
          <w:tcPr>
            <w:tcW w:w="2444" w:type="dxa"/>
            <w:vAlign w:val="top"/>
          </w:tcPr>
          <w:p w14:paraId="7F0D7232">
            <w:pPr>
              <w:pStyle w:val="17"/>
              <w:spacing w:before="182" w:line="221" w:lineRule="auto"/>
              <w:ind w:left="110"/>
              <w:rPr>
                <w:color w:val="auto"/>
                <w:spacing w:val="-3"/>
                <w:sz w:val="21"/>
                <w:szCs w:val="21"/>
                <w:highlight w:val="none"/>
              </w:rPr>
            </w:pPr>
            <w:r>
              <w:rPr>
                <w:color w:val="auto"/>
                <w:spacing w:val="-3"/>
                <w:sz w:val="21"/>
                <w:szCs w:val="21"/>
                <w:highlight w:val="none"/>
              </w:rPr>
              <w:t>现场管理机构</w:t>
            </w:r>
          </w:p>
        </w:tc>
        <w:tc>
          <w:tcPr>
            <w:tcW w:w="5506" w:type="dxa"/>
            <w:tcBorders>
              <w:right w:val="single" w:color="000000" w:sz="6" w:space="0"/>
            </w:tcBorders>
            <w:vAlign w:val="center"/>
          </w:tcPr>
          <w:p w14:paraId="2A7B2FDA">
            <w:pPr>
              <w:jc w:val="both"/>
              <w:rPr>
                <w:rFonts w:hint="eastAsia" w:ascii="Arial"/>
                <w:color w:val="auto"/>
                <w:sz w:val="21"/>
                <w:highlight w:val="none"/>
                <w:lang w:eastAsia="zh-CN"/>
              </w:rPr>
            </w:pPr>
            <w:r>
              <w:rPr>
                <w:rFonts w:hint="eastAsia" w:ascii="宋体" w:hAnsi="宋体" w:eastAsia="宋体" w:cs="宋体"/>
                <w:color w:val="auto"/>
                <w:sz w:val="21"/>
                <w:highlight w:val="none"/>
                <w:lang w:val="en-US" w:eastAsia="zh-CN"/>
              </w:rPr>
              <w:t>绍兴滨海新区滨投农业开发有限公司</w:t>
            </w:r>
          </w:p>
        </w:tc>
      </w:tr>
      <w:tr w14:paraId="137EB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52" w:type="dxa"/>
            <w:tcBorders>
              <w:left w:val="single" w:color="000000" w:sz="6" w:space="0"/>
            </w:tcBorders>
            <w:vAlign w:val="top"/>
          </w:tcPr>
          <w:p w14:paraId="610DD1F2">
            <w:pPr>
              <w:spacing w:before="220"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1.1.7</w:t>
            </w:r>
          </w:p>
        </w:tc>
        <w:tc>
          <w:tcPr>
            <w:tcW w:w="2444" w:type="dxa"/>
            <w:vAlign w:val="top"/>
          </w:tcPr>
          <w:p w14:paraId="34DDBF93">
            <w:pPr>
              <w:pStyle w:val="17"/>
              <w:spacing w:before="182" w:line="221" w:lineRule="auto"/>
              <w:ind w:left="110"/>
              <w:rPr>
                <w:color w:val="auto"/>
                <w:spacing w:val="-3"/>
                <w:sz w:val="21"/>
                <w:szCs w:val="21"/>
                <w:highlight w:val="none"/>
              </w:rPr>
            </w:pPr>
            <w:r>
              <w:rPr>
                <w:color w:val="auto"/>
                <w:spacing w:val="-3"/>
                <w:sz w:val="21"/>
                <w:szCs w:val="21"/>
                <w:highlight w:val="none"/>
              </w:rPr>
              <w:t>设计人</w:t>
            </w:r>
          </w:p>
        </w:tc>
        <w:tc>
          <w:tcPr>
            <w:tcW w:w="5506" w:type="dxa"/>
            <w:tcBorders>
              <w:right w:val="single" w:color="000000" w:sz="6" w:space="0"/>
            </w:tcBorders>
            <w:vAlign w:val="center"/>
          </w:tcPr>
          <w:p w14:paraId="53A2373C">
            <w:pPr>
              <w:jc w:val="both"/>
              <w:rPr>
                <w:rFonts w:hint="eastAsia" w:ascii="Arial"/>
                <w:color w:val="auto"/>
                <w:sz w:val="21"/>
                <w:highlight w:val="none"/>
                <w:lang w:eastAsia="zh-CN"/>
              </w:rPr>
            </w:pPr>
            <w:r>
              <w:rPr>
                <w:rFonts w:hint="eastAsia" w:ascii="宋体" w:hAnsi="宋体" w:eastAsia="宋体" w:cs="宋体"/>
                <w:color w:val="auto"/>
                <w:sz w:val="21"/>
                <w:highlight w:val="none"/>
                <w:lang w:eastAsia="zh-CN"/>
              </w:rPr>
              <w:t>浙江万维空间信息技术有限公司</w:t>
            </w:r>
          </w:p>
        </w:tc>
      </w:tr>
      <w:tr w14:paraId="460DA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52" w:type="dxa"/>
            <w:tcBorders>
              <w:left w:val="single" w:color="000000" w:sz="6" w:space="0"/>
            </w:tcBorders>
            <w:vAlign w:val="top"/>
          </w:tcPr>
          <w:p w14:paraId="5BEFADC1">
            <w:pPr>
              <w:spacing w:before="221"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1.1.8</w:t>
            </w:r>
          </w:p>
        </w:tc>
        <w:tc>
          <w:tcPr>
            <w:tcW w:w="2444" w:type="dxa"/>
            <w:vAlign w:val="top"/>
          </w:tcPr>
          <w:p w14:paraId="394F1AED">
            <w:pPr>
              <w:pStyle w:val="17"/>
              <w:spacing w:before="182" w:line="221" w:lineRule="auto"/>
              <w:ind w:left="110"/>
              <w:rPr>
                <w:color w:val="auto"/>
                <w:spacing w:val="-3"/>
                <w:sz w:val="21"/>
                <w:szCs w:val="21"/>
                <w:highlight w:val="none"/>
              </w:rPr>
            </w:pPr>
            <w:r>
              <w:rPr>
                <w:color w:val="auto"/>
                <w:spacing w:val="-3"/>
                <w:sz w:val="21"/>
                <w:szCs w:val="21"/>
                <w:highlight w:val="none"/>
              </w:rPr>
              <w:t>监理人</w:t>
            </w:r>
          </w:p>
        </w:tc>
        <w:tc>
          <w:tcPr>
            <w:tcW w:w="5506" w:type="dxa"/>
            <w:tcBorders>
              <w:right w:val="single" w:color="000000" w:sz="6" w:space="0"/>
            </w:tcBorders>
            <w:vAlign w:val="center"/>
          </w:tcPr>
          <w:p w14:paraId="33B750CE">
            <w:pPr>
              <w:jc w:val="both"/>
              <w:rPr>
                <w:rFonts w:hint="default" w:ascii="Arial"/>
                <w:color w:val="auto"/>
                <w:sz w:val="21"/>
                <w:highlight w:val="none"/>
                <w:lang w:val="en-US" w:eastAsia="zh-CN"/>
              </w:rPr>
            </w:pPr>
            <w:r>
              <w:rPr>
                <w:rFonts w:hint="eastAsia"/>
                <w:color w:val="auto"/>
                <w:sz w:val="21"/>
                <w:highlight w:val="none"/>
                <w:lang w:val="en-US" w:eastAsia="zh-CN"/>
              </w:rPr>
              <w:t>/</w:t>
            </w:r>
          </w:p>
        </w:tc>
      </w:tr>
      <w:tr w14:paraId="483E9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58A89B12">
            <w:pPr>
              <w:spacing w:before="222"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1.1.9</w:t>
            </w:r>
          </w:p>
        </w:tc>
        <w:tc>
          <w:tcPr>
            <w:tcW w:w="2444" w:type="dxa"/>
            <w:vAlign w:val="top"/>
          </w:tcPr>
          <w:p w14:paraId="72A13545">
            <w:pPr>
              <w:pStyle w:val="17"/>
              <w:spacing w:before="185" w:line="219" w:lineRule="auto"/>
              <w:ind w:left="107"/>
              <w:rPr>
                <w:color w:val="auto"/>
                <w:sz w:val="21"/>
                <w:szCs w:val="21"/>
                <w:highlight w:val="none"/>
              </w:rPr>
            </w:pPr>
            <w:r>
              <w:rPr>
                <w:color w:val="auto"/>
                <w:spacing w:val="-2"/>
                <w:sz w:val="21"/>
                <w:szCs w:val="21"/>
                <w:highlight w:val="none"/>
              </w:rPr>
              <w:t>代建机构</w:t>
            </w:r>
          </w:p>
        </w:tc>
        <w:tc>
          <w:tcPr>
            <w:tcW w:w="5506" w:type="dxa"/>
            <w:tcBorders>
              <w:right w:val="single" w:color="000000" w:sz="6" w:space="0"/>
            </w:tcBorders>
            <w:vAlign w:val="center"/>
          </w:tcPr>
          <w:p w14:paraId="33EFF7F8">
            <w:pPr>
              <w:jc w:val="both"/>
              <w:rPr>
                <w:rFonts w:hint="eastAsia" w:ascii="Arial"/>
                <w:color w:val="auto"/>
                <w:sz w:val="21"/>
                <w:highlight w:val="none"/>
                <w:lang w:val="en-US" w:eastAsia="zh-CN"/>
              </w:rPr>
            </w:pPr>
            <w:r>
              <w:rPr>
                <w:rFonts w:hint="eastAsia" w:ascii="Arial"/>
                <w:color w:val="auto"/>
                <w:sz w:val="21"/>
                <w:highlight w:val="none"/>
                <w:lang w:val="en-US" w:eastAsia="zh-CN"/>
              </w:rPr>
              <w:t>/</w:t>
            </w:r>
          </w:p>
        </w:tc>
      </w:tr>
      <w:tr w14:paraId="4241F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52" w:type="dxa"/>
            <w:tcBorders>
              <w:left w:val="single" w:color="000000" w:sz="6" w:space="0"/>
            </w:tcBorders>
            <w:vAlign w:val="top"/>
          </w:tcPr>
          <w:p w14:paraId="70FA191E">
            <w:pPr>
              <w:spacing w:before="222"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1.2.1</w:t>
            </w:r>
          </w:p>
        </w:tc>
        <w:tc>
          <w:tcPr>
            <w:tcW w:w="2444" w:type="dxa"/>
            <w:vAlign w:val="top"/>
          </w:tcPr>
          <w:p w14:paraId="47F1C0F9">
            <w:pPr>
              <w:pStyle w:val="17"/>
              <w:spacing w:before="185" w:line="220" w:lineRule="auto"/>
              <w:ind w:left="117"/>
              <w:rPr>
                <w:color w:val="auto"/>
                <w:sz w:val="21"/>
                <w:szCs w:val="21"/>
                <w:highlight w:val="none"/>
              </w:rPr>
            </w:pPr>
            <w:r>
              <w:rPr>
                <w:color w:val="auto"/>
                <w:spacing w:val="-4"/>
                <w:sz w:val="21"/>
                <w:szCs w:val="21"/>
                <w:highlight w:val="none"/>
              </w:rPr>
              <w:t>资金来源</w:t>
            </w:r>
          </w:p>
        </w:tc>
        <w:tc>
          <w:tcPr>
            <w:tcW w:w="5506" w:type="dxa"/>
            <w:tcBorders>
              <w:right w:val="single" w:color="000000" w:sz="6" w:space="0"/>
            </w:tcBorders>
            <w:vAlign w:val="center"/>
          </w:tcPr>
          <w:p w14:paraId="4A4560EC">
            <w:pPr>
              <w:jc w:val="both"/>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自筹</w:t>
            </w:r>
          </w:p>
        </w:tc>
      </w:tr>
      <w:tr w14:paraId="5114EE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52" w:type="dxa"/>
            <w:tcBorders>
              <w:left w:val="single" w:color="000000" w:sz="6" w:space="0"/>
            </w:tcBorders>
            <w:vAlign w:val="top"/>
          </w:tcPr>
          <w:p w14:paraId="1756B0BE">
            <w:pPr>
              <w:spacing w:before="223"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1.2.2</w:t>
            </w:r>
          </w:p>
        </w:tc>
        <w:tc>
          <w:tcPr>
            <w:tcW w:w="2444" w:type="dxa"/>
            <w:vAlign w:val="top"/>
          </w:tcPr>
          <w:p w14:paraId="5BCF84B8">
            <w:pPr>
              <w:pStyle w:val="17"/>
              <w:spacing w:before="187" w:line="221" w:lineRule="auto"/>
              <w:ind w:left="126"/>
              <w:rPr>
                <w:color w:val="auto"/>
                <w:sz w:val="21"/>
                <w:szCs w:val="21"/>
                <w:highlight w:val="none"/>
              </w:rPr>
            </w:pPr>
            <w:r>
              <w:rPr>
                <w:color w:val="auto"/>
                <w:spacing w:val="-5"/>
                <w:sz w:val="21"/>
                <w:szCs w:val="21"/>
                <w:highlight w:val="none"/>
              </w:rPr>
              <w:t>出资比例</w:t>
            </w:r>
          </w:p>
        </w:tc>
        <w:tc>
          <w:tcPr>
            <w:tcW w:w="5506" w:type="dxa"/>
            <w:tcBorders>
              <w:right w:val="single" w:color="000000" w:sz="6" w:space="0"/>
            </w:tcBorders>
            <w:vAlign w:val="center"/>
          </w:tcPr>
          <w:p w14:paraId="06875C0C">
            <w:pPr>
              <w:jc w:val="both"/>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100%</w:t>
            </w:r>
          </w:p>
        </w:tc>
      </w:tr>
      <w:tr w14:paraId="4AB5B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53F7F0E6">
            <w:pPr>
              <w:spacing w:before="224"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1.2.3</w:t>
            </w:r>
          </w:p>
        </w:tc>
        <w:tc>
          <w:tcPr>
            <w:tcW w:w="2444" w:type="dxa"/>
            <w:vAlign w:val="top"/>
          </w:tcPr>
          <w:p w14:paraId="50DABA6F">
            <w:pPr>
              <w:pStyle w:val="17"/>
              <w:spacing w:before="189" w:line="220" w:lineRule="auto"/>
              <w:ind w:left="117"/>
              <w:rPr>
                <w:color w:val="auto"/>
                <w:sz w:val="21"/>
                <w:szCs w:val="21"/>
                <w:highlight w:val="none"/>
              </w:rPr>
            </w:pPr>
            <w:r>
              <w:rPr>
                <w:color w:val="auto"/>
                <w:spacing w:val="-3"/>
                <w:sz w:val="21"/>
                <w:szCs w:val="21"/>
                <w:highlight w:val="none"/>
              </w:rPr>
              <w:t>资金落实情况</w:t>
            </w:r>
          </w:p>
        </w:tc>
        <w:tc>
          <w:tcPr>
            <w:tcW w:w="5506" w:type="dxa"/>
            <w:tcBorders>
              <w:right w:val="single" w:color="000000" w:sz="6" w:space="0"/>
            </w:tcBorders>
            <w:vAlign w:val="center"/>
          </w:tcPr>
          <w:p w14:paraId="7C28E0C0">
            <w:pPr>
              <w:jc w:val="both"/>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已到位</w:t>
            </w:r>
          </w:p>
        </w:tc>
      </w:tr>
      <w:tr w14:paraId="236F8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16C6979C">
            <w:pPr>
              <w:spacing w:before="225"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1.3.1</w:t>
            </w:r>
          </w:p>
        </w:tc>
        <w:tc>
          <w:tcPr>
            <w:tcW w:w="2444" w:type="dxa"/>
            <w:vAlign w:val="top"/>
          </w:tcPr>
          <w:p w14:paraId="2127A4C9">
            <w:pPr>
              <w:pStyle w:val="17"/>
              <w:spacing w:before="188" w:line="220" w:lineRule="auto"/>
              <w:ind w:left="109"/>
              <w:rPr>
                <w:color w:val="auto"/>
                <w:sz w:val="21"/>
                <w:szCs w:val="21"/>
                <w:highlight w:val="none"/>
              </w:rPr>
            </w:pPr>
            <w:r>
              <w:rPr>
                <w:color w:val="auto"/>
                <w:spacing w:val="-2"/>
                <w:sz w:val="21"/>
                <w:szCs w:val="21"/>
                <w:highlight w:val="none"/>
              </w:rPr>
              <w:t>招标范围</w:t>
            </w:r>
          </w:p>
        </w:tc>
        <w:tc>
          <w:tcPr>
            <w:tcW w:w="5506" w:type="dxa"/>
            <w:tcBorders>
              <w:right w:val="single" w:color="000000" w:sz="6" w:space="0"/>
            </w:tcBorders>
            <w:vAlign w:val="center"/>
          </w:tcPr>
          <w:p w14:paraId="45121C03">
            <w:pPr>
              <w:jc w:val="both"/>
              <w:rPr>
                <w:rFonts w:hint="eastAsia" w:ascii="宋体" w:hAnsi="宋体" w:eastAsia="宋体" w:cs="宋体"/>
                <w:color w:val="auto"/>
                <w:sz w:val="21"/>
                <w:highlight w:val="none"/>
                <w:lang w:val="en-US" w:eastAsia="zh-CN"/>
              </w:rPr>
            </w:pPr>
            <w:r>
              <w:rPr>
                <w:rFonts w:hint="eastAsia" w:ascii="宋体" w:hAnsi="宋体" w:eastAsia="宋体" w:cs="宋体"/>
                <w:color w:val="auto"/>
                <w:highlight w:val="none"/>
              </w:rPr>
              <w:t>见招标公告</w:t>
            </w:r>
            <w:r>
              <w:rPr>
                <w:rFonts w:hint="eastAsia" w:ascii="宋体" w:hAnsi="宋体" w:eastAsia="宋体" w:cs="宋体"/>
                <w:color w:val="auto"/>
                <w:highlight w:val="none"/>
                <w:lang w:eastAsia="zh-CN"/>
              </w:rPr>
              <w:t>。</w:t>
            </w:r>
          </w:p>
        </w:tc>
      </w:tr>
      <w:tr w14:paraId="1E01A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6" w:hRule="atLeast"/>
        </w:trPr>
        <w:tc>
          <w:tcPr>
            <w:tcW w:w="952" w:type="dxa"/>
            <w:tcBorders>
              <w:left w:val="single" w:color="000000" w:sz="6" w:space="0"/>
            </w:tcBorders>
            <w:vAlign w:val="top"/>
          </w:tcPr>
          <w:p w14:paraId="0B08D812">
            <w:pPr>
              <w:spacing w:line="247" w:lineRule="auto"/>
              <w:rPr>
                <w:rFonts w:ascii="Arial"/>
                <w:color w:val="auto"/>
                <w:sz w:val="21"/>
                <w:highlight w:val="none"/>
              </w:rPr>
            </w:pPr>
          </w:p>
          <w:p w14:paraId="3FC5DC76">
            <w:pPr>
              <w:spacing w:line="248" w:lineRule="auto"/>
              <w:rPr>
                <w:rFonts w:ascii="Arial"/>
                <w:color w:val="auto"/>
                <w:sz w:val="21"/>
                <w:highlight w:val="none"/>
              </w:rPr>
            </w:pPr>
          </w:p>
          <w:p w14:paraId="4A7BE9D5">
            <w:pPr>
              <w:spacing w:line="248" w:lineRule="auto"/>
              <w:rPr>
                <w:rFonts w:ascii="Arial"/>
                <w:color w:val="auto"/>
                <w:sz w:val="21"/>
                <w:highlight w:val="none"/>
              </w:rPr>
            </w:pPr>
          </w:p>
          <w:p w14:paraId="7031E4EE">
            <w:pPr>
              <w:spacing w:before="60"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1.3.2</w:t>
            </w:r>
          </w:p>
        </w:tc>
        <w:tc>
          <w:tcPr>
            <w:tcW w:w="2444" w:type="dxa"/>
            <w:vAlign w:val="top"/>
          </w:tcPr>
          <w:p w14:paraId="4691589C">
            <w:pPr>
              <w:spacing w:line="349" w:lineRule="auto"/>
              <w:rPr>
                <w:rFonts w:ascii="Arial"/>
                <w:color w:val="auto"/>
                <w:sz w:val="21"/>
                <w:highlight w:val="none"/>
              </w:rPr>
            </w:pPr>
          </w:p>
          <w:p w14:paraId="4A6D814F">
            <w:pPr>
              <w:spacing w:line="350" w:lineRule="auto"/>
              <w:rPr>
                <w:rFonts w:ascii="Arial"/>
                <w:color w:val="auto"/>
                <w:sz w:val="21"/>
                <w:highlight w:val="none"/>
              </w:rPr>
            </w:pPr>
          </w:p>
          <w:p w14:paraId="111E39D2">
            <w:pPr>
              <w:pStyle w:val="17"/>
              <w:spacing w:before="68" w:line="220" w:lineRule="auto"/>
              <w:ind w:left="108"/>
              <w:rPr>
                <w:color w:val="auto"/>
                <w:sz w:val="21"/>
                <w:szCs w:val="21"/>
                <w:highlight w:val="none"/>
              </w:rPr>
            </w:pPr>
            <w:r>
              <w:rPr>
                <w:color w:val="auto"/>
                <w:spacing w:val="-2"/>
                <w:sz w:val="21"/>
                <w:szCs w:val="21"/>
                <w:highlight w:val="none"/>
              </w:rPr>
              <w:t>计划工期</w:t>
            </w:r>
          </w:p>
        </w:tc>
        <w:tc>
          <w:tcPr>
            <w:tcW w:w="5506" w:type="dxa"/>
            <w:tcBorders>
              <w:right w:val="single" w:color="000000" w:sz="6" w:space="0"/>
            </w:tcBorders>
            <w:vAlign w:val="top"/>
          </w:tcPr>
          <w:p w14:paraId="55579CFC">
            <w:pPr>
              <w:pStyle w:val="17"/>
              <w:spacing w:before="90" w:line="235" w:lineRule="auto"/>
              <w:ind w:left="114" w:right="256" w:firstLine="207"/>
              <w:rPr>
                <w:color w:val="auto"/>
                <w:sz w:val="21"/>
                <w:szCs w:val="21"/>
                <w:highlight w:val="none"/>
              </w:rPr>
            </w:pPr>
            <w:r>
              <w:rPr>
                <w:color w:val="auto"/>
                <w:spacing w:val="-1"/>
                <w:sz w:val="21"/>
                <w:szCs w:val="21"/>
                <w:highlight w:val="none"/>
              </w:rPr>
              <w:t xml:space="preserve">计划工期：总工期 </w:t>
            </w:r>
            <w:r>
              <w:rPr>
                <w:color w:val="auto"/>
                <w:spacing w:val="-1"/>
                <w:sz w:val="21"/>
                <w:szCs w:val="21"/>
                <w:highlight w:val="none"/>
                <w:u w:val="single" w:color="auto"/>
              </w:rPr>
              <w:t xml:space="preserve"> </w:t>
            </w:r>
            <w:r>
              <w:rPr>
                <w:rFonts w:hint="eastAsia"/>
                <w:color w:val="auto"/>
                <w:spacing w:val="-1"/>
                <w:sz w:val="21"/>
                <w:szCs w:val="21"/>
                <w:highlight w:val="none"/>
                <w:u w:val="single" w:color="auto"/>
                <w:lang w:val="en-US" w:eastAsia="zh-CN"/>
              </w:rPr>
              <w:t>150</w:t>
            </w:r>
            <w:r>
              <w:rPr>
                <w:color w:val="auto"/>
                <w:spacing w:val="-1"/>
                <w:sz w:val="21"/>
                <w:szCs w:val="21"/>
                <w:highlight w:val="none"/>
                <w:u w:val="single" w:color="auto"/>
              </w:rPr>
              <w:t xml:space="preserve"> </w:t>
            </w:r>
            <w:r>
              <w:rPr>
                <w:color w:val="auto"/>
                <w:spacing w:val="-97"/>
                <w:sz w:val="21"/>
                <w:szCs w:val="21"/>
                <w:highlight w:val="none"/>
              </w:rPr>
              <w:t xml:space="preserve"> </w:t>
            </w:r>
            <w:r>
              <w:rPr>
                <w:color w:val="auto"/>
                <w:spacing w:val="-1"/>
                <w:sz w:val="21"/>
                <w:szCs w:val="21"/>
                <w:highlight w:val="none"/>
              </w:rPr>
              <w:t>日历天。投标承诺</w:t>
            </w:r>
            <w:r>
              <w:rPr>
                <w:color w:val="auto"/>
                <w:spacing w:val="-4"/>
                <w:sz w:val="21"/>
                <w:szCs w:val="21"/>
                <w:highlight w:val="none"/>
              </w:rPr>
              <w:t>工期不得超过该计划工期。</w:t>
            </w:r>
          </w:p>
          <w:p w14:paraId="51BD7966">
            <w:pPr>
              <w:pStyle w:val="17"/>
              <w:spacing w:before="10" w:line="220" w:lineRule="auto"/>
              <w:ind w:left="322"/>
              <w:rPr>
                <w:strike/>
                <w:dstrike w:val="0"/>
                <w:color w:val="auto"/>
                <w:sz w:val="21"/>
                <w:szCs w:val="21"/>
                <w:highlight w:val="none"/>
              </w:rPr>
            </w:pPr>
            <w:r>
              <w:rPr>
                <w:strike/>
                <w:dstrike w:val="0"/>
                <w:color w:val="auto"/>
                <w:spacing w:val="-2"/>
                <w:sz w:val="21"/>
                <w:szCs w:val="21"/>
                <w:highlight w:val="none"/>
              </w:rPr>
              <w:t xml:space="preserve">计划开工日期： </w:t>
            </w:r>
            <w:r>
              <w:rPr>
                <w:strike/>
                <w:dstrike w:val="0"/>
                <w:color w:val="auto"/>
                <w:spacing w:val="-2"/>
                <w:sz w:val="21"/>
                <w:szCs w:val="21"/>
                <w:highlight w:val="none"/>
                <w:u w:val="single" w:color="auto"/>
              </w:rPr>
              <w:t xml:space="preserve">     </w:t>
            </w:r>
            <w:r>
              <w:rPr>
                <w:strike/>
                <w:dstrike w:val="0"/>
                <w:color w:val="auto"/>
                <w:spacing w:val="-80"/>
                <w:sz w:val="21"/>
                <w:szCs w:val="21"/>
                <w:highlight w:val="none"/>
              </w:rPr>
              <w:t xml:space="preserve"> </w:t>
            </w:r>
            <w:r>
              <w:rPr>
                <w:strike/>
                <w:dstrike w:val="0"/>
                <w:color w:val="auto"/>
                <w:spacing w:val="-2"/>
                <w:sz w:val="21"/>
                <w:szCs w:val="21"/>
                <w:highlight w:val="none"/>
              </w:rPr>
              <w:t>年</w:t>
            </w:r>
            <w:r>
              <w:rPr>
                <w:strike/>
                <w:dstrike w:val="0"/>
                <w:color w:val="auto"/>
                <w:spacing w:val="-2"/>
                <w:sz w:val="21"/>
                <w:szCs w:val="21"/>
                <w:highlight w:val="none"/>
                <w:u w:val="single" w:color="auto"/>
              </w:rPr>
              <w:t xml:space="preserve">    </w:t>
            </w:r>
            <w:r>
              <w:rPr>
                <w:strike/>
                <w:dstrike w:val="0"/>
                <w:color w:val="auto"/>
                <w:spacing w:val="-92"/>
                <w:sz w:val="21"/>
                <w:szCs w:val="21"/>
                <w:highlight w:val="none"/>
              </w:rPr>
              <w:t xml:space="preserve"> </w:t>
            </w:r>
            <w:r>
              <w:rPr>
                <w:strike/>
                <w:dstrike w:val="0"/>
                <w:color w:val="auto"/>
                <w:spacing w:val="-2"/>
                <w:sz w:val="21"/>
                <w:szCs w:val="21"/>
                <w:highlight w:val="none"/>
              </w:rPr>
              <w:t>月</w:t>
            </w:r>
            <w:r>
              <w:rPr>
                <w:strike/>
                <w:dstrike w:val="0"/>
                <w:color w:val="auto"/>
                <w:spacing w:val="-2"/>
                <w:sz w:val="21"/>
                <w:szCs w:val="21"/>
                <w:highlight w:val="none"/>
                <w:u w:val="single" w:color="auto"/>
              </w:rPr>
              <w:t xml:space="preserve">    </w:t>
            </w:r>
            <w:r>
              <w:rPr>
                <w:strike/>
                <w:dstrike w:val="0"/>
                <w:color w:val="auto"/>
                <w:spacing w:val="-60"/>
                <w:sz w:val="21"/>
                <w:szCs w:val="21"/>
                <w:highlight w:val="none"/>
              </w:rPr>
              <w:t xml:space="preserve"> </w:t>
            </w:r>
            <w:r>
              <w:rPr>
                <w:strike/>
                <w:dstrike w:val="0"/>
                <w:color w:val="auto"/>
                <w:spacing w:val="-2"/>
                <w:sz w:val="21"/>
                <w:szCs w:val="21"/>
                <w:highlight w:val="none"/>
              </w:rPr>
              <w:t>日</w:t>
            </w:r>
          </w:p>
          <w:p w14:paraId="378FA79A">
            <w:pPr>
              <w:pStyle w:val="17"/>
              <w:spacing w:before="22" w:line="220" w:lineRule="auto"/>
              <w:ind w:left="322"/>
              <w:rPr>
                <w:strike/>
                <w:dstrike w:val="0"/>
                <w:color w:val="auto"/>
                <w:sz w:val="21"/>
                <w:szCs w:val="21"/>
                <w:highlight w:val="none"/>
              </w:rPr>
            </w:pPr>
            <w:r>
              <w:rPr>
                <w:strike/>
                <w:dstrike w:val="0"/>
                <w:color w:val="auto"/>
                <w:spacing w:val="-2"/>
                <w:sz w:val="21"/>
                <w:szCs w:val="21"/>
                <w:highlight w:val="none"/>
              </w:rPr>
              <w:t xml:space="preserve">计划完工日期： </w:t>
            </w:r>
            <w:r>
              <w:rPr>
                <w:strike/>
                <w:dstrike w:val="0"/>
                <w:color w:val="auto"/>
                <w:spacing w:val="-2"/>
                <w:sz w:val="21"/>
                <w:szCs w:val="21"/>
                <w:highlight w:val="none"/>
                <w:u w:val="single" w:color="auto"/>
              </w:rPr>
              <w:t xml:space="preserve">     </w:t>
            </w:r>
            <w:r>
              <w:rPr>
                <w:strike/>
                <w:dstrike w:val="0"/>
                <w:color w:val="auto"/>
                <w:spacing w:val="-80"/>
                <w:sz w:val="21"/>
                <w:szCs w:val="21"/>
                <w:highlight w:val="none"/>
              </w:rPr>
              <w:t xml:space="preserve"> </w:t>
            </w:r>
            <w:r>
              <w:rPr>
                <w:strike/>
                <w:dstrike w:val="0"/>
                <w:color w:val="auto"/>
                <w:spacing w:val="-2"/>
                <w:sz w:val="21"/>
                <w:szCs w:val="21"/>
                <w:highlight w:val="none"/>
              </w:rPr>
              <w:t>年</w:t>
            </w:r>
            <w:r>
              <w:rPr>
                <w:strike/>
                <w:dstrike w:val="0"/>
                <w:color w:val="auto"/>
                <w:spacing w:val="-2"/>
                <w:sz w:val="21"/>
                <w:szCs w:val="21"/>
                <w:highlight w:val="none"/>
                <w:u w:val="single" w:color="auto"/>
              </w:rPr>
              <w:t xml:space="preserve">    </w:t>
            </w:r>
            <w:r>
              <w:rPr>
                <w:strike/>
                <w:dstrike w:val="0"/>
                <w:color w:val="auto"/>
                <w:spacing w:val="-92"/>
                <w:sz w:val="21"/>
                <w:szCs w:val="21"/>
                <w:highlight w:val="none"/>
              </w:rPr>
              <w:t xml:space="preserve"> </w:t>
            </w:r>
            <w:r>
              <w:rPr>
                <w:strike/>
                <w:dstrike w:val="0"/>
                <w:color w:val="auto"/>
                <w:spacing w:val="-2"/>
                <w:sz w:val="21"/>
                <w:szCs w:val="21"/>
                <w:highlight w:val="none"/>
              </w:rPr>
              <w:t>月</w:t>
            </w:r>
            <w:r>
              <w:rPr>
                <w:strike/>
                <w:dstrike w:val="0"/>
                <w:color w:val="auto"/>
                <w:spacing w:val="-2"/>
                <w:sz w:val="21"/>
                <w:szCs w:val="21"/>
                <w:highlight w:val="none"/>
                <w:u w:val="single" w:color="auto"/>
              </w:rPr>
              <w:t xml:space="preserve">    </w:t>
            </w:r>
            <w:r>
              <w:rPr>
                <w:strike/>
                <w:dstrike w:val="0"/>
                <w:color w:val="auto"/>
                <w:spacing w:val="-60"/>
                <w:sz w:val="21"/>
                <w:szCs w:val="21"/>
                <w:highlight w:val="none"/>
              </w:rPr>
              <w:t xml:space="preserve"> </w:t>
            </w:r>
            <w:r>
              <w:rPr>
                <w:strike/>
                <w:dstrike w:val="0"/>
                <w:color w:val="auto"/>
                <w:spacing w:val="-2"/>
                <w:sz w:val="21"/>
                <w:szCs w:val="21"/>
                <w:highlight w:val="none"/>
              </w:rPr>
              <w:t>日</w:t>
            </w:r>
          </w:p>
          <w:p w14:paraId="41D76047">
            <w:pPr>
              <w:pStyle w:val="17"/>
              <w:spacing w:before="22" w:line="220" w:lineRule="auto"/>
              <w:ind w:left="322"/>
              <w:rPr>
                <w:strike/>
                <w:dstrike w:val="0"/>
                <w:color w:val="auto"/>
                <w:sz w:val="21"/>
                <w:szCs w:val="21"/>
                <w:highlight w:val="none"/>
              </w:rPr>
            </w:pPr>
            <w:r>
              <w:rPr>
                <w:strike/>
                <w:dstrike w:val="0"/>
                <w:color w:val="auto"/>
                <w:spacing w:val="-1"/>
                <w:sz w:val="21"/>
                <w:szCs w:val="21"/>
                <w:highlight w:val="none"/>
              </w:rPr>
              <w:t xml:space="preserve">节点工期： </w:t>
            </w:r>
            <w:r>
              <w:rPr>
                <w:strike/>
                <w:dstrike w:val="0"/>
                <w:color w:val="auto"/>
                <w:spacing w:val="-1"/>
                <w:sz w:val="21"/>
                <w:szCs w:val="21"/>
                <w:highlight w:val="none"/>
                <w:u w:val="single" w:color="auto"/>
              </w:rPr>
              <w:t xml:space="preserve">                </w:t>
            </w:r>
            <w:r>
              <w:rPr>
                <w:strike/>
                <w:dstrike w:val="0"/>
                <w:color w:val="auto"/>
                <w:spacing w:val="-1"/>
                <w:sz w:val="21"/>
                <w:szCs w:val="21"/>
                <w:highlight w:val="none"/>
              </w:rPr>
              <w:t>。</w:t>
            </w:r>
          </w:p>
          <w:p w14:paraId="5F51B042">
            <w:pPr>
              <w:pStyle w:val="17"/>
              <w:spacing w:before="21" w:line="220" w:lineRule="auto"/>
              <w:ind w:left="327"/>
              <w:rPr>
                <w:color w:val="auto"/>
                <w:sz w:val="21"/>
                <w:szCs w:val="21"/>
                <w:highlight w:val="none"/>
              </w:rPr>
            </w:pPr>
            <w:r>
              <w:rPr>
                <w:color w:val="auto"/>
                <w:spacing w:val="-2"/>
                <w:sz w:val="21"/>
                <w:szCs w:val="21"/>
                <w:highlight w:val="none"/>
              </w:rPr>
              <w:t>实际开工日期以总监理工程师签发的开工通知为准。</w:t>
            </w:r>
          </w:p>
        </w:tc>
      </w:tr>
      <w:tr w14:paraId="7A6EF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52" w:type="dxa"/>
            <w:tcBorders>
              <w:left w:val="single" w:color="000000" w:sz="6" w:space="0"/>
            </w:tcBorders>
            <w:vAlign w:val="top"/>
          </w:tcPr>
          <w:p w14:paraId="2C79DEFD">
            <w:pPr>
              <w:spacing w:before="227"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1.3.3</w:t>
            </w:r>
          </w:p>
        </w:tc>
        <w:tc>
          <w:tcPr>
            <w:tcW w:w="2444" w:type="dxa"/>
            <w:vAlign w:val="top"/>
          </w:tcPr>
          <w:p w14:paraId="03D21882">
            <w:pPr>
              <w:pStyle w:val="17"/>
              <w:spacing w:before="192" w:line="220" w:lineRule="auto"/>
              <w:ind w:left="109"/>
              <w:rPr>
                <w:color w:val="auto"/>
                <w:sz w:val="21"/>
                <w:szCs w:val="21"/>
                <w:highlight w:val="none"/>
              </w:rPr>
            </w:pPr>
            <w:r>
              <w:rPr>
                <w:color w:val="auto"/>
                <w:spacing w:val="-2"/>
                <w:sz w:val="21"/>
                <w:szCs w:val="21"/>
                <w:highlight w:val="none"/>
              </w:rPr>
              <w:t>质量要求</w:t>
            </w:r>
          </w:p>
        </w:tc>
        <w:tc>
          <w:tcPr>
            <w:tcW w:w="5506" w:type="dxa"/>
            <w:tcBorders>
              <w:right w:val="single" w:color="000000" w:sz="6" w:space="0"/>
            </w:tcBorders>
            <w:vAlign w:val="center"/>
          </w:tcPr>
          <w:p w14:paraId="0FF9BF2B">
            <w:pPr>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合格</w:t>
            </w:r>
          </w:p>
        </w:tc>
      </w:tr>
      <w:tr w14:paraId="1194A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52" w:type="dxa"/>
            <w:tcBorders>
              <w:left w:val="single" w:color="000000" w:sz="6" w:space="0"/>
              <w:bottom w:val="single" w:color="000000" w:sz="6" w:space="0"/>
            </w:tcBorders>
            <w:vAlign w:val="top"/>
          </w:tcPr>
          <w:p w14:paraId="5D77F81C">
            <w:pPr>
              <w:spacing w:before="229"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1.4.1</w:t>
            </w:r>
          </w:p>
        </w:tc>
        <w:tc>
          <w:tcPr>
            <w:tcW w:w="2444" w:type="dxa"/>
            <w:tcBorders>
              <w:bottom w:val="single" w:color="000000" w:sz="6" w:space="0"/>
            </w:tcBorders>
            <w:vAlign w:val="top"/>
          </w:tcPr>
          <w:p w14:paraId="0120189D">
            <w:pPr>
              <w:pStyle w:val="17"/>
              <w:spacing w:before="57" w:line="228" w:lineRule="auto"/>
              <w:ind w:left="108" w:right="106" w:firstLine="2"/>
              <w:rPr>
                <w:color w:val="auto"/>
                <w:sz w:val="21"/>
                <w:szCs w:val="21"/>
                <w:highlight w:val="none"/>
              </w:rPr>
            </w:pPr>
            <w:r>
              <w:rPr>
                <w:color w:val="auto"/>
                <w:spacing w:val="-9"/>
                <w:sz w:val="21"/>
                <w:szCs w:val="21"/>
                <w:highlight w:val="none"/>
              </w:rPr>
              <w:t>投标人资质条件、能力和</w:t>
            </w:r>
            <w:r>
              <w:rPr>
                <w:color w:val="auto"/>
                <w:spacing w:val="9"/>
                <w:sz w:val="21"/>
                <w:szCs w:val="21"/>
                <w:highlight w:val="none"/>
              </w:rPr>
              <w:t xml:space="preserve"> </w:t>
            </w:r>
            <w:r>
              <w:rPr>
                <w:color w:val="auto"/>
                <w:spacing w:val="-3"/>
                <w:sz w:val="21"/>
                <w:szCs w:val="21"/>
                <w:highlight w:val="none"/>
              </w:rPr>
              <w:t>信誉</w:t>
            </w:r>
          </w:p>
        </w:tc>
        <w:tc>
          <w:tcPr>
            <w:tcW w:w="5506" w:type="dxa"/>
            <w:tcBorders>
              <w:bottom w:val="single" w:color="000000" w:sz="6" w:space="0"/>
              <w:right w:val="single" w:color="000000" w:sz="6" w:space="0"/>
            </w:tcBorders>
            <w:vAlign w:val="center"/>
          </w:tcPr>
          <w:p w14:paraId="5B972110">
            <w:pPr>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详见招标公告（或投标邀请书）要求</w:t>
            </w:r>
          </w:p>
        </w:tc>
      </w:tr>
    </w:tbl>
    <w:p w14:paraId="3D216B2E">
      <w:pPr>
        <w:spacing w:line="89" w:lineRule="auto"/>
        <w:rPr>
          <w:rFonts w:ascii="Arial"/>
          <w:color w:val="auto"/>
          <w:sz w:val="2"/>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444"/>
        <w:gridCol w:w="5506"/>
      </w:tblGrid>
      <w:tr w14:paraId="1AA26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7" w:hRule="atLeast"/>
        </w:trPr>
        <w:tc>
          <w:tcPr>
            <w:tcW w:w="952" w:type="dxa"/>
            <w:tcBorders>
              <w:left w:val="single" w:color="000000" w:sz="6" w:space="0"/>
            </w:tcBorders>
            <w:vAlign w:val="top"/>
          </w:tcPr>
          <w:p w14:paraId="3C638DC6">
            <w:pPr>
              <w:spacing w:line="334" w:lineRule="auto"/>
              <w:rPr>
                <w:rFonts w:ascii="Arial"/>
                <w:color w:val="auto"/>
                <w:sz w:val="21"/>
                <w:highlight w:val="none"/>
              </w:rPr>
            </w:pPr>
          </w:p>
          <w:p w14:paraId="64956BDB">
            <w:pPr>
              <w:spacing w:line="335" w:lineRule="auto"/>
              <w:rPr>
                <w:rFonts w:ascii="Arial"/>
                <w:color w:val="auto"/>
                <w:sz w:val="21"/>
                <w:highlight w:val="none"/>
              </w:rPr>
            </w:pPr>
          </w:p>
          <w:p w14:paraId="1F6B603F">
            <w:pPr>
              <w:spacing w:before="60"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1.4.2</w:t>
            </w:r>
          </w:p>
        </w:tc>
        <w:tc>
          <w:tcPr>
            <w:tcW w:w="2444" w:type="dxa"/>
            <w:vAlign w:val="top"/>
          </w:tcPr>
          <w:p w14:paraId="0C5FDAAA">
            <w:pPr>
              <w:spacing w:line="312" w:lineRule="auto"/>
              <w:rPr>
                <w:rFonts w:ascii="Arial"/>
                <w:color w:val="auto"/>
                <w:sz w:val="21"/>
                <w:highlight w:val="none"/>
              </w:rPr>
            </w:pPr>
          </w:p>
          <w:p w14:paraId="1EF71213">
            <w:pPr>
              <w:spacing w:line="313" w:lineRule="auto"/>
              <w:rPr>
                <w:rFonts w:ascii="Arial"/>
                <w:color w:val="auto"/>
                <w:sz w:val="21"/>
                <w:highlight w:val="none"/>
              </w:rPr>
            </w:pPr>
          </w:p>
          <w:p w14:paraId="1F57B3DC">
            <w:pPr>
              <w:pStyle w:val="17"/>
              <w:spacing w:before="68" w:line="220" w:lineRule="auto"/>
              <w:ind w:left="111"/>
              <w:rPr>
                <w:color w:val="auto"/>
                <w:sz w:val="21"/>
                <w:szCs w:val="21"/>
                <w:highlight w:val="none"/>
              </w:rPr>
            </w:pPr>
            <w:r>
              <w:rPr>
                <w:color w:val="auto"/>
                <w:spacing w:val="-2"/>
                <w:sz w:val="21"/>
                <w:szCs w:val="21"/>
                <w:highlight w:val="none"/>
              </w:rPr>
              <w:t>是否接受联合体投标</w:t>
            </w:r>
          </w:p>
        </w:tc>
        <w:tc>
          <w:tcPr>
            <w:tcW w:w="5506" w:type="dxa"/>
            <w:tcBorders>
              <w:right w:val="single" w:color="000000" w:sz="6" w:space="0"/>
            </w:tcBorders>
            <w:vAlign w:val="top"/>
          </w:tcPr>
          <w:p w14:paraId="74BF0995">
            <w:pPr>
              <w:pStyle w:val="17"/>
              <w:spacing w:before="31" w:line="221" w:lineRule="auto"/>
              <w:ind w:left="343"/>
              <w:rPr>
                <w:color w:val="auto"/>
                <w:sz w:val="21"/>
                <w:szCs w:val="21"/>
                <w:highlight w:val="none"/>
              </w:rPr>
            </w:pPr>
            <w:r>
              <w:rPr>
                <w:rFonts w:hint="eastAsia"/>
                <w:color w:val="auto"/>
                <w:spacing w:val="-10"/>
                <w:sz w:val="21"/>
                <w:szCs w:val="21"/>
                <w:highlight w:val="none"/>
                <w:lang w:eastAsia="zh-CN"/>
              </w:rPr>
              <w:t>☑</w:t>
            </w:r>
            <w:r>
              <w:rPr>
                <w:color w:val="auto"/>
                <w:spacing w:val="13"/>
                <w:sz w:val="21"/>
                <w:szCs w:val="21"/>
                <w:highlight w:val="none"/>
              </w:rPr>
              <w:t xml:space="preserve"> </w:t>
            </w:r>
            <w:r>
              <w:rPr>
                <w:color w:val="auto"/>
                <w:spacing w:val="-10"/>
                <w:sz w:val="21"/>
                <w:szCs w:val="21"/>
                <w:highlight w:val="none"/>
              </w:rPr>
              <w:t>不接受</w:t>
            </w:r>
          </w:p>
          <w:p w14:paraId="2A93446A">
            <w:pPr>
              <w:pStyle w:val="17"/>
              <w:spacing w:before="20" w:line="220" w:lineRule="auto"/>
              <w:ind w:left="343"/>
              <w:rPr>
                <w:strike/>
                <w:dstrike w:val="0"/>
                <w:color w:val="auto"/>
                <w:sz w:val="21"/>
                <w:szCs w:val="21"/>
                <w:highlight w:val="none"/>
              </w:rPr>
            </w:pPr>
            <w:r>
              <w:rPr>
                <w:strike/>
                <w:dstrike w:val="0"/>
                <w:color w:val="auto"/>
                <w:spacing w:val="-6"/>
                <w:sz w:val="21"/>
                <w:szCs w:val="21"/>
                <w:highlight w:val="none"/>
              </w:rPr>
              <w:t>□ 接受，应满足下列要求：</w:t>
            </w:r>
          </w:p>
          <w:p w14:paraId="7F33CB29">
            <w:pPr>
              <w:pStyle w:val="17"/>
              <w:spacing w:before="22" w:line="220" w:lineRule="auto"/>
              <w:ind w:left="338"/>
              <w:rPr>
                <w:strike/>
                <w:dstrike w:val="0"/>
                <w:color w:val="auto"/>
                <w:sz w:val="21"/>
                <w:szCs w:val="21"/>
                <w:highlight w:val="none"/>
              </w:rPr>
            </w:pPr>
            <w:r>
              <w:rPr>
                <w:rFonts w:ascii="Times New Roman" w:hAnsi="Times New Roman" w:eastAsia="Times New Roman" w:cs="Times New Roman"/>
                <w:strike/>
                <w:dstrike w:val="0"/>
                <w:color w:val="auto"/>
                <w:spacing w:val="-4"/>
                <w:sz w:val="21"/>
                <w:szCs w:val="21"/>
                <w:highlight w:val="none"/>
              </w:rPr>
              <w:t>1</w:t>
            </w:r>
            <w:r>
              <w:rPr>
                <w:rFonts w:ascii="Times New Roman" w:hAnsi="Times New Roman" w:eastAsia="Times New Roman" w:cs="Times New Roman"/>
                <w:strike/>
                <w:dstrike w:val="0"/>
                <w:color w:val="auto"/>
                <w:spacing w:val="-24"/>
                <w:sz w:val="21"/>
                <w:szCs w:val="21"/>
                <w:highlight w:val="none"/>
              </w:rPr>
              <w:t xml:space="preserve"> </w:t>
            </w:r>
            <w:r>
              <w:rPr>
                <w:strike/>
                <w:dstrike w:val="0"/>
                <w:color w:val="auto"/>
                <w:spacing w:val="-4"/>
                <w:sz w:val="21"/>
                <w:szCs w:val="21"/>
                <w:highlight w:val="none"/>
              </w:rPr>
              <w:t>．联合体所有成员数量不得超过</w:t>
            </w:r>
            <w:r>
              <w:rPr>
                <w:strike/>
                <w:dstrike w:val="0"/>
                <w:color w:val="auto"/>
                <w:spacing w:val="-4"/>
                <w:sz w:val="21"/>
                <w:szCs w:val="21"/>
                <w:highlight w:val="none"/>
                <w:u w:val="single" w:color="auto"/>
              </w:rPr>
              <w:t xml:space="preserve">    </w:t>
            </w:r>
            <w:r>
              <w:rPr>
                <w:strike/>
                <w:dstrike w:val="0"/>
                <w:color w:val="auto"/>
                <w:spacing w:val="-97"/>
                <w:sz w:val="21"/>
                <w:szCs w:val="21"/>
                <w:highlight w:val="none"/>
              </w:rPr>
              <w:t xml:space="preserve"> </w:t>
            </w:r>
            <w:r>
              <w:rPr>
                <w:strike/>
                <w:dstrike w:val="0"/>
                <w:color w:val="auto"/>
                <w:spacing w:val="-4"/>
                <w:sz w:val="21"/>
                <w:szCs w:val="21"/>
                <w:highlight w:val="none"/>
              </w:rPr>
              <w:t>个；</w:t>
            </w:r>
          </w:p>
          <w:p w14:paraId="3146D275">
            <w:pPr>
              <w:pStyle w:val="17"/>
              <w:spacing w:before="22" w:line="219" w:lineRule="auto"/>
              <w:ind w:left="318"/>
              <w:rPr>
                <w:strike/>
                <w:dstrike w:val="0"/>
                <w:color w:val="auto"/>
                <w:sz w:val="21"/>
                <w:szCs w:val="21"/>
                <w:highlight w:val="none"/>
              </w:rPr>
            </w:pPr>
            <w:r>
              <w:rPr>
                <w:rFonts w:ascii="Times New Roman" w:hAnsi="Times New Roman" w:eastAsia="Times New Roman" w:cs="Times New Roman"/>
                <w:strike/>
                <w:dstrike w:val="0"/>
                <w:color w:val="auto"/>
                <w:spacing w:val="-4"/>
                <w:sz w:val="21"/>
                <w:szCs w:val="21"/>
                <w:highlight w:val="none"/>
              </w:rPr>
              <w:t>2</w:t>
            </w:r>
            <w:r>
              <w:rPr>
                <w:rFonts w:ascii="Times New Roman" w:hAnsi="Times New Roman" w:eastAsia="Times New Roman" w:cs="Times New Roman"/>
                <w:strike/>
                <w:dstrike w:val="0"/>
                <w:color w:val="auto"/>
                <w:spacing w:val="-22"/>
                <w:sz w:val="21"/>
                <w:szCs w:val="21"/>
                <w:highlight w:val="none"/>
              </w:rPr>
              <w:t xml:space="preserve"> </w:t>
            </w:r>
            <w:r>
              <w:rPr>
                <w:strike/>
                <w:dstrike w:val="0"/>
                <w:color w:val="auto"/>
                <w:spacing w:val="-4"/>
                <w:sz w:val="21"/>
                <w:szCs w:val="21"/>
                <w:highlight w:val="none"/>
              </w:rPr>
              <w:t>．应以</w:t>
            </w:r>
            <w:r>
              <w:rPr>
                <w:strike/>
                <w:dstrike w:val="0"/>
                <w:color w:val="auto"/>
                <w:spacing w:val="-4"/>
                <w:sz w:val="21"/>
                <w:szCs w:val="21"/>
                <w:highlight w:val="none"/>
                <w:u w:val="single" w:color="auto"/>
              </w:rPr>
              <w:t xml:space="preserve">        </w:t>
            </w:r>
            <w:r>
              <w:rPr>
                <w:strike/>
                <w:dstrike w:val="0"/>
                <w:color w:val="auto"/>
                <w:spacing w:val="-96"/>
                <w:sz w:val="21"/>
                <w:szCs w:val="21"/>
                <w:highlight w:val="none"/>
              </w:rPr>
              <w:t xml:space="preserve"> </w:t>
            </w:r>
            <w:r>
              <w:rPr>
                <w:strike/>
                <w:dstrike w:val="0"/>
                <w:color w:val="auto"/>
                <w:spacing w:val="-4"/>
                <w:sz w:val="21"/>
                <w:szCs w:val="21"/>
                <w:highlight w:val="none"/>
              </w:rPr>
              <w:t>方作为联合体牵头人；</w:t>
            </w:r>
          </w:p>
          <w:p w14:paraId="28E90EEC">
            <w:pPr>
              <w:pStyle w:val="17"/>
              <w:spacing w:before="23" w:line="219" w:lineRule="auto"/>
              <w:ind w:left="322"/>
              <w:rPr>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3</w:t>
            </w:r>
            <w:r>
              <w:rPr>
                <w:rFonts w:ascii="Times New Roman" w:hAnsi="Times New Roman" w:eastAsia="Times New Roman" w:cs="Times New Roman"/>
                <w:strike/>
                <w:dstrike w:val="0"/>
                <w:color w:val="auto"/>
                <w:spacing w:val="-6"/>
                <w:sz w:val="21"/>
                <w:szCs w:val="21"/>
                <w:highlight w:val="none"/>
              </w:rPr>
              <w:t xml:space="preserve"> </w:t>
            </w:r>
            <w:r>
              <w:rPr>
                <w:strike/>
                <w:dstrike w:val="0"/>
                <w:color w:val="auto"/>
                <w:spacing w:val="-2"/>
                <w:sz w:val="21"/>
                <w:szCs w:val="21"/>
                <w:highlight w:val="none"/>
              </w:rPr>
              <w:t>．拟派项目主要成员的委派要求</w:t>
            </w:r>
            <w:r>
              <w:rPr>
                <w:strike/>
                <w:dstrike w:val="0"/>
                <w:color w:val="auto"/>
                <w:spacing w:val="-2"/>
                <w:sz w:val="21"/>
                <w:szCs w:val="21"/>
                <w:highlight w:val="none"/>
                <w:u w:val="single" w:color="auto"/>
              </w:rPr>
              <w:t xml:space="preserve">             </w:t>
            </w:r>
            <w:r>
              <w:rPr>
                <w:strike/>
                <w:dstrike w:val="0"/>
                <w:color w:val="auto"/>
                <w:spacing w:val="-2"/>
                <w:sz w:val="21"/>
                <w:szCs w:val="21"/>
                <w:highlight w:val="none"/>
              </w:rPr>
              <w:t>；</w:t>
            </w:r>
          </w:p>
          <w:p w14:paraId="6E912108">
            <w:pPr>
              <w:spacing w:before="168" w:line="59" w:lineRule="exact"/>
              <w:ind w:left="54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position w:val="1"/>
                <w:sz w:val="21"/>
                <w:szCs w:val="21"/>
                <w:highlight w:val="none"/>
              </w:rPr>
              <w:t>……</w:t>
            </w:r>
          </w:p>
        </w:tc>
      </w:tr>
      <w:tr w14:paraId="6AA61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4" w:hRule="atLeast"/>
        </w:trPr>
        <w:tc>
          <w:tcPr>
            <w:tcW w:w="952" w:type="dxa"/>
            <w:tcBorders>
              <w:left w:val="single" w:color="000000" w:sz="6" w:space="0"/>
            </w:tcBorders>
            <w:vAlign w:val="top"/>
          </w:tcPr>
          <w:p w14:paraId="6227BEFF">
            <w:pPr>
              <w:spacing w:line="261" w:lineRule="auto"/>
              <w:rPr>
                <w:rFonts w:ascii="Arial"/>
                <w:color w:val="auto"/>
                <w:sz w:val="21"/>
                <w:highlight w:val="none"/>
              </w:rPr>
            </w:pPr>
          </w:p>
          <w:p w14:paraId="09A0F542">
            <w:pPr>
              <w:spacing w:line="262" w:lineRule="auto"/>
              <w:rPr>
                <w:rFonts w:ascii="Arial"/>
                <w:color w:val="auto"/>
                <w:sz w:val="21"/>
                <w:highlight w:val="none"/>
              </w:rPr>
            </w:pPr>
          </w:p>
          <w:p w14:paraId="49DA36E3">
            <w:pPr>
              <w:spacing w:line="262" w:lineRule="auto"/>
              <w:rPr>
                <w:rFonts w:ascii="Arial"/>
                <w:color w:val="auto"/>
                <w:sz w:val="21"/>
                <w:highlight w:val="none"/>
              </w:rPr>
            </w:pPr>
          </w:p>
          <w:p w14:paraId="464A8E6C">
            <w:pPr>
              <w:spacing w:before="61" w:line="188"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1.9.1</w:t>
            </w:r>
          </w:p>
        </w:tc>
        <w:tc>
          <w:tcPr>
            <w:tcW w:w="2444" w:type="dxa"/>
            <w:vAlign w:val="top"/>
          </w:tcPr>
          <w:p w14:paraId="451C33A2">
            <w:pPr>
              <w:spacing w:line="247" w:lineRule="auto"/>
              <w:rPr>
                <w:rFonts w:ascii="Arial"/>
                <w:color w:val="auto"/>
                <w:sz w:val="21"/>
                <w:highlight w:val="none"/>
              </w:rPr>
            </w:pPr>
          </w:p>
          <w:p w14:paraId="47E9E065">
            <w:pPr>
              <w:spacing w:line="247" w:lineRule="auto"/>
              <w:rPr>
                <w:rFonts w:ascii="Arial"/>
                <w:color w:val="auto"/>
                <w:sz w:val="21"/>
                <w:highlight w:val="none"/>
              </w:rPr>
            </w:pPr>
          </w:p>
          <w:p w14:paraId="28452B54">
            <w:pPr>
              <w:spacing w:line="247" w:lineRule="auto"/>
              <w:rPr>
                <w:rFonts w:ascii="Arial"/>
                <w:color w:val="auto"/>
                <w:sz w:val="21"/>
                <w:highlight w:val="none"/>
              </w:rPr>
            </w:pPr>
          </w:p>
          <w:p w14:paraId="3035FBC8">
            <w:pPr>
              <w:pStyle w:val="17"/>
              <w:spacing w:before="68" w:line="220" w:lineRule="auto"/>
              <w:ind w:left="109"/>
              <w:rPr>
                <w:color w:val="auto"/>
                <w:sz w:val="21"/>
                <w:szCs w:val="21"/>
                <w:highlight w:val="none"/>
              </w:rPr>
            </w:pPr>
            <w:r>
              <w:rPr>
                <w:color w:val="auto"/>
                <w:spacing w:val="-2"/>
                <w:sz w:val="21"/>
                <w:szCs w:val="21"/>
                <w:highlight w:val="none"/>
              </w:rPr>
              <w:t>踏勘现场</w:t>
            </w:r>
          </w:p>
        </w:tc>
        <w:tc>
          <w:tcPr>
            <w:tcW w:w="5506" w:type="dxa"/>
            <w:tcBorders>
              <w:right w:val="single" w:color="000000" w:sz="6" w:space="0"/>
            </w:tcBorders>
            <w:vAlign w:val="top"/>
          </w:tcPr>
          <w:p w14:paraId="6F4E4592">
            <w:pPr>
              <w:pStyle w:val="17"/>
              <w:spacing w:before="284" w:line="233" w:lineRule="auto"/>
              <w:ind w:left="112" w:right="48" w:firstLine="231"/>
              <w:rPr>
                <w:color w:val="auto"/>
                <w:sz w:val="21"/>
                <w:szCs w:val="21"/>
                <w:highlight w:val="none"/>
              </w:rPr>
            </w:pPr>
            <w:r>
              <w:rPr>
                <w:strike/>
                <w:dstrike w:val="0"/>
                <w:color w:val="auto"/>
                <w:spacing w:val="-11"/>
                <w:sz w:val="21"/>
                <w:szCs w:val="21"/>
                <w:highlight w:val="none"/>
              </w:rPr>
              <w:t>□ 组织。投标人可自愿参加，除</w:t>
            </w:r>
            <w:r>
              <w:rPr>
                <w:strike/>
                <w:dstrike w:val="0"/>
                <w:color w:val="auto"/>
                <w:spacing w:val="-99"/>
                <w:sz w:val="21"/>
                <w:szCs w:val="21"/>
                <w:highlight w:val="none"/>
              </w:rPr>
              <w:t xml:space="preserve"> </w:t>
            </w:r>
            <w:r>
              <w:rPr>
                <w:strike/>
                <w:dstrike w:val="0"/>
                <w:color w:val="auto"/>
                <w:spacing w:val="10"/>
                <w:sz w:val="21"/>
                <w:szCs w:val="21"/>
                <w:highlight w:val="none"/>
                <w:u w:val="single" w:color="auto"/>
              </w:rPr>
              <w:t xml:space="preserve">          </w:t>
            </w:r>
            <w:r>
              <w:rPr>
                <w:strike/>
                <w:dstrike w:val="0"/>
                <w:color w:val="auto"/>
                <w:spacing w:val="-89"/>
                <w:sz w:val="21"/>
                <w:szCs w:val="21"/>
                <w:highlight w:val="none"/>
              </w:rPr>
              <w:t xml:space="preserve"> </w:t>
            </w:r>
            <w:r>
              <w:rPr>
                <w:strike/>
                <w:dstrike w:val="0"/>
                <w:color w:val="auto"/>
                <w:spacing w:val="-11"/>
                <w:sz w:val="21"/>
                <w:szCs w:val="21"/>
                <w:highlight w:val="none"/>
              </w:rPr>
              <w:t>外，交通工</w:t>
            </w:r>
            <w:r>
              <w:rPr>
                <w:strike/>
                <w:dstrike w:val="0"/>
                <w:color w:val="auto"/>
                <w:sz w:val="21"/>
                <w:szCs w:val="21"/>
                <w:highlight w:val="none"/>
              </w:rPr>
              <w:t xml:space="preserve"> </w:t>
            </w:r>
            <w:r>
              <w:rPr>
                <w:strike/>
                <w:dstrike w:val="0"/>
                <w:color w:val="auto"/>
                <w:spacing w:val="3"/>
                <w:sz w:val="21"/>
                <w:szCs w:val="21"/>
                <w:highlight w:val="none"/>
              </w:rPr>
              <w:t>具及食宿均自理。踏勘现场联系人</w:t>
            </w:r>
            <w:r>
              <w:rPr>
                <w:strike/>
                <w:dstrike w:val="0"/>
                <w:color w:val="auto"/>
                <w:spacing w:val="8"/>
                <w:sz w:val="21"/>
                <w:szCs w:val="21"/>
                <w:highlight w:val="none"/>
              </w:rPr>
              <w:t>：</w:t>
            </w:r>
            <w:r>
              <w:rPr>
                <w:strike/>
                <w:dstrike w:val="0"/>
                <w:color w:val="auto"/>
                <w:spacing w:val="2"/>
                <w:sz w:val="21"/>
                <w:szCs w:val="21"/>
                <w:highlight w:val="none"/>
                <w:u w:val="single" w:color="auto"/>
              </w:rPr>
              <w:t xml:space="preserve">         </w:t>
            </w:r>
            <w:r>
              <w:rPr>
                <w:strike/>
                <w:dstrike w:val="0"/>
                <w:color w:val="auto"/>
                <w:spacing w:val="-72"/>
                <w:sz w:val="21"/>
                <w:szCs w:val="21"/>
                <w:highlight w:val="none"/>
              </w:rPr>
              <w:t xml:space="preserve"> </w:t>
            </w:r>
            <w:r>
              <w:rPr>
                <w:strike/>
                <w:dstrike w:val="0"/>
                <w:color w:val="auto"/>
                <w:spacing w:val="8"/>
                <w:sz w:val="21"/>
                <w:szCs w:val="21"/>
                <w:highlight w:val="none"/>
              </w:rPr>
              <w:t>，</w:t>
            </w:r>
            <w:r>
              <w:rPr>
                <w:strike/>
                <w:dstrike w:val="0"/>
                <w:color w:val="auto"/>
                <w:spacing w:val="3"/>
                <w:sz w:val="21"/>
                <w:szCs w:val="21"/>
                <w:highlight w:val="none"/>
              </w:rPr>
              <w:t>联系电</w:t>
            </w:r>
            <w:r>
              <w:rPr>
                <w:strike/>
                <w:dstrike w:val="0"/>
                <w:color w:val="auto"/>
                <w:sz w:val="21"/>
                <w:szCs w:val="21"/>
                <w:highlight w:val="none"/>
              </w:rPr>
              <w:t xml:space="preserve"> </w:t>
            </w:r>
            <w:r>
              <w:rPr>
                <w:strike/>
                <w:dstrike w:val="0"/>
                <w:color w:val="auto"/>
                <w:spacing w:val="-9"/>
                <w:sz w:val="21"/>
                <w:szCs w:val="21"/>
                <w:highlight w:val="none"/>
              </w:rPr>
              <w:t>话</w:t>
            </w:r>
            <w:r>
              <w:rPr>
                <w:strike/>
                <w:dstrike w:val="0"/>
                <w:color w:val="auto"/>
                <w:spacing w:val="-48"/>
                <w:w w:val="95"/>
                <w:sz w:val="21"/>
                <w:szCs w:val="21"/>
                <w:highlight w:val="none"/>
              </w:rPr>
              <w:t>：</w:t>
            </w:r>
            <w:r>
              <w:rPr>
                <w:strike/>
                <w:dstrike w:val="0"/>
                <w:color w:val="auto"/>
                <w:spacing w:val="12"/>
                <w:sz w:val="21"/>
                <w:szCs w:val="21"/>
                <w:highlight w:val="none"/>
                <w:u w:val="single" w:color="auto"/>
              </w:rPr>
              <w:t xml:space="preserve">         </w:t>
            </w:r>
            <w:r>
              <w:rPr>
                <w:strike/>
                <w:dstrike w:val="0"/>
                <w:color w:val="auto"/>
                <w:spacing w:val="-48"/>
                <w:w w:val="95"/>
                <w:sz w:val="21"/>
                <w:szCs w:val="21"/>
                <w:highlight w:val="none"/>
              </w:rPr>
              <w:t>，</w:t>
            </w:r>
            <w:r>
              <w:rPr>
                <w:strike/>
                <w:dstrike w:val="0"/>
                <w:color w:val="auto"/>
                <w:spacing w:val="-9"/>
                <w:sz w:val="21"/>
                <w:szCs w:val="21"/>
                <w:highlight w:val="none"/>
              </w:rPr>
              <w:t>踏勘时间</w:t>
            </w:r>
            <w:r>
              <w:rPr>
                <w:strike/>
                <w:dstrike w:val="0"/>
                <w:color w:val="auto"/>
                <w:spacing w:val="-48"/>
                <w:w w:val="95"/>
                <w:sz w:val="21"/>
                <w:szCs w:val="21"/>
                <w:highlight w:val="none"/>
              </w:rPr>
              <w:t>：</w:t>
            </w:r>
            <w:r>
              <w:rPr>
                <w:strike/>
                <w:dstrike w:val="0"/>
                <w:color w:val="auto"/>
                <w:sz w:val="21"/>
                <w:szCs w:val="21"/>
                <w:highlight w:val="none"/>
                <w:u w:val="single" w:color="auto"/>
              </w:rPr>
              <w:t xml:space="preserve">            </w:t>
            </w:r>
            <w:r>
              <w:rPr>
                <w:strike/>
                <w:dstrike w:val="0"/>
                <w:color w:val="auto"/>
                <w:spacing w:val="-48"/>
                <w:w w:val="95"/>
                <w:sz w:val="21"/>
                <w:szCs w:val="21"/>
                <w:highlight w:val="none"/>
              </w:rPr>
              <w:t>，</w:t>
            </w:r>
            <w:r>
              <w:rPr>
                <w:strike/>
                <w:dstrike w:val="0"/>
                <w:color w:val="auto"/>
                <w:spacing w:val="-9"/>
                <w:sz w:val="21"/>
                <w:szCs w:val="21"/>
                <w:highlight w:val="none"/>
              </w:rPr>
              <w:t>踏勘集中地点</w:t>
            </w:r>
            <w:r>
              <w:rPr>
                <w:color w:val="auto"/>
                <w:spacing w:val="-9"/>
                <w:sz w:val="21"/>
                <w:szCs w:val="21"/>
                <w:highlight w:val="none"/>
              </w:rPr>
              <w:t>：</w:t>
            </w:r>
          </w:p>
          <w:p w14:paraId="1D0A89BB">
            <w:pPr>
              <w:pStyle w:val="17"/>
              <w:spacing w:before="264" w:line="222" w:lineRule="auto"/>
              <w:ind w:left="343"/>
              <w:rPr>
                <w:color w:val="auto"/>
                <w:sz w:val="21"/>
                <w:szCs w:val="21"/>
                <w:highlight w:val="none"/>
              </w:rPr>
            </w:pPr>
            <w:r>
              <w:rPr>
                <w:rFonts w:hint="eastAsia"/>
                <w:color w:val="auto"/>
                <w:spacing w:val="-10"/>
                <w:sz w:val="21"/>
                <w:szCs w:val="21"/>
                <w:highlight w:val="none"/>
                <w:lang w:eastAsia="zh-CN"/>
              </w:rPr>
              <w:t>☑</w:t>
            </w:r>
            <w:r>
              <w:rPr>
                <w:color w:val="auto"/>
                <w:spacing w:val="13"/>
                <w:sz w:val="21"/>
                <w:szCs w:val="21"/>
                <w:highlight w:val="none"/>
              </w:rPr>
              <w:t xml:space="preserve"> </w:t>
            </w:r>
            <w:r>
              <w:rPr>
                <w:color w:val="auto"/>
                <w:spacing w:val="-10"/>
                <w:sz w:val="21"/>
                <w:szCs w:val="21"/>
                <w:highlight w:val="none"/>
              </w:rPr>
              <w:t>不组织</w:t>
            </w:r>
          </w:p>
        </w:tc>
      </w:tr>
      <w:tr w14:paraId="6C893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1" w:hRule="atLeast"/>
        </w:trPr>
        <w:tc>
          <w:tcPr>
            <w:tcW w:w="952" w:type="dxa"/>
            <w:tcBorders>
              <w:left w:val="single" w:color="000000" w:sz="6" w:space="0"/>
            </w:tcBorders>
            <w:vAlign w:val="top"/>
          </w:tcPr>
          <w:p w14:paraId="5A88EE94">
            <w:pPr>
              <w:spacing w:line="287" w:lineRule="auto"/>
              <w:rPr>
                <w:rFonts w:ascii="Arial"/>
                <w:color w:val="auto"/>
                <w:sz w:val="21"/>
                <w:highlight w:val="none"/>
              </w:rPr>
            </w:pPr>
          </w:p>
          <w:p w14:paraId="5D75C214">
            <w:pPr>
              <w:spacing w:line="288" w:lineRule="auto"/>
              <w:rPr>
                <w:rFonts w:ascii="Arial"/>
                <w:color w:val="auto"/>
                <w:sz w:val="21"/>
                <w:highlight w:val="none"/>
              </w:rPr>
            </w:pPr>
          </w:p>
          <w:p w14:paraId="478D34E6">
            <w:pPr>
              <w:spacing w:before="61" w:line="188" w:lineRule="auto"/>
              <w:ind w:left="22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1.10.1</w:t>
            </w:r>
          </w:p>
        </w:tc>
        <w:tc>
          <w:tcPr>
            <w:tcW w:w="2444" w:type="dxa"/>
            <w:vAlign w:val="top"/>
          </w:tcPr>
          <w:p w14:paraId="4BF912EE">
            <w:pPr>
              <w:spacing w:line="265" w:lineRule="auto"/>
              <w:rPr>
                <w:rFonts w:ascii="Arial"/>
                <w:color w:val="auto"/>
                <w:sz w:val="21"/>
                <w:highlight w:val="none"/>
              </w:rPr>
            </w:pPr>
          </w:p>
          <w:p w14:paraId="0C0866F6">
            <w:pPr>
              <w:spacing w:line="266" w:lineRule="auto"/>
              <w:rPr>
                <w:rFonts w:ascii="Arial"/>
                <w:color w:val="auto"/>
                <w:sz w:val="21"/>
                <w:highlight w:val="none"/>
              </w:rPr>
            </w:pPr>
          </w:p>
          <w:p w14:paraId="0DD27229">
            <w:pPr>
              <w:pStyle w:val="17"/>
              <w:spacing w:before="68" w:line="219" w:lineRule="auto"/>
              <w:ind w:left="110"/>
              <w:rPr>
                <w:color w:val="auto"/>
                <w:sz w:val="21"/>
                <w:szCs w:val="21"/>
                <w:highlight w:val="none"/>
              </w:rPr>
            </w:pPr>
            <w:r>
              <w:rPr>
                <w:color w:val="auto"/>
                <w:spacing w:val="-2"/>
                <w:sz w:val="21"/>
                <w:szCs w:val="21"/>
                <w:highlight w:val="none"/>
              </w:rPr>
              <w:t>投标预备会</w:t>
            </w:r>
          </w:p>
        </w:tc>
        <w:tc>
          <w:tcPr>
            <w:tcW w:w="5506" w:type="dxa"/>
            <w:tcBorders>
              <w:right w:val="single" w:color="000000" w:sz="6" w:space="0"/>
            </w:tcBorders>
            <w:vAlign w:val="top"/>
          </w:tcPr>
          <w:p w14:paraId="47C87F9E">
            <w:pPr>
              <w:pStyle w:val="17"/>
              <w:spacing w:before="194" w:line="233" w:lineRule="auto"/>
              <w:ind w:left="114" w:right="103" w:firstLine="228"/>
              <w:rPr>
                <w:strike/>
                <w:dstrike w:val="0"/>
                <w:color w:val="auto"/>
                <w:sz w:val="21"/>
                <w:szCs w:val="21"/>
                <w:highlight w:val="none"/>
              </w:rPr>
            </w:pPr>
            <w:r>
              <w:rPr>
                <w:strike/>
                <w:dstrike w:val="0"/>
                <w:color w:val="auto"/>
                <w:spacing w:val="-11"/>
                <w:sz w:val="21"/>
                <w:szCs w:val="21"/>
                <w:highlight w:val="none"/>
              </w:rPr>
              <w:t>□ 召开，定于</w:t>
            </w:r>
            <w:r>
              <w:rPr>
                <w:strike/>
                <w:dstrike w:val="0"/>
                <w:color w:val="auto"/>
                <w:spacing w:val="-100"/>
                <w:sz w:val="21"/>
                <w:szCs w:val="21"/>
                <w:highlight w:val="none"/>
              </w:rPr>
              <w:t xml:space="preserve"> </w:t>
            </w:r>
            <w:r>
              <w:rPr>
                <w:strike/>
                <w:dstrike w:val="0"/>
                <w:color w:val="auto"/>
                <w:sz w:val="21"/>
                <w:szCs w:val="21"/>
                <w:highlight w:val="none"/>
                <w:u w:val="single" w:color="auto"/>
              </w:rPr>
              <w:t xml:space="preserve">       </w:t>
            </w:r>
            <w:r>
              <w:rPr>
                <w:strike/>
                <w:dstrike w:val="0"/>
                <w:color w:val="auto"/>
                <w:spacing w:val="-11"/>
                <w:sz w:val="21"/>
                <w:szCs w:val="21"/>
                <w:highlight w:val="none"/>
              </w:rPr>
              <w:t xml:space="preserve">（具体时间）在 </w:t>
            </w:r>
            <w:r>
              <w:rPr>
                <w:strike/>
                <w:dstrike w:val="0"/>
                <w:color w:val="auto"/>
                <w:sz w:val="21"/>
                <w:szCs w:val="21"/>
                <w:highlight w:val="none"/>
                <w:u w:val="single" w:color="auto"/>
              </w:rPr>
              <w:t xml:space="preserve">       </w:t>
            </w:r>
            <w:r>
              <w:rPr>
                <w:strike/>
                <w:dstrike w:val="0"/>
                <w:color w:val="auto"/>
                <w:spacing w:val="-11"/>
                <w:sz w:val="21"/>
                <w:szCs w:val="21"/>
                <w:highlight w:val="none"/>
              </w:rPr>
              <w:t>（投标预</w:t>
            </w:r>
            <w:r>
              <w:rPr>
                <w:strike/>
                <w:dstrike w:val="0"/>
                <w:color w:val="auto"/>
                <w:spacing w:val="1"/>
                <w:sz w:val="21"/>
                <w:szCs w:val="21"/>
                <w:highlight w:val="none"/>
              </w:rPr>
              <w:t xml:space="preserve"> </w:t>
            </w:r>
            <w:r>
              <w:rPr>
                <w:strike/>
                <w:dstrike w:val="0"/>
                <w:color w:val="auto"/>
                <w:spacing w:val="16"/>
                <w:sz w:val="21"/>
                <w:szCs w:val="21"/>
                <w:highlight w:val="none"/>
              </w:rPr>
              <w:t>备会地点）召开投标预备会，</w:t>
            </w:r>
            <w:r>
              <w:rPr>
                <w:strike/>
                <w:dstrike w:val="0"/>
                <w:color w:val="auto"/>
                <w:spacing w:val="-27"/>
                <w:sz w:val="21"/>
                <w:szCs w:val="21"/>
                <w:highlight w:val="none"/>
              </w:rPr>
              <w:t xml:space="preserve"> </w:t>
            </w:r>
            <w:r>
              <w:rPr>
                <w:strike/>
                <w:dstrike w:val="0"/>
                <w:color w:val="auto"/>
                <w:spacing w:val="16"/>
                <w:sz w:val="21"/>
                <w:szCs w:val="21"/>
                <w:highlight w:val="none"/>
              </w:rPr>
              <w:t>投标人可自愿参加，除</w:t>
            </w:r>
            <w:r>
              <w:rPr>
                <w:strike/>
                <w:dstrike w:val="0"/>
                <w:color w:val="auto"/>
                <w:sz w:val="21"/>
                <w:szCs w:val="21"/>
                <w:highlight w:val="none"/>
              </w:rPr>
              <w:t xml:space="preserve"> </w:t>
            </w:r>
            <w:r>
              <w:rPr>
                <w:strike/>
                <w:dstrike w:val="0"/>
                <w:color w:val="auto"/>
                <w:spacing w:val="-3"/>
                <w:sz w:val="21"/>
                <w:szCs w:val="21"/>
                <w:highlight w:val="none"/>
              </w:rPr>
              <w:t>外，交通工具及食宿均自理。</w:t>
            </w:r>
          </w:p>
          <w:p w14:paraId="2D59E145">
            <w:pPr>
              <w:pStyle w:val="17"/>
              <w:spacing w:before="21" w:line="221" w:lineRule="auto"/>
              <w:ind w:left="343"/>
              <w:rPr>
                <w:color w:val="auto"/>
                <w:sz w:val="21"/>
                <w:szCs w:val="21"/>
                <w:highlight w:val="none"/>
              </w:rPr>
            </w:pPr>
            <w:r>
              <w:rPr>
                <w:rFonts w:hint="eastAsia"/>
                <w:color w:val="auto"/>
                <w:spacing w:val="-10"/>
                <w:sz w:val="21"/>
                <w:szCs w:val="21"/>
                <w:highlight w:val="none"/>
                <w:lang w:eastAsia="zh-CN"/>
              </w:rPr>
              <w:t>☑</w:t>
            </w:r>
            <w:r>
              <w:rPr>
                <w:color w:val="auto"/>
                <w:spacing w:val="13"/>
                <w:sz w:val="21"/>
                <w:szCs w:val="21"/>
                <w:highlight w:val="none"/>
              </w:rPr>
              <w:t xml:space="preserve"> </w:t>
            </w:r>
            <w:r>
              <w:rPr>
                <w:color w:val="auto"/>
                <w:spacing w:val="-10"/>
                <w:sz w:val="21"/>
                <w:szCs w:val="21"/>
                <w:highlight w:val="none"/>
              </w:rPr>
              <w:t>不召开</w:t>
            </w:r>
          </w:p>
        </w:tc>
      </w:tr>
      <w:tr w14:paraId="0C922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32319702">
            <w:pPr>
              <w:spacing w:before="220" w:line="188" w:lineRule="auto"/>
              <w:ind w:left="22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1.10.3</w:t>
            </w:r>
          </w:p>
        </w:tc>
        <w:tc>
          <w:tcPr>
            <w:tcW w:w="2444" w:type="dxa"/>
            <w:vAlign w:val="top"/>
          </w:tcPr>
          <w:p w14:paraId="4A72F564">
            <w:pPr>
              <w:pStyle w:val="17"/>
              <w:spacing w:before="184" w:line="220" w:lineRule="auto"/>
              <w:ind w:left="110"/>
              <w:rPr>
                <w:color w:val="auto"/>
                <w:sz w:val="21"/>
                <w:szCs w:val="21"/>
                <w:highlight w:val="none"/>
              </w:rPr>
            </w:pPr>
            <w:r>
              <w:rPr>
                <w:color w:val="auto"/>
                <w:spacing w:val="-2"/>
                <w:sz w:val="21"/>
                <w:szCs w:val="21"/>
                <w:highlight w:val="none"/>
              </w:rPr>
              <w:t>投标截止时间</w:t>
            </w:r>
          </w:p>
        </w:tc>
        <w:tc>
          <w:tcPr>
            <w:tcW w:w="5506" w:type="dxa"/>
            <w:tcBorders>
              <w:right w:val="single" w:color="000000" w:sz="6" w:space="0"/>
            </w:tcBorders>
            <w:vAlign w:val="center"/>
          </w:tcPr>
          <w:p w14:paraId="5F59937D">
            <w:pPr>
              <w:jc w:val="both"/>
              <w:rPr>
                <w:rFonts w:ascii="Arial"/>
                <w:color w:val="auto"/>
                <w:sz w:val="21"/>
                <w:highlight w:val="none"/>
              </w:rPr>
            </w:pPr>
            <w:r>
              <w:rPr>
                <w:rFonts w:hint="eastAsia" w:ascii="Times New Roman" w:hAnsi="Times New Roman" w:eastAsia="宋体" w:cs="Times New Roman"/>
                <w:color w:val="auto"/>
                <w:highlight w:val="none"/>
                <w:lang w:eastAsia="zh-CN"/>
              </w:rPr>
              <w:t>202</w:t>
            </w:r>
            <w:r>
              <w:rPr>
                <w:rFonts w:hint="eastAsia" w:ascii="Times New Roman" w:hAnsi="Times New Roman" w:eastAsia="宋体" w:cs="Times New Roman"/>
                <w:color w:val="auto"/>
                <w:highlight w:val="none"/>
                <w:lang w:val="en-US" w:eastAsia="zh-CN"/>
              </w:rPr>
              <w:t>5</w:t>
            </w:r>
            <w:r>
              <w:rPr>
                <w:rFonts w:ascii="Times New Roman" w:hAnsi="Times New Roman" w:eastAsia="宋体" w:cs="Times New Roman"/>
                <w:color w:val="auto"/>
                <w:highlight w:val="none"/>
              </w:rPr>
              <w:t>年</w:t>
            </w:r>
            <w:r>
              <w:rPr>
                <w:rFonts w:hint="eastAsia" w:ascii="Times New Roman" w:hAnsi="Times New Roman" w:eastAsia="宋体" w:cs="Times New Roman"/>
                <w:color w:val="auto"/>
                <w:highlight w:val="none"/>
                <w:lang w:val="en-US" w:eastAsia="zh-CN"/>
              </w:rPr>
              <w:t xml:space="preserve">     </w:t>
            </w:r>
            <w:r>
              <w:rPr>
                <w:rFonts w:ascii="Times New Roman" w:hAnsi="Times New Roman" w:eastAsia="宋体" w:cs="Times New Roman"/>
                <w:color w:val="auto"/>
                <w:highlight w:val="none"/>
              </w:rPr>
              <w:t>月</w:t>
            </w:r>
            <w:r>
              <w:rPr>
                <w:rFonts w:hint="eastAsia" w:ascii="Times New Roman" w:hAnsi="Times New Roman" w:eastAsia="宋体" w:cs="Times New Roman"/>
                <w:color w:val="auto"/>
                <w:highlight w:val="none"/>
                <w:lang w:val="en-US" w:eastAsia="zh-CN"/>
              </w:rPr>
              <w:t xml:space="preserve">       </w:t>
            </w:r>
            <w:r>
              <w:rPr>
                <w:rFonts w:ascii="Times New Roman" w:hAnsi="Times New Roman" w:eastAsia="宋体" w:cs="Times New Roman"/>
                <w:color w:val="auto"/>
                <w:highlight w:val="none"/>
              </w:rPr>
              <w:t>日</w:t>
            </w:r>
            <w:r>
              <w:rPr>
                <w:rFonts w:hint="eastAsia" w:ascii="Times New Roman" w:hAnsi="Times New Roman" w:eastAsia="宋体" w:cs="Times New Roman"/>
                <w:color w:val="auto"/>
                <w:highlight w:val="none"/>
                <w:lang w:val="en-US" w:eastAsia="zh-CN"/>
              </w:rPr>
              <w:t>09</w:t>
            </w:r>
            <w:r>
              <w:rPr>
                <w:rFonts w:ascii="Times New Roman" w:hAnsi="Times New Roman" w:eastAsia="宋体" w:cs="Times New Roman"/>
                <w:color w:val="auto"/>
                <w:highlight w:val="none"/>
              </w:rPr>
              <w:t>时</w:t>
            </w:r>
            <w:r>
              <w:rPr>
                <w:rFonts w:hint="eastAsia" w:ascii="Times New Roman" w:hAnsi="Times New Roman" w:eastAsia="宋体" w:cs="Times New Roman"/>
                <w:color w:val="auto"/>
                <w:highlight w:val="none"/>
                <w:lang w:val="en-US" w:eastAsia="zh-CN"/>
              </w:rPr>
              <w:t>30</w:t>
            </w:r>
            <w:r>
              <w:rPr>
                <w:rFonts w:ascii="Times New Roman" w:hAnsi="Times New Roman" w:eastAsia="宋体" w:cs="Times New Roman"/>
                <w:color w:val="auto"/>
                <w:highlight w:val="none"/>
              </w:rPr>
              <w:t>分</w:t>
            </w:r>
          </w:p>
        </w:tc>
      </w:tr>
      <w:tr w14:paraId="7DA29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 w:hRule="atLeast"/>
        </w:trPr>
        <w:tc>
          <w:tcPr>
            <w:tcW w:w="952" w:type="dxa"/>
            <w:tcBorders>
              <w:left w:val="single" w:color="000000" w:sz="6" w:space="0"/>
            </w:tcBorders>
            <w:vAlign w:val="top"/>
          </w:tcPr>
          <w:p w14:paraId="72BD94A8">
            <w:pPr>
              <w:spacing w:line="284" w:lineRule="auto"/>
              <w:rPr>
                <w:rFonts w:ascii="Arial"/>
                <w:color w:val="auto"/>
                <w:sz w:val="21"/>
                <w:highlight w:val="none"/>
              </w:rPr>
            </w:pPr>
          </w:p>
          <w:p w14:paraId="02AE345A">
            <w:pPr>
              <w:spacing w:line="284" w:lineRule="auto"/>
              <w:rPr>
                <w:rFonts w:ascii="Arial"/>
                <w:color w:val="auto"/>
                <w:sz w:val="21"/>
                <w:highlight w:val="none"/>
              </w:rPr>
            </w:pPr>
          </w:p>
          <w:p w14:paraId="77D35FE1">
            <w:pPr>
              <w:spacing w:before="61" w:line="188"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1.11</w:t>
            </w:r>
          </w:p>
        </w:tc>
        <w:tc>
          <w:tcPr>
            <w:tcW w:w="2444" w:type="dxa"/>
            <w:vAlign w:val="top"/>
          </w:tcPr>
          <w:p w14:paraId="5EE4E915">
            <w:pPr>
              <w:spacing w:line="262" w:lineRule="auto"/>
              <w:rPr>
                <w:rFonts w:ascii="Arial"/>
                <w:color w:val="auto"/>
                <w:sz w:val="21"/>
                <w:highlight w:val="none"/>
              </w:rPr>
            </w:pPr>
          </w:p>
          <w:p w14:paraId="0BFC3E5E">
            <w:pPr>
              <w:spacing w:line="262" w:lineRule="auto"/>
              <w:rPr>
                <w:rFonts w:ascii="Arial"/>
                <w:color w:val="auto"/>
                <w:sz w:val="21"/>
                <w:highlight w:val="none"/>
              </w:rPr>
            </w:pPr>
          </w:p>
          <w:p w14:paraId="0FA0664E">
            <w:pPr>
              <w:pStyle w:val="17"/>
              <w:spacing w:before="69" w:line="220" w:lineRule="auto"/>
              <w:ind w:left="110"/>
              <w:rPr>
                <w:color w:val="auto"/>
                <w:sz w:val="21"/>
                <w:szCs w:val="21"/>
                <w:highlight w:val="none"/>
              </w:rPr>
            </w:pPr>
            <w:r>
              <w:rPr>
                <w:color w:val="auto"/>
                <w:spacing w:val="-3"/>
                <w:sz w:val="21"/>
                <w:szCs w:val="21"/>
                <w:highlight w:val="none"/>
              </w:rPr>
              <w:t>分包</w:t>
            </w:r>
          </w:p>
        </w:tc>
        <w:tc>
          <w:tcPr>
            <w:tcW w:w="5506" w:type="dxa"/>
            <w:tcBorders>
              <w:right w:val="single" w:color="000000" w:sz="6" w:space="0"/>
            </w:tcBorders>
            <w:vAlign w:val="top"/>
          </w:tcPr>
          <w:p w14:paraId="6C94583A">
            <w:pPr>
              <w:pStyle w:val="17"/>
              <w:spacing w:before="187" w:line="220" w:lineRule="auto"/>
              <w:ind w:left="343"/>
              <w:rPr>
                <w:strike/>
                <w:dstrike w:val="0"/>
                <w:color w:val="auto"/>
                <w:sz w:val="21"/>
                <w:szCs w:val="21"/>
                <w:highlight w:val="none"/>
              </w:rPr>
            </w:pPr>
            <w:r>
              <w:rPr>
                <w:strike/>
                <w:dstrike w:val="0"/>
                <w:color w:val="auto"/>
                <w:spacing w:val="-3"/>
                <w:sz w:val="21"/>
                <w:szCs w:val="21"/>
                <w:highlight w:val="none"/>
              </w:rPr>
              <w:t>□ 允许，工程分包内容要求：</w:t>
            </w:r>
            <w:r>
              <w:rPr>
                <w:strike/>
                <w:dstrike w:val="0"/>
                <w:color w:val="auto"/>
                <w:spacing w:val="1"/>
                <w:sz w:val="21"/>
                <w:szCs w:val="21"/>
                <w:highlight w:val="none"/>
                <w:u w:val="single" w:color="auto"/>
              </w:rPr>
              <w:t xml:space="preserve">          </w:t>
            </w:r>
          </w:p>
          <w:p w14:paraId="7D3060A3">
            <w:pPr>
              <w:pStyle w:val="17"/>
              <w:spacing w:before="22" w:line="220" w:lineRule="auto"/>
              <w:ind w:left="1270"/>
              <w:rPr>
                <w:strike/>
                <w:dstrike w:val="0"/>
                <w:color w:val="auto"/>
                <w:sz w:val="21"/>
                <w:szCs w:val="21"/>
                <w:highlight w:val="none"/>
              </w:rPr>
            </w:pPr>
            <w:r>
              <w:rPr>
                <w:strike/>
                <w:dstrike w:val="0"/>
                <w:color w:val="auto"/>
                <w:spacing w:val="-2"/>
                <w:sz w:val="21"/>
                <w:szCs w:val="21"/>
                <w:highlight w:val="none"/>
              </w:rPr>
              <w:t>工程分包金额要求：</w:t>
            </w:r>
            <w:r>
              <w:rPr>
                <w:strike/>
                <w:dstrike w:val="0"/>
                <w:color w:val="auto"/>
                <w:sz w:val="21"/>
                <w:szCs w:val="21"/>
                <w:highlight w:val="none"/>
                <w:u w:val="single" w:color="auto"/>
              </w:rPr>
              <w:t xml:space="preserve">          </w:t>
            </w:r>
          </w:p>
          <w:p w14:paraId="50214BB5">
            <w:pPr>
              <w:pStyle w:val="17"/>
              <w:spacing w:before="22" w:line="220" w:lineRule="auto"/>
              <w:ind w:left="1266"/>
              <w:rPr>
                <w:strike/>
                <w:dstrike w:val="0"/>
                <w:color w:val="auto"/>
                <w:sz w:val="21"/>
                <w:szCs w:val="21"/>
                <w:highlight w:val="none"/>
              </w:rPr>
            </w:pPr>
            <w:r>
              <w:rPr>
                <w:strike/>
                <w:dstrike w:val="0"/>
                <w:color w:val="auto"/>
                <w:spacing w:val="-1"/>
                <w:sz w:val="21"/>
                <w:szCs w:val="21"/>
                <w:highlight w:val="none"/>
              </w:rPr>
              <w:t>接受工程分包的第三人资质要求：</w:t>
            </w:r>
            <w:r>
              <w:rPr>
                <w:strike/>
                <w:dstrike w:val="0"/>
                <w:color w:val="auto"/>
                <w:sz w:val="21"/>
                <w:szCs w:val="21"/>
                <w:highlight w:val="none"/>
                <w:u w:val="single" w:color="auto"/>
              </w:rPr>
              <w:t xml:space="preserve">          </w:t>
            </w:r>
          </w:p>
          <w:p w14:paraId="77BFAE82">
            <w:pPr>
              <w:pStyle w:val="17"/>
              <w:spacing w:before="22" w:line="220" w:lineRule="auto"/>
              <w:ind w:left="343"/>
              <w:rPr>
                <w:color w:val="auto"/>
                <w:sz w:val="21"/>
                <w:szCs w:val="21"/>
                <w:highlight w:val="none"/>
              </w:rPr>
            </w:pPr>
            <w:r>
              <w:rPr>
                <w:rFonts w:hint="eastAsia"/>
                <w:color w:val="auto"/>
                <w:spacing w:val="-10"/>
                <w:sz w:val="21"/>
                <w:szCs w:val="21"/>
                <w:highlight w:val="none"/>
                <w:lang w:eastAsia="zh-CN"/>
              </w:rPr>
              <w:t>☑</w:t>
            </w:r>
            <w:r>
              <w:rPr>
                <w:color w:val="auto"/>
                <w:spacing w:val="13"/>
                <w:sz w:val="21"/>
                <w:szCs w:val="21"/>
                <w:highlight w:val="none"/>
              </w:rPr>
              <w:t xml:space="preserve"> </w:t>
            </w:r>
            <w:r>
              <w:rPr>
                <w:color w:val="auto"/>
                <w:spacing w:val="-10"/>
                <w:sz w:val="21"/>
                <w:szCs w:val="21"/>
                <w:highlight w:val="none"/>
              </w:rPr>
              <w:t>不允许</w:t>
            </w:r>
          </w:p>
        </w:tc>
      </w:tr>
      <w:tr w14:paraId="5DFF2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952" w:type="dxa"/>
            <w:tcBorders>
              <w:left w:val="single" w:color="000000" w:sz="6" w:space="0"/>
            </w:tcBorders>
            <w:vAlign w:val="top"/>
          </w:tcPr>
          <w:p w14:paraId="60B4DD00">
            <w:pPr>
              <w:spacing w:before="291" w:line="188"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7"/>
                <w:sz w:val="21"/>
                <w:szCs w:val="21"/>
                <w:highlight w:val="none"/>
              </w:rPr>
              <w:t>1.12</w:t>
            </w:r>
          </w:p>
        </w:tc>
        <w:tc>
          <w:tcPr>
            <w:tcW w:w="2444" w:type="dxa"/>
            <w:vAlign w:val="top"/>
          </w:tcPr>
          <w:p w14:paraId="68A59E02">
            <w:pPr>
              <w:pStyle w:val="17"/>
              <w:spacing w:before="254" w:line="220" w:lineRule="auto"/>
              <w:ind w:left="108"/>
              <w:rPr>
                <w:color w:val="auto"/>
                <w:sz w:val="21"/>
                <w:szCs w:val="21"/>
                <w:highlight w:val="none"/>
              </w:rPr>
            </w:pPr>
            <w:r>
              <w:rPr>
                <w:color w:val="auto"/>
                <w:spacing w:val="-3"/>
                <w:sz w:val="21"/>
                <w:szCs w:val="21"/>
                <w:highlight w:val="none"/>
              </w:rPr>
              <w:t>偏离</w:t>
            </w:r>
          </w:p>
        </w:tc>
        <w:tc>
          <w:tcPr>
            <w:tcW w:w="5506" w:type="dxa"/>
            <w:tcBorders>
              <w:right w:val="single" w:color="000000" w:sz="6" w:space="0"/>
            </w:tcBorders>
            <w:vAlign w:val="top"/>
          </w:tcPr>
          <w:p w14:paraId="75F716CE">
            <w:pPr>
              <w:pStyle w:val="17"/>
              <w:spacing w:before="118" w:line="220" w:lineRule="auto"/>
              <w:ind w:left="343"/>
              <w:rPr>
                <w:color w:val="auto"/>
                <w:sz w:val="21"/>
                <w:szCs w:val="21"/>
                <w:highlight w:val="none"/>
              </w:rPr>
            </w:pPr>
            <w:r>
              <w:rPr>
                <w:rFonts w:hint="eastAsia"/>
                <w:color w:val="auto"/>
                <w:spacing w:val="-10"/>
                <w:sz w:val="21"/>
                <w:szCs w:val="21"/>
                <w:highlight w:val="none"/>
                <w:lang w:eastAsia="zh-CN"/>
              </w:rPr>
              <w:t>☑</w:t>
            </w:r>
            <w:r>
              <w:rPr>
                <w:color w:val="auto"/>
                <w:spacing w:val="13"/>
                <w:sz w:val="21"/>
                <w:szCs w:val="21"/>
                <w:highlight w:val="none"/>
              </w:rPr>
              <w:t xml:space="preserve"> </w:t>
            </w:r>
            <w:r>
              <w:rPr>
                <w:color w:val="auto"/>
                <w:spacing w:val="-10"/>
                <w:sz w:val="21"/>
                <w:szCs w:val="21"/>
                <w:highlight w:val="none"/>
              </w:rPr>
              <w:t>不允许</w:t>
            </w:r>
          </w:p>
          <w:p w14:paraId="43BF4D08">
            <w:pPr>
              <w:pStyle w:val="17"/>
              <w:spacing w:before="22" w:line="218" w:lineRule="auto"/>
              <w:ind w:left="343"/>
              <w:rPr>
                <w:color w:val="auto"/>
                <w:sz w:val="21"/>
                <w:szCs w:val="21"/>
                <w:highlight w:val="none"/>
              </w:rPr>
            </w:pPr>
            <w:r>
              <w:rPr>
                <w:strike/>
                <w:dstrike w:val="0"/>
                <w:color w:val="auto"/>
                <w:spacing w:val="-2"/>
                <w:sz w:val="21"/>
                <w:szCs w:val="21"/>
                <w:highlight w:val="none"/>
              </w:rPr>
              <w:t>□ 允许偏离的内容、范围和幅度：</w:t>
            </w:r>
            <w:r>
              <w:rPr>
                <w:strike/>
                <w:dstrike w:val="0"/>
                <w:color w:val="auto"/>
                <w:sz w:val="21"/>
                <w:szCs w:val="21"/>
                <w:highlight w:val="none"/>
                <w:u w:val="single" w:color="auto"/>
              </w:rPr>
              <w:t xml:space="preserve">          </w:t>
            </w:r>
          </w:p>
        </w:tc>
      </w:tr>
      <w:tr w14:paraId="07A608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952" w:type="dxa"/>
            <w:tcBorders>
              <w:left w:val="single" w:color="000000" w:sz="6" w:space="0"/>
            </w:tcBorders>
            <w:vAlign w:val="top"/>
          </w:tcPr>
          <w:p w14:paraId="1DC25D06">
            <w:pPr>
              <w:spacing w:line="368" w:lineRule="auto"/>
              <w:rPr>
                <w:rFonts w:ascii="Arial"/>
                <w:color w:val="auto"/>
                <w:sz w:val="21"/>
                <w:highlight w:val="none"/>
              </w:rPr>
            </w:pPr>
          </w:p>
          <w:p w14:paraId="3EE510C6">
            <w:pPr>
              <w:spacing w:before="61" w:line="188" w:lineRule="auto"/>
              <w:ind w:left="26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2.2.1</w:t>
            </w:r>
          </w:p>
        </w:tc>
        <w:tc>
          <w:tcPr>
            <w:tcW w:w="2444" w:type="dxa"/>
            <w:vAlign w:val="top"/>
          </w:tcPr>
          <w:p w14:paraId="1009D37A">
            <w:pPr>
              <w:pStyle w:val="17"/>
              <w:spacing w:before="259" w:line="242" w:lineRule="auto"/>
              <w:ind w:left="117" w:right="108" w:hanging="7"/>
              <w:rPr>
                <w:color w:val="auto"/>
                <w:sz w:val="21"/>
                <w:szCs w:val="21"/>
                <w:highlight w:val="none"/>
              </w:rPr>
            </w:pPr>
            <w:r>
              <w:rPr>
                <w:color w:val="auto"/>
                <w:spacing w:val="12"/>
                <w:sz w:val="21"/>
                <w:szCs w:val="21"/>
                <w:highlight w:val="none"/>
              </w:rPr>
              <w:t>投标人提出澄清申请的</w:t>
            </w:r>
            <w:r>
              <w:rPr>
                <w:color w:val="auto"/>
                <w:sz w:val="21"/>
                <w:szCs w:val="21"/>
                <w:highlight w:val="none"/>
              </w:rPr>
              <w:t xml:space="preserve"> </w:t>
            </w:r>
            <w:r>
              <w:rPr>
                <w:color w:val="auto"/>
                <w:spacing w:val="-3"/>
                <w:sz w:val="21"/>
                <w:szCs w:val="21"/>
                <w:highlight w:val="none"/>
              </w:rPr>
              <w:t>时间及形式</w:t>
            </w:r>
          </w:p>
        </w:tc>
        <w:tc>
          <w:tcPr>
            <w:tcW w:w="5506" w:type="dxa"/>
            <w:tcBorders>
              <w:right w:val="single" w:color="000000" w:sz="6" w:space="0"/>
            </w:tcBorders>
            <w:vAlign w:val="top"/>
          </w:tcPr>
          <w:p w14:paraId="0688F44E">
            <w:pPr>
              <w:pStyle w:val="17"/>
              <w:spacing w:before="259" w:line="220" w:lineRule="auto"/>
              <w:rPr>
                <w:color w:val="auto"/>
                <w:sz w:val="21"/>
                <w:szCs w:val="21"/>
                <w:highlight w:val="none"/>
              </w:rPr>
            </w:pPr>
            <w:r>
              <w:rPr>
                <w:color w:val="auto"/>
                <w:spacing w:val="-6"/>
                <w:sz w:val="21"/>
                <w:szCs w:val="21"/>
                <w:highlight w:val="none"/>
              </w:rPr>
              <w:t>时间：投标截止时间</w:t>
            </w:r>
            <w:r>
              <w:rPr>
                <w:color w:val="auto"/>
                <w:spacing w:val="-102"/>
                <w:sz w:val="21"/>
                <w:szCs w:val="21"/>
                <w:highlight w:val="none"/>
              </w:rPr>
              <w:t xml:space="preserve"> </w:t>
            </w:r>
            <w:r>
              <w:rPr>
                <w:color w:val="auto"/>
                <w:spacing w:val="52"/>
                <w:sz w:val="21"/>
                <w:szCs w:val="21"/>
                <w:highlight w:val="none"/>
                <w:u w:val="single" w:color="auto"/>
              </w:rPr>
              <w:t xml:space="preserve"> </w:t>
            </w:r>
            <w:r>
              <w:rPr>
                <w:rFonts w:hint="eastAsia"/>
                <w:color w:val="auto"/>
                <w:spacing w:val="52"/>
                <w:sz w:val="21"/>
                <w:szCs w:val="21"/>
                <w:highlight w:val="none"/>
                <w:u w:val="single" w:color="auto"/>
                <w:lang w:val="en-US" w:eastAsia="zh-CN"/>
              </w:rPr>
              <w:t>15</w:t>
            </w:r>
            <w:r>
              <w:rPr>
                <w:color w:val="auto"/>
                <w:spacing w:val="-61"/>
                <w:sz w:val="21"/>
                <w:szCs w:val="21"/>
                <w:highlight w:val="none"/>
              </w:rPr>
              <w:t xml:space="preserve"> </w:t>
            </w:r>
            <w:r>
              <w:rPr>
                <w:color w:val="auto"/>
                <w:spacing w:val="-6"/>
                <w:sz w:val="21"/>
                <w:szCs w:val="21"/>
                <w:highlight w:val="none"/>
              </w:rPr>
              <w:t>日前。</w:t>
            </w:r>
          </w:p>
          <w:p w14:paraId="53E3F0F7">
            <w:pPr>
              <w:snapToGrid w:val="0"/>
              <w:spacing w:line="300" w:lineRule="auto"/>
              <w:rPr>
                <w:color w:val="auto"/>
                <w:sz w:val="21"/>
                <w:szCs w:val="21"/>
                <w:highlight w:val="none"/>
              </w:rPr>
            </w:pPr>
            <w:r>
              <w:rPr>
                <w:color w:val="auto"/>
                <w:spacing w:val="-5"/>
                <w:sz w:val="21"/>
                <w:szCs w:val="21"/>
                <w:highlight w:val="none"/>
              </w:rPr>
              <w:t>形式：</w:t>
            </w:r>
            <w:r>
              <w:rPr>
                <w:rFonts w:ascii="Times New Roman" w:hAnsi="Times New Roman" w:cs="Times New Roman"/>
                <w:color w:val="auto"/>
                <w:sz w:val="21"/>
                <w:szCs w:val="21"/>
                <w:highlight w:val="none"/>
                <w:u w:val="single"/>
              </w:rPr>
              <w:t>纸质或电子扫描件（均需加盖投标单位公章，电子扫描件可加盖电子公章发送至邮箱</w:t>
            </w:r>
            <w:r>
              <w:rPr>
                <w:rFonts w:hint="eastAsia" w:ascii="宋体" w:hAnsi="宋体" w:eastAsia="宋体" w:cs="Times New Roman"/>
                <w:i/>
                <w:iCs/>
                <w:color w:val="auto"/>
                <w:highlight w:val="none"/>
                <w:u w:val="single"/>
                <w:lang w:val="en-US" w:eastAsia="zh-CN"/>
              </w:rPr>
              <w:t>2429136371@qq.com）</w:t>
            </w:r>
            <w:r>
              <w:rPr>
                <w:color w:val="auto"/>
                <w:spacing w:val="-5"/>
                <w:sz w:val="21"/>
                <w:szCs w:val="21"/>
                <w:highlight w:val="none"/>
              </w:rPr>
              <w:t>。</w:t>
            </w:r>
          </w:p>
        </w:tc>
      </w:tr>
      <w:tr w14:paraId="4C3A5A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8" w:hRule="atLeast"/>
        </w:trPr>
        <w:tc>
          <w:tcPr>
            <w:tcW w:w="952" w:type="dxa"/>
            <w:tcBorders>
              <w:left w:val="single" w:color="000000" w:sz="6" w:space="0"/>
            </w:tcBorders>
            <w:vAlign w:val="top"/>
          </w:tcPr>
          <w:p w14:paraId="053BF40D">
            <w:pPr>
              <w:spacing w:line="440" w:lineRule="auto"/>
              <w:rPr>
                <w:rFonts w:ascii="Arial"/>
                <w:color w:val="auto"/>
                <w:sz w:val="21"/>
                <w:highlight w:val="none"/>
              </w:rPr>
            </w:pPr>
          </w:p>
          <w:p w14:paraId="20046836">
            <w:pPr>
              <w:spacing w:before="61" w:line="188" w:lineRule="auto"/>
              <w:ind w:left="26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2.2.2</w:t>
            </w:r>
          </w:p>
        </w:tc>
        <w:tc>
          <w:tcPr>
            <w:tcW w:w="2444" w:type="dxa"/>
            <w:vAlign w:val="top"/>
          </w:tcPr>
          <w:p w14:paraId="3037BBAD">
            <w:pPr>
              <w:spacing w:line="396" w:lineRule="auto"/>
              <w:rPr>
                <w:rFonts w:ascii="Arial"/>
                <w:color w:val="auto"/>
                <w:sz w:val="21"/>
                <w:highlight w:val="none"/>
              </w:rPr>
            </w:pPr>
          </w:p>
          <w:p w14:paraId="1AB4807C">
            <w:pPr>
              <w:pStyle w:val="17"/>
              <w:spacing w:before="69" w:line="220" w:lineRule="auto"/>
              <w:ind w:left="109"/>
              <w:rPr>
                <w:color w:val="auto"/>
                <w:sz w:val="21"/>
                <w:szCs w:val="21"/>
                <w:highlight w:val="none"/>
              </w:rPr>
            </w:pPr>
            <w:r>
              <w:rPr>
                <w:color w:val="auto"/>
                <w:spacing w:val="-1"/>
                <w:sz w:val="21"/>
                <w:szCs w:val="21"/>
                <w:highlight w:val="none"/>
              </w:rPr>
              <w:t>招标人发出澄清的形式</w:t>
            </w:r>
          </w:p>
        </w:tc>
        <w:tc>
          <w:tcPr>
            <w:tcW w:w="5506" w:type="dxa"/>
            <w:tcBorders>
              <w:right w:val="single" w:color="000000" w:sz="6" w:space="0"/>
            </w:tcBorders>
            <w:vAlign w:val="top"/>
          </w:tcPr>
          <w:p w14:paraId="21448A1F">
            <w:pPr>
              <w:pStyle w:val="17"/>
              <w:spacing w:before="194" w:line="241" w:lineRule="auto"/>
              <w:ind w:left="113" w:right="188" w:firstLine="418"/>
              <w:jc w:val="both"/>
              <w:rPr>
                <w:color w:val="auto"/>
                <w:sz w:val="21"/>
                <w:szCs w:val="21"/>
                <w:highlight w:val="none"/>
              </w:rPr>
            </w:pPr>
            <w:r>
              <w:rPr>
                <w:color w:val="auto"/>
                <w:spacing w:val="-3"/>
                <w:sz w:val="21"/>
                <w:szCs w:val="21"/>
                <w:highlight w:val="none"/>
              </w:rPr>
              <w:t>潜在投标人应自行关注电子招标投标交易平台公告，</w:t>
            </w:r>
            <w:r>
              <w:rPr>
                <w:color w:val="auto"/>
                <w:spacing w:val="13"/>
                <w:sz w:val="21"/>
                <w:szCs w:val="21"/>
                <w:highlight w:val="none"/>
              </w:rPr>
              <w:t xml:space="preserve"> </w:t>
            </w:r>
            <w:r>
              <w:rPr>
                <w:color w:val="auto"/>
                <w:spacing w:val="-1"/>
                <w:sz w:val="21"/>
                <w:szCs w:val="21"/>
                <w:highlight w:val="none"/>
              </w:rPr>
              <w:t>招标人不再一一通知。投标人因自身原因导致投标失败</w:t>
            </w:r>
            <w:r>
              <w:rPr>
                <w:color w:val="auto"/>
                <w:spacing w:val="6"/>
                <w:sz w:val="21"/>
                <w:szCs w:val="21"/>
                <w:highlight w:val="none"/>
              </w:rPr>
              <w:t xml:space="preserve">  </w:t>
            </w:r>
            <w:r>
              <w:rPr>
                <w:color w:val="auto"/>
                <w:spacing w:val="-5"/>
                <w:sz w:val="21"/>
                <w:szCs w:val="21"/>
                <w:highlight w:val="none"/>
              </w:rPr>
              <w:t>的，责任自负。</w:t>
            </w:r>
          </w:p>
        </w:tc>
      </w:tr>
      <w:tr w14:paraId="3A79D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1" w:hRule="atLeast"/>
        </w:trPr>
        <w:tc>
          <w:tcPr>
            <w:tcW w:w="952" w:type="dxa"/>
            <w:tcBorders>
              <w:left w:val="single" w:color="000000" w:sz="6" w:space="0"/>
            </w:tcBorders>
            <w:vAlign w:val="top"/>
          </w:tcPr>
          <w:p w14:paraId="1C327F2B">
            <w:pPr>
              <w:spacing w:line="257" w:lineRule="auto"/>
              <w:rPr>
                <w:rFonts w:ascii="Arial"/>
                <w:color w:val="auto"/>
                <w:sz w:val="21"/>
                <w:highlight w:val="none"/>
              </w:rPr>
            </w:pPr>
          </w:p>
          <w:p w14:paraId="51481A3A">
            <w:pPr>
              <w:spacing w:line="257" w:lineRule="auto"/>
              <w:rPr>
                <w:rFonts w:ascii="Arial"/>
                <w:color w:val="auto"/>
                <w:sz w:val="21"/>
                <w:highlight w:val="none"/>
              </w:rPr>
            </w:pPr>
          </w:p>
          <w:p w14:paraId="090CFC58">
            <w:pPr>
              <w:spacing w:line="257" w:lineRule="auto"/>
              <w:rPr>
                <w:rFonts w:ascii="Arial"/>
                <w:color w:val="auto"/>
                <w:sz w:val="21"/>
                <w:highlight w:val="none"/>
              </w:rPr>
            </w:pPr>
          </w:p>
          <w:p w14:paraId="6CDC9912">
            <w:pPr>
              <w:spacing w:line="257" w:lineRule="auto"/>
              <w:rPr>
                <w:rFonts w:ascii="Arial"/>
                <w:color w:val="auto"/>
                <w:sz w:val="21"/>
                <w:highlight w:val="none"/>
              </w:rPr>
            </w:pPr>
          </w:p>
          <w:p w14:paraId="72962601">
            <w:pPr>
              <w:spacing w:line="258" w:lineRule="auto"/>
              <w:rPr>
                <w:rFonts w:ascii="Arial"/>
                <w:color w:val="auto"/>
                <w:sz w:val="21"/>
                <w:highlight w:val="none"/>
              </w:rPr>
            </w:pPr>
          </w:p>
          <w:p w14:paraId="7115C3BE">
            <w:pPr>
              <w:spacing w:before="60" w:line="188" w:lineRule="auto"/>
              <w:ind w:left="26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2.3.1</w:t>
            </w:r>
          </w:p>
        </w:tc>
        <w:tc>
          <w:tcPr>
            <w:tcW w:w="2444" w:type="dxa"/>
            <w:vAlign w:val="top"/>
          </w:tcPr>
          <w:p w14:paraId="3A888450">
            <w:pPr>
              <w:spacing w:line="276" w:lineRule="auto"/>
              <w:rPr>
                <w:rFonts w:ascii="Arial"/>
                <w:color w:val="auto"/>
                <w:sz w:val="21"/>
                <w:highlight w:val="none"/>
              </w:rPr>
            </w:pPr>
          </w:p>
          <w:p w14:paraId="69B4CFCB">
            <w:pPr>
              <w:spacing w:line="276" w:lineRule="auto"/>
              <w:rPr>
                <w:rFonts w:ascii="Arial"/>
                <w:color w:val="auto"/>
                <w:sz w:val="21"/>
                <w:highlight w:val="none"/>
              </w:rPr>
            </w:pPr>
          </w:p>
          <w:p w14:paraId="0293FB70">
            <w:pPr>
              <w:spacing w:line="277" w:lineRule="auto"/>
              <w:rPr>
                <w:rFonts w:ascii="Arial"/>
                <w:color w:val="auto"/>
                <w:sz w:val="21"/>
                <w:highlight w:val="none"/>
              </w:rPr>
            </w:pPr>
          </w:p>
          <w:p w14:paraId="0F10404C">
            <w:pPr>
              <w:spacing w:line="277" w:lineRule="auto"/>
              <w:rPr>
                <w:rFonts w:ascii="Arial"/>
                <w:color w:val="auto"/>
                <w:sz w:val="21"/>
                <w:highlight w:val="none"/>
              </w:rPr>
            </w:pPr>
          </w:p>
          <w:p w14:paraId="2B867C12">
            <w:pPr>
              <w:pStyle w:val="17"/>
              <w:spacing w:before="68" w:line="242" w:lineRule="auto"/>
              <w:ind w:left="110" w:right="108" w:hanging="1"/>
              <w:rPr>
                <w:color w:val="auto"/>
                <w:sz w:val="21"/>
                <w:szCs w:val="21"/>
                <w:highlight w:val="none"/>
              </w:rPr>
            </w:pPr>
            <w:r>
              <w:rPr>
                <w:color w:val="auto"/>
                <w:spacing w:val="12"/>
                <w:sz w:val="21"/>
                <w:szCs w:val="21"/>
                <w:highlight w:val="none"/>
              </w:rPr>
              <w:t>招标人发出修改通知的</w:t>
            </w:r>
            <w:r>
              <w:rPr>
                <w:color w:val="auto"/>
                <w:sz w:val="21"/>
                <w:szCs w:val="21"/>
                <w:highlight w:val="none"/>
              </w:rPr>
              <w:t xml:space="preserve"> </w:t>
            </w:r>
            <w:r>
              <w:rPr>
                <w:color w:val="auto"/>
                <w:spacing w:val="-3"/>
                <w:sz w:val="21"/>
                <w:szCs w:val="21"/>
                <w:highlight w:val="none"/>
              </w:rPr>
              <w:t>形式</w:t>
            </w:r>
          </w:p>
        </w:tc>
        <w:tc>
          <w:tcPr>
            <w:tcW w:w="5506" w:type="dxa"/>
            <w:tcBorders>
              <w:right w:val="single" w:color="000000" w:sz="6" w:space="0"/>
            </w:tcBorders>
            <w:vAlign w:val="top"/>
          </w:tcPr>
          <w:p w14:paraId="1856CFA9">
            <w:pPr>
              <w:pStyle w:val="17"/>
              <w:spacing w:before="230" w:line="239" w:lineRule="auto"/>
              <w:ind w:left="111" w:right="191" w:firstLine="420"/>
              <w:jc w:val="both"/>
              <w:rPr>
                <w:color w:val="auto"/>
                <w:sz w:val="21"/>
                <w:szCs w:val="21"/>
                <w:highlight w:val="none"/>
              </w:rPr>
            </w:pPr>
            <w:r>
              <w:rPr>
                <w:color w:val="auto"/>
                <w:spacing w:val="-3"/>
                <w:sz w:val="21"/>
                <w:szCs w:val="21"/>
                <w:highlight w:val="none"/>
              </w:rPr>
              <w:t>修改的内容影响投标文件编制的，招标人将在投标截</w:t>
            </w:r>
            <w:r>
              <w:rPr>
                <w:color w:val="auto"/>
                <w:spacing w:val="10"/>
                <w:sz w:val="21"/>
                <w:szCs w:val="21"/>
                <w:highlight w:val="none"/>
              </w:rPr>
              <w:t xml:space="preserve"> </w:t>
            </w:r>
            <w:r>
              <w:rPr>
                <w:color w:val="auto"/>
                <w:spacing w:val="-16"/>
                <w:sz w:val="21"/>
                <w:szCs w:val="21"/>
                <w:highlight w:val="none"/>
              </w:rPr>
              <w:t xml:space="preserve">止时间 </w:t>
            </w:r>
            <w:r>
              <w:rPr>
                <w:rFonts w:ascii="Times New Roman" w:hAnsi="Times New Roman" w:eastAsia="Times New Roman" w:cs="Times New Roman"/>
                <w:color w:val="auto"/>
                <w:spacing w:val="-16"/>
                <w:sz w:val="21"/>
                <w:szCs w:val="21"/>
                <w:highlight w:val="none"/>
              </w:rPr>
              <w:t>15</w:t>
            </w:r>
            <w:r>
              <w:rPr>
                <w:color w:val="auto"/>
                <w:spacing w:val="-16"/>
                <w:sz w:val="21"/>
                <w:szCs w:val="21"/>
                <w:highlight w:val="none"/>
              </w:rPr>
              <w:t>日前，在下载招标文件的电子招标投标交易平台发</w:t>
            </w:r>
            <w:r>
              <w:rPr>
                <w:color w:val="auto"/>
                <w:spacing w:val="15"/>
                <w:sz w:val="21"/>
                <w:szCs w:val="21"/>
                <w:highlight w:val="none"/>
              </w:rPr>
              <w:t xml:space="preserve"> </w:t>
            </w:r>
            <w:r>
              <w:rPr>
                <w:color w:val="auto"/>
                <w:spacing w:val="-4"/>
                <w:sz w:val="21"/>
                <w:szCs w:val="21"/>
                <w:highlight w:val="none"/>
              </w:rPr>
              <w:t>出修改通知，不足</w:t>
            </w:r>
            <w:r>
              <w:rPr>
                <w:rFonts w:ascii="Times New Roman" w:hAnsi="Times New Roman" w:eastAsia="Times New Roman" w:cs="Times New Roman"/>
                <w:color w:val="auto"/>
                <w:spacing w:val="-4"/>
                <w:sz w:val="21"/>
                <w:szCs w:val="21"/>
                <w:highlight w:val="none"/>
              </w:rPr>
              <w:t>15</w:t>
            </w:r>
            <w:r>
              <w:rPr>
                <w:color w:val="auto"/>
                <w:spacing w:val="-4"/>
                <w:sz w:val="21"/>
                <w:szCs w:val="21"/>
                <w:highlight w:val="none"/>
              </w:rPr>
              <w:t>日的，招标人将顺延递交投标</w:t>
            </w:r>
            <w:r>
              <w:rPr>
                <w:color w:val="auto"/>
                <w:spacing w:val="-5"/>
                <w:sz w:val="21"/>
                <w:szCs w:val="21"/>
                <w:highlight w:val="none"/>
              </w:rPr>
              <w:t>文件的</w:t>
            </w:r>
            <w:r>
              <w:rPr>
                <w:color w:val="auto"/>
                <w:sz w:val="21"/>
                <w:szCs w:val="21"/>
                <w:highlight w:val="none"/>
              </w:rPr>
              <w:t xml:space="preserve"> </w:t>
            </w:r>
            <w:r>
              <w:rPr>
                <w:color w:val="auto"/>
                <w:spacing w:val="-7"/>
                <w:sz w:val="21"/>
                <w:szCs w:val="21"/>
                <w:highlight w:val="none"/>
              </w:rPr>
              <w:t>截止时间。</w:t>
            </w:r>
          </w:p>
          <w:p w14:paraId="0C5B360F">
            <w:pPr>
              <w:pStyle w:val="17"/>
              <w:spacing w:before="1" w:line="239" w:lineRule="auto"/>
              <w:ind w:left="116" w:right="142" w:firstLine="415"/>
              <w:rPr>
                <w:color w:val="auto"/>
                <w:sz w:val="21"/>
                <w:szCs w:val="21"/>
                <w:highlight w:val="none"/>
              </w:rPr>
            </w:pPr>
            <w:r>
              <w:rPr>
                <w:color w:val="auto"/>
                <w:spacing w:val="-1"/>
                <w:sz w:val="21"/>
                <w:szCs w:val="21"/>
                <w:highlight w:val="none"/>
              </w:rPr>
              <w:t>修改的内容不影响投标文件编制的，将在投标文件递</w:t>
            </w:r>
            <w:r>
              <w:rPr>
                <w:color w:val="auto"/>
                <w:spacing w:val="13"/>
                <w:sz w:val="21"/>
                <w:szCs w:val="21"/>
                <w:highlight w:val="none"/>
              </w:rPr>
              <w:t xml:space="preserve"> </w:t>
            </w:r>
            <w:r>
              <w:rPr>
                <w:color w:val="auto"/>
                <w:spacing w:val="-3"/>
                <w:sz w:val="21"/>
                <w:szCs w:val="21"/>
                <w:highlight w:val="none"/>
              </w:rPr>
              <w:t>交截止时间</w:t>
            </w:r>
            <w:r>
              <w:rPr>
                <w:color w:val="auto"/>
                <w:spacing w:val="-102"/>
                <w:sz w:val="21"/>
                <w:szCs w:val="21"/>
                <w:highlight w:val="none"/>
              </w:rPr>
              <w:t xml:space="preserve"> </w:t>
            </w:r>
            <w:r>
              <w:rPr>
                <w:color w:val="auto"/>
                <w:sz w:val="21"/>
                <w:szCs w:val="21"/>
                <w:highlight w:val="none"/>
                <w:u w:val="single" w:color="auto"/>
              </w:rPr>
              <w:t xml:space="preserve"> </w:t>
            </w:r>
            <w:r>
              <w:rPr>
                <w:rFonts w:hint="eastAsia"/>
                <w:color w:val="auto"/>
                <w:sz w:val="21"/>
                <w:szCs w:val="21"/>
                <w:highlight w:val="none"/>
                <w:u w:val="single" w:color="auto"/>
                <w:lang w:val="en-US" w:eastAsia="zh-CN"/>
              </w:rPr>
              <w:t>7</w:t>
            </w:r>
            <w:r>
              <w:rPr>
                <w:color w:val="auto"/>
                <w:sz w:val="21"/>
                <w:szCs w:val="21"/>
                <w:highlight w:val="none"/>
                <w:u w:val="single" w:color="auto"/>
              </w:rPr>
              <w:t xml:space="preserve"> </w:t>
            </w:r>
            <w:r>
              <w:rPr>
                <w:color w:val="auto"/>
                <w:spacing w:val="-93"/>
                <w:sz w:val="21"/>
                <w:szCs w:val="21"/>
                <w:highlight w:val="none"/>
              </w:rPr>
              <w:t xml:space="preserve"> </w:t>
            </w:r>
            <w:r>
              <w:rPr>
                <w:color w:val="auto"/>
                <w:spacing w:val="-3"/>
                <w:sz w:val="21"/>
                <w:szCs w:val="21"/>
                <w:highlight w:val="none"/>
              </w:rPr>
              <w:t>天前，以上款相同的形式发布。</w:t>
            </w:r>
          </w:p>
          <w:p w14:paraId="6B4B409C">
            <w:pPr>
              <w:pStyle w:val="17"/>
              <w:spacing w:before="2"/>
              <w:ind w:left="113" w:right="44" w:firstLine="418"/>
              <w:jc w:val="both"/>
              <w:rPr>
                <w:color w:val="auto"/>
                <w:sz w:val="21"/>
                <w:szCs w:val="21"/>
                <w:highlight w:val="none"/>
              </w:rPr>
            </w:pPr>
            <w:r>
              <w:rPr>
                <w:color w:val="auto"/>
                <w:spacing w:val="1"/>
                <w:sz w:val="21"/>
                <w:szCs w:val="21"/>
                <w:highlight w:val="none"/>
              </w:rPr>
              <w:t>潜在投标人应自行关注电子招标投标交易平台公告，</w:t>
            </w:r>
            <w:r>
              <w:rPr>
                <w:color w:val="auto"/>
                <w:sz w:val="21"/>
                <w:szCs w:val="21"/>
                <w:highlight w:val="none"/>
              </w:rPr>
              <w:t xml:space="preserve"> </w:t>
            </w:r>
            <w:r>
              <w:rPr>
                <w:color w:val="auto"/>
                <w:spacing w:val="-5"/>
                <w:sz w:val="21"/>
                <w:szCs w:val="21"/>
                <w:highlight w:val="none"/>
              </w:rPr>
              <w:t>招标人不再一一通知。投标人因自身原因导致投标失败的，</w:t>
            </w:r>
            <w:r>
              <w:rPr>
                <w:color w:val="auto"/>
                <w:spacing w:val="7"/>
                <w:sz w:val="21"/>
                <w:szCs w:val="21"/>
                <w:highlight w:val="none"/>
              </w:rPr>
              <w:t xml:space="preserve"> </w:t>
            </w:r>
            <w:r>
              <w:rPr>
                <w:color w:val="auto"/>
                <w:spacing w:val="-7"/>
                <w:sz w:val="21"/>
                <w:szCs w:val="21"/>
                <w:highlight w:val="none"/>
              </w:rPr>
              <w:t>责任自负。</w:t>
            </w:r>
          </w:p>
        </w:tc>
      </w:tr>
      <w:tr w14:paraId="77372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952" w:type="dxa"/>
            <w:tcBorders>
              <w:left w:val="single" w:color="000000" w:sz="6" w:space="0"/>
              <w:bottom w:val="single" w:color="000000" w:sz="6" w:space="0"/>
            </w:tcBorders>
            <w:vAlign w:val="top"/>
          </w:tcPr>
          <w:p w14:paraId="0D813C58">
            <w:pPr>
              <w:spacing w:before="285" w:line="188" w:lineRule="auto"/>
              <w:ind w:left="26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3.1.1</w:t>
            </w:r>
          </w:p>
        </w:tc>
        <w:tc>
          <w:tcPr>
            <w:tcW w:w="2444" w:type="dxa"/>
            <w:tcBorders>
              <w:bottom w:val="single" w:color="000000" w:sz="6" w:space="0"/>
            </w:tcBorders>
            <w:vAlign w:val="top"/>
          </w:tcPr>
          <w:p w14:paraId="73206C67">
            <w:pPr>
              <w:pStyle w:val="17"/>
              <w:spacing w:before="248" w:line="220" w:lineRule="auto"/>
              <w:ind w:left="110"/>
              <w:rPr>
                <w:color w:val="auto"/>
                <w:sz w:val="21"/>
                <w:szCs w:val="21"/>
                <w:highlight w:val="none"/>
              </w:rPr>
            </w:pPr>
            <w:r>
              <w:rPr>
                <w:color w:val="auto"/>
                <w:spacing w:val="-2"/>
                <w:sz w:val="21"/>
                <w:szCs w:val="21"/>
                <w:highlight w:val="none"/>
              </w:rPr>
              <w:t>投标文件成册要求</w:t>
            </w:r>
          </w:p>
        </w:tc>
        <w:tc>
          <w:tcPr>
            <w:tcW w:w="5506" w:type="dxa"/>
            <w:tcBorders>
              <w:bottom w:val="single" w:color="000000" w:sz="6" w:space="0"/>
              <w:right w:val="single" w:color="000000" w:sz="6" w:space="0"/>
            </w:tcBorders>
            <w:vAlign w:val="top"/>
          </w:tcPr>
          <w:p w14:paraId="137F5B55">
            <w:pPr>
              <w:pStyle w:val="17"/>
              <w:spacing w:before="114" w:line="220" w:lineRule="auto"/>
              <w:ind w:left="133"/>
              <w:rPr>
                <w:color w:val="auto"/>
                <w:sz w:val="21"/>
                <w:szCs w:val="21"/>
                <w:highlight w:val="none"/>
              </w:rPr>
            </w:pPr>
            <w:r>
              <w:rPr>
                <w:color w:val="auto"/>
                <w:spacing w:val="-4"/>
                <w:sz w:val="21"/>
                <w:szCs w:val="21"/>
                <w:highlight w:val="none"/>
              </w:rPr>
              <w:t>□ 不需要分别成册</w:t>
            </w:r>
          </w:p>
          <w:p w14:paraId="3FFB1B70">
            <w:pPr>
              <w:pStyle w:val="17"/>
              <w:spacing w:before="22" w:line="220" w:lineRule="auto"/>
              <w:ind w:left="133"/>
              <w:rPr>
                <w:color w:val="auto"/>
                <w:sz w:val="21"/>
                <w:szCs w:val="21"/>
                <w:highlight w:val="none"/>
              </w:rPr>
            </w:pPr>
            <w:r>
              <w:rPr>
                <w:rFonts w:hint="eastAsia"/>
                <w:color w:val="auto"/>
                <w:spacing w:val="-3"/>
                <w:sz w:val="21"/>
                <w:szCs w:val="21"/>
                <w:highlight w:val="none"/>
                <w:lang w:eastAsia="zh-CN"/>
              </w:rPr>
              <w:t>☑</w:t>
            </w:r>
            <w:r>
              <w:rPr>
                <w:color w:val="auto"/>
                <w:spacing w:val="-3"/>
                <w:sz w:val="21"/>
                <w:szCs w:val="21"/>
                <w:highlight w:val="none"/>
              </w:rPr>
              <w:t xml:space="preserve"> 需要分别成册，成册要求为：</w:t>
            </w:r>
            <w:r>
              <w:rPr>
                <w:color w:val="auto"/>
                <w:sz w:val="21"/>
                <w:szCs w:val="21"/>
                <w:highlight w:val="none"/>
                <w:u w:val="single" w:color="auto"/>
              </w:rPr>
              <w:t xml:space="preserve"> </w:t>
            </w:r>
            <w:r>
              <w:rPr>
                <w:rFonts w:ascii="Times New Roman" w:hAnsi="Times New Roman" w:cs="Times New Roman"/>
                <w:color w:val="auto"/>
                <w:sz w:val="21"/>
                <w:szCs w:val="21"/>
                <w:highlight w:val="none"/>
                <w:u w:val="single"/>
                <w:lang w:eastAsia="zh-CN"/>
              </w:rPr>
              <w:t>投标文件根据评标办法由</w:t>
            </w:r>
            <w:r>
              <w:rPr>
                <w:rFonts w:hint="eastAsia" w:ascii="Times New Roman" w:hAnsi="Times New Roman" w:cs="Times New Roman"/>
                <w:color w:val="auto"/>
                <w:sz w:val="21"/>
                <w:szCs w:val="21"/>
                <w:highlight w:val="none"/>
                <w:u w:val="single"/>
                <w:lang w:eastAsia="zh-CN"/>
              </w:rPr>
              <w:t>资格审查资料、</w:t>
            </w:r>
            <w:r>
              <w:rPr>
                <w:rFonts w:ascii="Times New Roman" w:hAnsi="Times New Roman" w:cs="Times New Roman"/>
                <w:color w:val="auto"/>
                <w:sz w:val="21"/>
                <w:szCs w:val="21"/>
                <w:highlight w:val="none"/>
                <w:u w:val="single"/>
                <w:lang w:eastAsia="zh-CN"/>
              </w:rPr>
              <w:t>技术标</w:t>
            </w:r>
            <w:r>
              <w:rPr>
                <w:rFonts w:hint="eastAsia" w:ascii="Times New Roman" w:hAnsi="Times New Roman" w:cs="Times New Roman"/>
                <w:color w:val="auto"/>
                <w:sz w:val="21"/>
                <w:szCs w:val="21"/>
                <w:highlight w:val="none"/>
                <w:u w:val="single"/>
                <w:lang w:eastAsia="zh-CN"/>
              </w:rPr>
              <w:t>、</w:t>
            </w:r>
            <w:r>
              <w:rPr>
                <w:rFonts w:ascii="Times New Roman" w:hAnsi="Times New Roman" w:cs="Times New Roman"/>
                <w:color w:val="auto"/>
                <w:sz w:val="21"/>
                <w:szCs w:val="21"/>
                <w:highlight w:val="none"/>
                <w:u w:val="single"/>
                <w:lang w:eastAsia="zh-CN"/>
              </w:rPr>
              <w:t>商务标、资信标资料组成，</w:t>
            </w:r>
            <w:r>
              <w:rPr>
                <w:rFonts w:hint="eastAsia" w:ascii="Times New Roman" w:hAnsi="Times New Roman" w:cs="Times New Roman"/>
                <w:color w:val="auto"/>
                <w:sz w:val="21"/>
                <w:szCs w:val="21"/>
                <w:highlight w:val="none"/>
                <w:u w:val="single"/>
                <w:lang w:eastAsia="zh-CN"/>
              </w:rPr>
              <w:t>资格审查资料、</w:t>
            </w:r>
            <w:r>
              <w:rPr>
                <w:rFonts w:ascii="Times New Roman" w:hAnsi="Times New Roman" w:cs="Times New Roman"/>
                <w:color w:val="auto"/>
                <w:sz w:val="21"/>
                <w:szCs w:val="21"/>
                <w:highlight w:val="none"/>
                <w:u w:val="single"/>
                <w:lang w:eastAsia="zh-CN"/>
              </w:rPr>
              <w:t>技术标</w:t>
            </w:r>
            <w:r>
              <w:rPr>
                <w:rFonts w:hint="eastAsia" w:ascii="Times New Roman" w:hAnsi="Times New Roman" w:cs="Times New Roman"/>
                <w:color w:val="auto"/>
                <w:sz w:val="21"/>
                <w:szCs w:val="21"/>
                <w:highlight w:val="none"/>
                <w:u w:val="single"/>
                <w:lang w:eastAsia="zh-CN"/>
              </w:rPr>
              <w:t>、</w:t>
            </w:r>
            <w:r>
              <w:rPr>
                <w:rFonts w:ascii="Times New Roman" w:hAnsi="Times New Roman" w:cs="Times New Roman"/>
                <w:color w:val="auto"/>
                <w:sz w:val="21"/>
                <w:szCs w:val="21"/>
                <w:highlight w:val="none"/>
                <w:u w:val="single"/>
                <w:lang w:eastAsia="zh-CN"/>
              </w:rPr>
              <w:t>商务标、资信标分别封装。</w:t>
            </w:r>
            <w:r>
              <w:rPr>
                <w:color w:val="auto"/>
                <w:sz w:val="21"/>
                <w:szCs w:val="21"/>
                <w:highlight w:val="none"/>
                <w:u w:val="single" w:color="auto"/>
              </w:rPr>
              <w:t xml:space="preserve"> </w:t>
            </w:r>
          </w:p>
        </w:tc>
      </w:tr>
    </w:tbl>
    <w:p w14:paraId="739FF400">
      <w:pPr>
        <w:spacing w:line="89" w:lineRule="auto"/>
        <w:rPr>
          <w:rFonts w:ascii="Arial"/>
          <w:color w:val="auto"/>
          <w:sz w:val="2"/>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221"/>
        <w:gridCol w:w="5729"/>
      </w:tblGrid>
      <w:tr w14:paraId="1CFC3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952" w:type="dxa"/>
            <w:tcBorders>
              <w:left w:val="single" w:color="000000" w:sz="6" w:space="0"/>
            </w:tcBorders>
            <w:vAlign w:val="top"/>
          </w:tcPr>
          <w:p w14:paraId="416C1633">
            <w:pPr>
              <w:spacing w:before="271" w:line="188" w:lineRule="auto"/>
              <w:ind w:left="26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3.3.1</w:t>
            </w:r>
          </w:p>
        </w:tc>
        <w:tc>
          <w:tcPr>
            <w:tcW w:w="2221" w:type="dxa"/>
            <w:vAlign w:val="top"/>
          </w:tcPr>
          <w:p w14:paraId="5EED8C3D">
            <w:pPr>
              <w:pStyle w:val="17"/>
              <w:spacing w:before="235" w:line="220" w:lineRule="auto"/>
              <w:ind w:left="110"/>
              <w:rPr>
                <w:color w:val="auto"/>
                <w:sz w:val="21"/>
                <w:szCs w:val="21"/>
                <w:highlight w:val="none"/>
              </w:rPr>
            </w:pPr>
            <w:r>
              <w:rPr>
                <w:color w:val="auto"/>
                <w:spacing w:val="-2"/>
                <w:sz w:val="21"/>
                <w:szCs w:val="21"/>
                <w:highlight w:val="none"/>
              </w:rPr>
              <w:t>投标有效期</w:t>
            </w:r>
          </w:p>
        </w:tc>
        <w:tc>
          <w:tcPr>
            <w:tcW w:w="5729" w:type="dxa"/>
            <w:tcBorders>
              <w:right w:val="single" w:color="000000" w:sz="6" w:space="0"/>
            </w:tcBorders>
            <w:vAlign w:val="top"/>
          </w:tcPr>
          <w:p w14:paraId="1E6FD545">
            <w:pPr>
              <w:pStyle w:val="17"/>
              <w:spacing w:before="235" w:line="220" w:lineRule="auto"/>
              <w:ind w:left="146"/>
              <w:rPr>
                <w:color w:val="auto"/>
                <w:sz w:val="21"/>
                <w:szCs w:val="21"/>
                <w:highlight w:val="none"/>
              </w:rPr>
            </w:pPr>
            <w:r>
              <w:rPr>
                <w:color w:val="auto"/>
                <w:spacing w:val="-4"/>
                <w:sz w:val="21"/>
                <w:szCs w:val="21"/>
                <w:highlight w:val="none"/>
              </w:rPr>
              <w:t>自投标截止时间起生效，有效期为</w:t>
            </w:r>
            <w:r>
              <w:rPr>
                <w:color w:val="auto"/>
                <w:spacing w:val="-103"/>
                <w:sz w:val="21"/>
                <w:szCs w:val="21"/>
                <w:highlight w:val="none"/>
              </w:rPr>
              <w:t xml:space="preserve"> </w:t>
            </w:r>
            <w:r>
              <w:rPr>
                <w:color w:val="auto"/>
                <w:sz w:val="21"/>
                <w:szCs w:val="21"/>
                <w:highlight w:val="none"/>
                <w:u w:val="single" w:color="auto"/>
              </w:rPr>
              <w:t xml:space="preserve"> </w:t>
            </w:r>
            <w:r>
              <w:rPr>
                <w:rFonts w:hint="eastAsia"/>
                <w:color w:val="auto"/>
                <w:sz w:val="21"/>
                <w:szCs w:val="21"/>
                <w:highlight w:val="none"/>
                <w:u w:val="single" w:color="auto"/>
                <w:lang w:val="en-US" w:eastAsia="zh-CN"/>
              </w:rPr>
              <w:t>90</w:t>
            </w:r>
            <w:r>
              <w:rPr>
                <w:color w:val="auto"/>
                <w:sz w:val="21"/>
                <w:szCs w:val="21"/>
                <w:highlight w:val="none"/>
                <w:u w:val="single" w:color="auto"/>
              </w:rPr>
              <w:t xml:space="preserve"> </w:t>
            </w:r>
            <w:r>
              <w:rPr>
                <w:color w:val="auto"/>
                <w:spacing w:val="-92"/>
                <w:sz w:val="21"/>
                <w:szCs w:val="21"/>
                <w:highlight w:val="none"/>
              </w:rPr>
              <w:t xml:space="preserve"> </w:t>
            </w:r>
            <w:r>
              <w:rPr>
                <w:color w:val="auto"/>
                <w:spacing w:val="-4"/>
                <w:sz w:val="21"/>
                <w:szCs w:val="21"/>
                <w:highlight w:val="none"/>
              </w:rPr>
              <w:t>天。</w:t>
            </w:r>
          </w:p>
        </w:tc>
      </w:tr>
      <w:tr w14:paraId="0E536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7" w:hRule="atLeast"/>
        </w:trPr>
        <w:tc>
          <w:tcPr>
            <w:tcW w:w="952" w:type="dxa"/>
            <w:tcBorders>
              <w:left w:val="single" w:color="000000" w:sz="6" w:space="0"/>
            </w:tcBorders>
            <w:vAlign w:val="top"/>
          </w:tcPr>
          <w:p w14:paraId="1AD7EFD3">
            <w:pPr>
              <w:spacing w:line="258" w:lineRule="auto"/>
              <w:rPr>
                <w:rFonts w:ascii="Arial"/>
                <w:color w:val="auto"/>
                <w:sz w:val="21"/>
                <w:highlight w:val="none"/>
              </w:rPr>
            </w:pPr>
          </w:p>
          <w:p w14:paraId="4480A435">
            <w:pPr>
              <w:spacing w:line="258" w:lineRule="auto"/>
              <w:rPr>
                <w:rFonts w:ascii="Arial"/>
                <w:color w:val="auto"/>
                <w:sz w:val="21"/>
                <w:highlight w:val="none"/>
              </w:rPr>
            </w:pPr>
          </w:p>
          <w:p w14:paraId="04A84C0C">
            <w:pPr>
              <w:spacing w:line="258" w:lineRule="auto"/>
              <w:rPr>
                <w:rFonts w:ascii="Arial"/>
                <w:color w:val="auto"/>
                <w:sz w:val="21"/>
                <w:highlight w:val="none"/>
              </w:rPr>
            </w:pPr>
          </w:p>
          <w:p w14:paraId="7C8D9C47">
            <w:pPr>
              <w:spacing w:line="258" w:lineRule="auto"/>
              <w:rPr>
                <w:rFonts w:ascii="Arial"/>
                <w:color w:val="auto"/>
                <w:sz w:val="21"/>
                <w:highlight w:val="none"/>
              </w:rPr>
            </w:pPr>
          </w:p>
          <w:p w14:paraId="0273DA23">
            <w:pPr>
              <w:spacing w:line="258" w:lineRule="auto"/>
              <w:rPr>
                <w:rFonts w:ascii="Arial"/>
                <w:color w:val="auto"/>
                <w:sz w:val="21"/>
                <w:highlight w:val="none"/>
              </w:rPr>
            </w:pPr>
          </w:p>
          <w:p w14:paraId="7BCD92D0">
            <w:pPr>
              <w:spacing w:line="258" w:lineRule="auto"/>
              <w:rPr>
                <w:rFonts w:ascii="Arial"/>
                <w:color w:val="auto"/>
                <w:sz w:val="21"/>
                <w:highlight w:val="none"/>
              </w:rPr>
            </w:pPr>
          </w:p>
          <w:p w14:paraId="18084578">
            <w:pPr>
              <w:spacing w:line="258" w:lineRule="auto"/>
              <w:rPr>
                <w:rFonts w:ascii="Arial"/>
                <w:color w:val="auto"/>
                <w:sz w:val="21"/>
                <w:highlight w:val="none"/>
              </w:rPr>
            </w:pPr>
          </w:p>
          <w:p w14:paraId="0E57FD49">
            <w:pPr>
              <w:spacing w:line="258" w:lineRule="auto"/>
              <w:rPr>
                <w:rFonts w:ascii="Arial"/>
                <w:color w:val="auto"/>
                <w:sz w:val="21"/>
                <w:highlight w:val="none"/>
              </w:rPr>
            </w:pPr>
          </w:p>
          <w:p w14:paraId="73049156">
            <w:pPr>
              <w:spacing w:line="258" w:lineRule="auto"/>
              <w:rPr>
                <w:rFonts w:ascii="Arial"/>
                <w:color w:val="auto"/>
                <w:sz w:val="21"/>
                <w:highlight w:val="none"/>
              </w:rPr>
            </w:pPr>
          </w:p>
          <w:p w14:paraId="2CD26783">
            <w:pPr>
              <w:spacing w:line="258" w:lineRule="auto"/>
              <w:rPr>
                <w:rFonts w:ascii="Arial"/>
                <w:color w:val="auto"/>
                <w:sz w:val="21"/>
                <w:highlight w:val="none"/>
              </w:rPr>
            </w:pPr>
          </w:p>
          <w:p w14:paraId="459AF8E8">
            <w:pPr>
              <w:spacing w:before="61" w:line="188" w:lineRule="auto"/>
              <w:ind w:left="26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3.4.1</w:t>
            </w:r>
          </w:p>
        </w:tc>
        <w:tc>
          <w:tcPr>
            <w:tcW w:w="2221" w:type="dxa"/>
            <w:vAlign w:val="top"/>
          </w:tcPr>
          <w:p w14:paraId="49080238">
            <w:pPr>
              <w:spacing w:line="253" w:lineRule="auto"/>
              <w:rPr>
                <w:rFonts w:ascii="Arial"/>
                <w:color w:val="auto"/>
                <w:sz w:val="21"/>
                <w:highlight w:val="none"/>
              </w:rPr>
            </w:pPr>
          </w:p>
          <w:p w14:paraId="2F114A50">
            <w:pPr>
              <w:spacing w:line="253" w:lineRule="auto"/>
              <w:rPr>
                <w:rFonts w:ascii="Arial"/>
                <w:color w:val="auto"/>
                <w:sz w:val="21"/>
                <w:highlight w:val="none"/>
              </w:rPr>
            </w:pPr>
          </w:p>
          <w:p w14:paraId="2663A332">
            <w:pPr>
              <w:spacing w:line="253" w:lineRule="auto"/>
              <w:rPr>
                <w:rFonts w:ascii="Arial"/>
                <w:color w:val="auto"/>
                <w:sz w:val="21"/>
                <w:highlight w:val="none"/>
              </w:rPr>
            </w:pPr>
          </w:p>
          <w:p w14:paraId="76FC17D1">
            <w:pPr>
              <w:spacing w:line="253" w:lineRule="auto"/>
              <w:rPr>
                <w:rFonts w:ascii="Arial"/>
                <w:color w:val="auto"/>
                <w:sz w:val="21"/>
                <w:highlight w:val="none"/>
              </w:rPr>
            </w:pPr>
          </w:p>
          <w:p w14:paraId="54A9AE82">
            <w:pPr>
              <w:spacing w:line="254" w:lineRule="auto"/>
              <w:rPr>
                <w:rFonts w:ascii="Arial"/>
                <w:color w:val="auto"/>
                <w:sz w:val="21"/>
                <w:highlight w:val="none"/>
              </w:rPr>
            </w:pPr>
          </w:p>
          <w:p w14:paraId="2007FFB6">
            <w:pPr>
              <w:spacing w:line="254" w:lineRule="auto"/>
              <w:rPr>
                <w:rFonts w:ascii="Arial"/>
                <w:color w:val="auto"/>
                <w:sz w:val="21"/>
                <w:highlight w:val="none"/>
              </w:rPr>
            </w:pPr>
          </w:p>
          <w:p w14:paraId="600B45F6">
            <w:pPr>
              <w:spacing w:line="254" w:lineRule="auto"/>
              <w:rPr>
                <w:rFonts w:ascii="Arial"/>
                <w:color w:val="auto"/>
                <w:sz w:val="21"/>
                <w:highlight w:val="none"/>
              </w:rPr>
            </w:pPr>
          </w:p>
          <w:p w14:paraId="2AD8EB3F">
            <w:pPr>
              <w:spacing w:line="254" w:lineRule="auto"/>
              <w:rPr>
                <w:rFonts w:ascii="Arial"/>
                <w:color w:val="auto"/>
                <w:sz w:val="21"/>
                <w:highlight w:val="none"/>
              </w:rPr>
            </w:pPr>
          </w:p>
          <w:p w14:paraId="2A6DCFC9">
            <w:pPr>
              <w:spacing w:line="254" w:lineRule="auto"/>
              <w:rPr>
                <w:rFonts w:ascii="Arial"/>
                <w:color w:val="auto"/>
                <w:sz w:val="21"/>
                <w:highlight w:val="none"/>
              </w:rPr>
            </w:pPr>
          </w:p>
          <w:p w14:paraId="2215C479">
            <w:pPr>
              <w:spacing w:line="254" w:lineRule="auto"/>
              <w:rPr>
                <w:rFonts w:ascii="Arial"/>
                <w:color w:val="auto"/>
                <w:sz w:val="21"/>
                <w:highlight w:val="none"/>
              </w:rPr>
            </w:pPr>
          </w:p>
          <w:p w14:paraId="35285D00">
            <w:pPr>
              <w:pStyle w:val="17"/>
              <w:spacing w:before="69" w:line="220" w:lineRule="auto"/>
              <w:ind w:left="110"/>
              <w:rPr>
                <w:color w:val="auto"/>
                <w:sz w:val="21"/>
                <w:szCs w:val="21"/>
                <w:highlight w:val="none"/>
              </w:rPr>
            </w:pPr>
            <w:r>
              <w:rPr>
                <w:color w:val="auto"/>
                <w:spacing w:val="-2"/>
                <w:sz w:val="21"/>
                <w:szCs w:val="21"/>
                <w:highlight w:val="none"/>
              </w:rPr>
              <w:t>投标保证金</w:t>
            </w:r>
          </w:p>
        </w:tc>
        <w:tc>
          <w:tcPr>
            <w:tcW w:w="5729" w:type="dxa"/>
            <w:tcBorders>
              <w:right w:val="single" w:color="000000" w:sz="6" w:space="0"/>
            </w:tcBorders>
            <w:vAlign w:val="top"/>
          </w:tcPr>
          <w:p w14:paraId="0DA5DF05">
            <w:pPr>
              <w:pStyle w:val="17"/>
              <w:spacing w:before="33" w:line="220" w:lineRule="auto"/>
              <w:ind w:left="239"/>
              <w:rPr>
                <w:color w:val="auto"/>
                <w:sz w:val="21"/>
                <w:szCs w:val="21"/>
                <w:highlight w:val="none"/>
              </w:rPr>
            </w:pPr>
            <w:r>
              <w:rPr>
                <w:color w:val="auto"/>
                <w:spacing w:val="-4"/>
                <w:sz w:val="21"/>
                <w:szCs w:val="21"/>
                <w:highlight w:val="none"/>
              </w:rPr>
              <w:t>□</w:t>
            </w:r>
            <w:r>
              <w:rPr>
                <w:b/>
                <w:bCs/>
                <w:color w:val="auto"/>
                <w:spacing w:val="-4"/>
                <w:sz w:val="21"/>
                <w:szCs w:val="21"/>
                <w:highlight w:val="none"/>
              </w:rPr>
              <w:t>不要求递交投标保证金。</w:t>
            </w:r>
          </w:p>
          <w:p w14:paraId="01C9425B">
            <w:pPr>
              <w:pStyle w:val="17"/>
              <w:spacing w:before="22" w:line="220" w:lineRule="auto"/>
              <w:ind w:left="239"/>
              <w:rPr>
                <w:color w:val="auto"/>
                <w:sz w:val="21"/>
                <w:szCs w:val="21"/>
                <w:highlight w:val="none"/>
              </w:rPr>
            </w:pPr>
            <w:r>
              <w:rPr>
                <w:rFonts w:hint="eastAsia"/>
                <w:color w:val="auto"/>
                <w:spacing w:val="-5"/>
                <w:sz w:val="21"/>
                <w:szCs w:val="21"/>
                <w:highlight w:val="none"/>
                <w:lang w:eastAsia="zh-CN"/>
              </w:rPr>
              <w:t>☑</w:t>
            </w:r>
            <w:r>
              <w:rPr>
                <w:b/>
                <w:bCs/>
                <w:color w:val="auto"/>
                <w:spacing w:val="-5"/>
                <w:sz w:val="21"/>
                <w:szCs w:val="21"/>
                <w:highlight w:val="none"/>
              </w:rPr>
              <w:t>要求递交投标保证金。</w:t>
            </w:r>
          </w:p>
          <w:p w14:paraId="4B8E5FD9">
            <w:pPr>
              <w:pStyle w:val="17"/>
              <w:spacing w:before="22" w:line="229" w:lineRule="auto"/>
              <w:ind w:left="113" w:right="141" w:firstLine="127"/>
              <w:rPr>
                <w:strike/>
                <w:dstrike w:val="0"/>
                <w:color w:val="auto"/>
                <w:sz w:val="21"/>
                <w:szCs w:val="21"/>
                <w:highlight w:val="none"/>
              </w:rPr>
            </w:pPr>
            <w:r>
              <w:rPr>
                <w:strike/>
                <w:dstrike w:val="0"/>
                <w:color w:val="auto"/>
                <w:spacing w:val="-2"/>
                <w:sz w:val="21"/>
                <w:szCs w:val="21"/>
                <w:highlight w:val="none"/>
              </w:rPr>
              <w:t>□全国水利建设市场监管服务平台公布的企业信用评价</w:t>
            </w:r>
            <w:r>
              <w:rPr>
                <w:strike/>
                <w:dstrike w:val="0"/>
                <w:color w:val="auto"/>
                <w:spacing w:val="8"/>
                <w:sz w:val="21"/>
                <w:szCs w:val="21"/>
                <w:highlight w:val="none"/>
              </w:rPr>
              <w:t xml:space="preserve">  </w:t>
            </w:r>
            <w:r>
              <w:rPr>
                <w:strike/>
                <w:dstrike w:val="0"/>
                <w:color w:val="auto"/>
                <w:spacing w:val="-2"/>
                <w:sz w:val="21"/>
                <w:szCs w:val="21"/>
                <w:highlight w:val="none"/>
              </w:rPr>
              <w:t>等级（施工类）AAA</w:t>
            </w:r>
            <w:r>
              <w:rPr>
                <w:strike/>
                <w:dstrike w:val="0"/>
                <w:color w:val="auto"/>
                <w:spacing w:val="41"/>
                <w:sz w:val="21"/>
                <w:szCs w:val="21"/>
                <w:highlight w:val="none"/>
              </w:rPr>
              <w:t xml:space="preserve"> </w:t>
            </w:r>
            <w:r>
              <w:rPr>
                <w:strike/>
                <w:dstrike w:val="0"/>
                <w:color w:val="auto"/>
                <w:spacing w:val="-2"/>
                <w:sz w:val="21"/>
                <w:szCs w:val="21"/>
                <w:highlight w:val="none"/>
              </w:rPr>
              <w:t>□浙江省水利建设市场信用评价等级</w:t>
            </w:r>
            <w:r>
              <w:rPr>
                <w:strike/>
                <w:dstrike w:val="0"/>
                <w:color w:val="auto"/>
                <w:sz w:val="21"/>
                <w:szCs w:val="21"/>
                <w:highlight w:val="none"/>
              </w:rPr>
              <w:t xml:space="preserve"> </w:t>
            </w:r>
            <w:r>
              <w:rPr>
                <w:strike/>
                <w:dstrike w:val="0"/>
                <w:color w:val="auto"/>
                <w:spacing w:val="-10"/>
                <w:sz w:val="21"/>
                <w:szCs w:val="21"/>
                <w:highlight w:val="none"/>
              </w:rPr>
              <w:t xml:space="preserve">（施工类）A级的投标人( </w:t>
            </w:r>
            <w:r>
              <w:rPr>
                <w:i/>
                <w:iCs/>
                <w:strike/>
                <w:dstrike w:val="0"/>
                <w:color w:val="auto"/>
                <w:spacing w:val="-10"/>
                <w:sz w:val="22"/>
                <w:szCs w:val="22"/>
                <w:highlight w:val="none"/>
              </w:rPr>
              <w:t>与评标办法中资信评审</w:t>
            </w:r>
            <w:r>
              <w:rPr>
                <w:i/>
                <w:iCs/>
                <w:strike/>
                <w:dstrike w:val="0"/>
                <w:color w:val="auto"/>
                <w:spacing w:val="-11"/>
                <w:sz w:val="22"/>
                <w:szCs w:val="22"/>
                <w:highlight w:val="none"/>
              </w:rPr>
              <w:t>选用的企</w:t>
            </w:r>
            <w:r>
              <w:rPr>
                <w:strike/>
                <w:dstrike w:val="0"/>
                <w:color w:val="auto"/>
                <w:sz w:val="22"/>
                <w:szCs w:val="22"/>
                <w:highlight w:val="none"/>
              </w:rPr>
              <w:t xml:space="preserve"> </w:t>
            </w:r>
            <w:r>
              <w:rPr>
                <w:i/>
                <w:iCs/>
                <w:strike/>
                <w:dstrike w:val="0"/>
                <w:color w:val="auto"/>
                <w:spacing w:val="-7"/>
                <w:sz w:val="22"/>
                <w:szCs w:val="22"/>
                <w:highlight w:val="none"/>
              </w:rPr>
              <w:t>业信用等级相对应</w:t>
            </w:r>
            <w:r>
              <w:rPr>
                <w:strike/>
                <w:dstrike w:val="0"/>
                <w:color w:val="auto"/>
                <w:spacing w:val="-7"/>
                <w:sz w:val="21"/>
                <w:szCs w:val="21"/>
                <w:highlight w:val="none"/>
              </w:rPr>
              <w:t>)，可免交投标保证金。</w:t>
            </w:r>
          </w:p>
          <w:p w14:paraId="09D0795B">
            <w:pPr>
              <w:pStyle w:val="17"/>
              <w:spacing w:before="21" w:line="239" w:lineRule="auto"/>
              <w:ind w:left="123" w:right="103" w:firstLine="203"/>
              <w:rPr>
                <w:color w:val="auto"/>
                <w:spacing w:val="1"/>
                <w:sz w:val="21"/>
                <w:szCs w:val="21"/>
                <w:highlight w:val="none"/>
              </w:rPr>
            </w:pPr>
            <w:r>
              <w:rPr>
                <w:color w:val="auto"/>
                <w:spacing w:val="1"/>
                <w:sz w:val="21"/>
                <w:szCs w:val="21"/>
                <w:highlight w:val="none"/>
              </w:rPr>
              <w:t>投标保证金的形式：</w:t>
            </w:r>
            <w:r>
              <w:rPr>
                <w:rFonts w:hint="eastAsia"/>
                <w:color w:val="auto"/>
                <w:spacing w:val="1"/>
                <w:sz w:val="21"/>
                <w:szCs w:val="21"/>
                <w:highlight w:val="none"/>
              </w:rPr>
              <w:t>银行保函/保证保险/担保公司担保/转账/数字保函（从基本账户转出）</w:t>
            </w:r>
          </w:p>
          <w:p w14:paraId="43B95D58">
            <w:pPr>
              <w:pStyle w:val="17"/>
              <w:spacing w:before="1" w:line="228" w:lineRule="auto"/>
              <w:ind w:left="147" w:right="77" w:firstLine="176"/>
              <w:rPr>
                <w:color w:val="auto"/>
                <w:sz w:val="21"/>
                <w:szCs w:val="21"/>
                <w:highlight w:val="none"/>
              </w:rPr>
            </w:pPr>
            <w:r>
              <w:rPr>
                <w:color w:val="auto"/>
                <w:spacing w:val="-7"/>
                <w:sz w:val="21"/>
                <w:szCs w:val="21"/>
                <w:highlight w:val="none"/>
              </w:rPr>
              <w:t>投标保证金的金额：人民币（大写）</w:t>
            </w:r>
            <w:r>
              <w:rPr>
                <w:color w:val="auto"/>
                <w:spacing w:val="-7"/>
                <w:sz w:val="21"/>
                <w:szCs w:val="21"/>
                <w:highlight w:val="none"/>
                <w:u w:val="single" w:color="auto"/>
              </w:rPr>
              <w:t xml:space="preserve">  </w:t>
            </w:r>
            <w:r>
              <w:rPr>
                <w:rFonts w:hint="eastAsia"/>
                <w:color w:val="auto"/>
                <w:spacing w:val="-7"/>
                <w:sz w:val="21"/>
                <w:szCs w:val="21"/>
                <w:highlight w:val="none"/>
                <w:u w:val="single" w:color="auto"/>
                <w:lang w:val="en-US" w:eastAsia="zh-CN"/>
              </w:rPr>
              <w:t>40万</w:t>
            </w:r>
            <w:r>
              <w:rPr>
                <w:color w:val="auto"/>
                <w:spacing w:val="-7"/>
                <w:sz w:val="21"/>
                <w:szCs w:val="21"/>
                <w:highlight w:val="none"/>
                <w:u w:val="single" w:color="auto"/>
              </w:rPr>
              <w:t xml:space="preserve">  </w:t>
            </w:r>
            <w:r>
              <w:rPr>
                <w:color w:val="auto"/>
                <w:spacing w:val="-79"/>
                <w:sz w:val="21"/>
                <w:szCs w:val="21"/>
                <w:highlight w:val="none"/>
              </w:rPr>
              <w:t xml:space="preserve"> </w:t>
            </w:r>
            <w:r>
              <w:rPr>
                <w:color w:val="auto"/>
                <w:spacing w:val="-7"/>
                <w:sz w:val="21"/>
                <w:szCs w:val="21"/>
                <w:highlight w:val="none"/>
              </w:rPr>
              <w:t>元整（</w:t>
            </w:r>
            <w:r>
              <w:rPr>
                <w:i/>
                <w:iCs/>
                <w:color w:val="auto"/>
                <w:spacing w:val="-7"/>
                <w:sz w:val="22"/>
                <w:szCs w:val="22"/>
                <w:highlight w:val="none"/>
              </w:rPr>
              <w:t>最高</w:t>
            </w:r>
            <w:r>
              <w:rPr>
                <w:i/>
                <w:iCs/>
                <w:color w:val="auto"/>
                <w:spacing w:val="-9"/>
                <w:sz w:val="22"/>
                <w:szCs w:val="22"/>
                <w:highlight w:val="none"/>
              </w:rPr>
              <w:t>不得超过</w:t>
            </w:r>
            <w:r>
              <w:rPr>
                <w:rFonts w:ascii="Times New Roman" w:hAnsi="Times New Roman" w:eastAsia="Times New Roman" w:cs="Times New Roman"/>
                <w:i/>
                <w:iCs/>
                <w:color w:val="auto"/>
                <w:spacing w:val="-9"/>
                <w:sz w:val="21"/>
                <w:szCs w:val="21"/>
                <w:highlight w:val="none"/>
              </w:rPr>
              <w:t>50</w:t>
            </w:r>
            <w:r>
              <w:rPr>
                <w:i/>
                <w:iCs/>
                <w:color w:val="auto"/>
                <w:spacing w:val="-9"/>
                <w:sz w:val="22"/>
                <w:szCs w:val="22"/>
                <w:highlight w:val="none"/>
              </w:rPr>
              <w:t>万元</w:t>
            </w:r>
            <w:r>
              <w:rPr>
                <w:color w:val="auto"/>
                <w:spacing w:val="-9"/>
                <w:sz w:val="21"/>
                <w:szCs w:val="21"/>
                <w:highlight w:val="none"/>
              </w:rPr>
              <w:t>）</w:t>
            </w:r>
          </w:p>
          <w:p w14:paraId="5F1DC369">
            <w:pPr>
              <w:pStyle w:val="18"/>
              <w:kinsoku w:val="0"/>
              <w:snapToGrid w:val="0"/>
              <w:rPr>
                <w:i/>
                <w:color w:val="auto"/>
                <w:sz w:val="21"/>
                <w:szCs w:val="21"/>
                <w:highlight w:val="none"/>
                <w:u w:val="single"/>
              </w:rPr>
            </w:pPr>
            <w:r>
              <w:rPr>
                <w:rStyle w:val="19"/>
                <w:rFonts w:hint="eastAsia" w:ascii="宋体" w:hAnsi="宋体"/>
                <w:color w:val="auto"/>
                <w:sz w:val="21"/>
                <w:szCs w:val="21"/>
                <w:highlight w:val="none"/>
              </w:rPr>
              <w:t>（1）</w:t>
            </w:r>
            <w:r>
              <w:rPr>
                <w:rStyle w:val="19"/>
                <w:rFonts w:hint="eastAsia" w:ascii="宋体" w:hAnsi="宋体" w:eastAsia="宋体"/>
                <w:color w:val="auto"/>
                <w:sz w:val="21"/>
                <w:szCs w:val="21"/>
                <w:highlight w:val="none"/>
                <w:lang w:val="en-US" w:eastAsia="zh-CN"/>
              </w:rPr>
              <w:t>收取投标保证金账户：投标人基本账户开具的银行票据，即汇票、电汇、转账支票等（不包括现金）。保证金需一次性足额缴纳，不可多转、少转或分多笔转入。</w:t>
            </w:r>
          </w:p>
          <w:p w14:paraId="42783672">
            <w:pPr>
              <w:pStyle w:val="13"/>
              <w:widowControl w:val="0"/>
              <w:kinsoku w:val="0"/>
              <w:wordWrap w:val="0"/>
              <w:autoSpaceDE w:val="0"/>
              <w:autoSpaceDN w:val="0"/>
              <w:adjustRightInd w:val="0"/>
              <w:snapToGrid w:val="0"/>
              <w:spacing w:before="0" w:beforeAutospacing="0" w:after="0" w:afterAutospacing="0" w:line="300" w:lineRule="auto"/>
              <w:ind w:firstLine="420" w:firstLineChars="200"/>
              <w:rPr>
                <w:rFonts w:cs="宋体"/>
                <w:color w:val="auto"/>
                <w:highlight w:val="none"/>
                <w:u w:val="single"/>
                <w:lang w:bidi="ar"/>
              </w:rPr>
            </w:pPr>
            <w:r>
              <w:rPr>
                <w:rFonts w:cs="宋体"/>
                <w:color w:val="auto"/>
                <w:highlight w:val="none"/>
                <w:u w:val="single"/>
                <w:lang w:bidi="ar"/>
              </w:rPr>
              <w:t>账户一：</w:t>
            </w:r>
          </w:p>
          <w:p w14:paraId="34E90D25">
            <w:pPr>
              <w:pStyle w:val="13"/>
              <w:widowControl w:val="0"/>
              <w:kinsoku w:val="0"/>
              <w:wordWrap w:val="0"/>
              <w:autoSpaceDE w:val="0"/>
              <w:autoSpaceDN w:val="0"/>
              <w:adjustRightInd w:val="0"/>
              <w:snapToGrid w:val="0"/>
              <w:spacing w:before="0" w:beforeAutospacing="0" w:after="0" w:afterAutospacing="0" w:line="300" w:lineRule="auto"/>
              <w:ind w:left="420" w:leftChars="200"/>
              <w:rPr>
                <w:rFonts w:cs="宋体"/>
                <w:color w:val="auto"/>
                <w:highlight w:val="none"/>
                <w:u w:val="single"/>
                <w:lang w:bidi="ar"/>
              </w:rPr>
            </w:pPr>
            <w:r>
              <w:rPr>
                <w:rFonts w:cs="宋体"/>
                <w:color w:val="auto"/>
                <w:highlight w:val="none"/>
                <w:u w:val="single"/>
                <w:lang w:bidi="ar"/>
              </w:rPr>
              <w:t>开户单位名称：</w:t>
            </w:r>
            <w:r>
              <w:rPr>
                <w:rFonts w:cs="宋体"/>
                <w:color w:val="auto"/>
                <w:highlight w:val="none"/>
                <w:u w:val="single"/>
                <w:lang w:eastAsia="zh-CN" w:bidi="ar"/>
              </w:rPr>
              <w:t>绍兴市公共资源交易中心越城区分中心保证金专户</w:t>
            </w:r>
            <w:r>
              <w:rPr>
                <w:rFonts w:cs="宋体"/>
                <w:color w:val="auto"/>
                <w:highlight w:val="none"/>
                <w:u w:val="single"/>
                <w:lang w:bidi="ar"/>
              </w:rPr>
              <w:t>，</w:t>
            </w:r>
          </w:p>
          <w:p w14:paraId="55236DE1">
            <w:pPr>
              <w:pStyle w:val="13"/>
              <w:widowControl w:val="0"/>
              <w:kinsoku w:val="0"/>
              <w:wordWrap w:val="0"/>
              <w:autoSpaceDE w:val="0"/>
              <w:autoSpaceDN w:val="0"/>
              <w:adjustRightInd w:val="0"/>
              <w:snapToGrid w:val="0"/>
              <w:spacing w:before="0" w:beforeAutospacing="0" w:after="0" w:afterAutospacing="0" w:line="300" w:lineRule="auto"/>
              <w:ind w:left="420" w:leftChars="200"/>
              <w:rPr>
                <w:rFonts w:cs="宋体"/>
                <w:color w:val="auto"/>
                <w:highlight w:val="none"/>
                <w:u w:val="single"/>
                <w:lang w:bidi="ar"/>
              </w:rPr>
            </w:pPr>
            <w:r>
              <w:rPr>
                <w:rFonts w:cs="宋体"/>
                <w:color w:val="auto"/>
                <w:highlight w:val="none"/>
                <w:u w:val="single"/>
                <w:lang w:bidi="ar"/>
              </w:rPr>
              <w:t>开户行:</w:t>
            </w:r>
            <w:r>
              <w:rPr>
                <w:rFonts w:cs="宋体"/>
                <w:color w:val="auto"/>
                <w:highlight w:val="none"/>
                <w:u w:val="single"/>
                <w:lang w:val="en-US" w:eastAsia="zh-CN" w:bidi="ar"/>
              </w:rPr>
              <w:t xml:space="preserve">恒信农商银行城东支行 </w:t>
            </w:r>
            <w:r>
              <w:rPr>
                <w:rFonts w:cs="宋体"/>
                <w:color w:val="auto"/>
                <w:highlight w:val="none"/>
                <w:u w:val="single"/>
                <w:lang w:bidi="ar"/>
              </w:rPr>
              <w:t>，</w:t>
            </w:r>
          </w:p>
          <w:p w14:paraId="6529167C">
            <w:pPr>
              <w:pStyle w:val="13"/>
              <w:widowControl w:val="0"/>
              <w:kinsoku w:val="0"/>
              <w:wordWrap w:val="0"/>
              <w:autoSpaceDE w:val="0"/>
              <w:autoSpaceDN w:val="0"/>
              <w:adjustRightInd w:val="0"/>
              <w:snapToGrid w:val="0"/>
              <w:spacing w:before="0" w:beforeAutospacing="0" w:after="0" w:afterAutospacing="0" w:line="300" w:lineRule="auto"/>
              <w:ind w:left="420" w:leftChars="200"/>
              <w:rPr>
                <w:rFonts w:hint="default" w:cs="宋体"/>
                <w:color w:val="auto"/>
                <w:highlight w:val="none"/>
                <w:u w:val="single"/>
              </w:rPr>
            </w:pPr>
            <w:r>
              <w:rPr>
                <w:rFonts w:cs="宋体"/>
                <w:color w:val="auto"/>
                <w:highlight w:val="none"/>
                <w:u w:val="single"/>
                <w:lang w:bidi="ar"/>
              </w:rPr>
              <w:t xml:space="preserve">账号：                 </w:t>
            </w:r>
          </w:p>
          <w:p w14:paraId="64DD3F29">
            <w:pPr>
              <w:pStyle w:val="13"/>
              <w:widowControl w:val="0"/>
              <w:kinsoku w:val="0"/>
              <w:wordWrap w:val="0"/>
              <w:autoSpaceDE w:val="0"/>
              <w:autoSpaceDN w:val="0"/>
              <w:adjustRightInd w:val="0"/>
              <w:snapToGrid w:val="0"/>
              <w:spacing w:before="0" w:beforeAutospacing="0" w:after="0" w:afterAutospacing="0" w:line="300" w:lineRule="auto"/>
              <w:ind w:firstLine="420" w:firstLineChars="200"/>
              <w:rPr>
                <w:rFonts w:cs="宋体"/>
                <w:color w:val="auto"/>
                <w:highlight w:val="none"/>
                <w:u w:val="single"/>
                <w:lang w:bidi="ar"/>
              </w:rPr>
            </w:pPr>
            <w:r>
              <w:rPr>
                <w:rFonts w:cs="宋体"/>
                <w:color w:val="auto"/>
                <w:highlight w:val="none"/>
                <w:u w:val="single"/>
                <w:lang w:bidi="ar"/>
              </w:rPr>
              <w:t>账户二：</w:t>
            </w:r>
          </w:p>
          <w:p w14:paraId="3FC9A06E">
            <w:pPr>
              <w:pStyle w:val="13"/>
              <w:widowControl w:val="0"/>
              <w:kinsoku w:val="0"/>
              <w:wordWrap w:val="0"/>
              <w:autoSpaceDE w:val="0"/>
              <w:autoSpaceDN w:val="0"/>
              <w:adjustRightInd w:val="0"/>
              <w:snapToGrid w:val="0"/>
              <w:spacing w:before="0" w:beforeAutospacing="0" w:after="0" w:afterAutospacing="0" w:line="300" w:lineRule="auto"/>
              <w:ind w:left="420" w:leftChars="200"/>
              <w:rPr>
                <w:rFonts w:cs="宋体"/>
                <w:color w:val="auto"/>
                <w:highlight w:val="none"/>
                <w:u w:val="single"/>
                <w:lang w:bidi="ar"/>
              </w:rPr>
            </w:pPr>
            <w:r>
              <w:rPr>
                <w:rFonts w:cs="宋体"/>
                <w:color w:val="auto"/>
                <w:highlight w:val="none"/>
                <w:u w:val="single"/>
                <w:lang w:bidi="ar"/>
              </w:rPr>
              <w:t>开户单位名称：</w:t>
            </w:r>
            <w:r>
              <w:rPr>
                <w:rFonts w:cs="宋体"/>
                <w:color w:val="auto"/>
                <w:highlight w:val="none"/>
                <w:u w:val="single"/>
                <w:lang w:eastAsia="zh-CN" w:bidi="ar"/>
              </w:rPr>
              <w:t>绍兴市公共资源交易中心越城区分中心保证金专户</w:t>
            </w:r>
            <w:r>
              <w:rPr>
                <w:rFonts w:cs="宋体"/>
                <w:color w:val="auto"/>
                <w:highlight w:val="none"/>
                <w:u w:val="single"/>
                <w:lang w:bidi="ar"/>
              </w:rPr>
              <w:t>，</w:t>
            </w:r>
          </w:p>
          <w:p w14:paraId="4F748F5E">
            <w:pPr>
              <w:pStyle w:val="13"/>
              <w:widowControl w:val="0"/>
              <w:kinsoku w:val="0"/>
              <w:wordWrap w:val="0"/>
              <w:autoSpaceDE w:val="0"/>
              <w:autoSpaceDN w:val="0"/>
              <w:adjustRightInd w:val="0"/>
              <w:snapToGrid w:val="0"/>
              <w:spacing w:before="0" w:beforeAutospacing="0" w:after="0" w:afterAutospacing="0" w:line="300" w:lineRule="auto"/>
              <w:ind w:left="420" w:leftChars="200"/>
              <w:rPr>
                <w:rFonts w:cs="宋体"/>
                <w:color w:val="auto"/>
                <w:highlight w:val="none"/>
                <w:u w:val="single"/>
                <w:lang w:bidi="ar"/>
              </w:rPr>
            </w:pPr>
            <w:r>
              <w:rPr>
                <w:rFonts w:cs="宋体"/>
                <w:color w:val="auto"/>
                <w:highlight w:val="none"/>
                <w:u w:val="single"/>
                <w:lang w:bidi="ar"/>
              </w:rPr>
              <w:t>开户行:</w:t>
            </w:r>
            <w:r>
              <w:rPr>
                <w:rFonts w:cs="宋体"/>
                <w:color w:val="auto"/>
                <w:highlight w:val="none"/>
                <w:u w:val="single"/>
                <w:lang w:val="en-US" w:eastAsia="zh-CN" w:bidi="ar"/>
              </w:rPr>
              <w:t>中国农业银行股份有限公司绍兴越城支行</w:t>
            </w:r>
            <w:r>
              <w:rPr>
                <w:rFonts w:cs="宋体"/>
                <w:color w:val="auto"/>
                <w:highlight w:val="none"/>
                <w:u w:val="single"/>
                <w:lang w:bidi="ar"/>
              </w:rPr>
              <w:t>，</w:t>
            </w:r>
          </w:p>
          <w:p w14:paraId="5A55F555">
            <w:pPr>
              <w:pStyle w:val="13"/>
              <w:widowControl w:val="0"/>
              <w:kinsoku w:val="0"/>
              <w:wordWrap w:val="0"/>
              <w:autoSpaceDE w:val="0"/>
              <w:autoSpaceDN w:val="0"/>
              <w:adjustRightInd w:val="0"/>
              <w:snapToGrid w:val="0"/>
              <w:spacing w:before="0" w:beforeAutospacing="0" w:after="0" w:afterAutospacing="0" w:line="300" w:lineRule="auto"/>
              <w:ind w:firstLine="420" w:firstLineChars="200"/>
              <w:rPr>
                <w:rFonts w:hint="default" w:cs="宋体"/>
                <w:color w:val="auto"/>
                <w:highlight w:val="none"/>
                <w:u w:val="single"/>
              </w:rPr>
            </w:pPr>
            <w:r>
              <w:rPr>
                <w:rFonts w:cs="宋体"/>
                <w:color w:val="auto"/>
                <w:highlight w:val="none"/>
                <w:u w:val="single"/>
                <w:lang w:bidi="ar"/>
              </w:rPr>
              <w:t xml:space="preserve">账号：                     </w:t>
            </w:r>
          </w:p>
          <w:p w14:paraId="5CEA378B">
            <w:pPr>
              <w:widowControl/>
              <w:ind w:firstLine="420" w:firstLineChars="200"/>
              <w:rPr>
                <w:rFonts w:hint="eastAsia" w:ascii="宋体" w:hAnsi="宋体"/>
                <w:color w:val="auto"/>
                <w:highlight w:val="none"/>
                <w:lang w:bidi="ar"/>
              </w:rPr>
            </w:pPr>
            <w:r>
              <w:rPr>
                <w:rFonts w:hint="eastAsia" w:ascii="宋体" w:hAnsi="宋体"/>
                <w:color w:val="auto"/>
                <w:highlight w:val="none"/>
                <w:u w:val="single"/>
                <w:lang w:bidi="ar"/>
              </w:rPr>
              <w:t xml:space="preserve">投标人可自主选择以上账户之一缴纳投标保证金 </w:t>
            </w:r>
            <w:r>
              <w:rPr>
                <w:rFonts w:hint="eastAsia" w:ascii="宋体" w:hAnsi="宋体"/>
                <w:color w:val="auto"/>
                <w:highlight w:val="none"/>
                <w:lang w:bidi="ar"/>
              </w:rPr>
              <w:t>。</w:t>
            </w:r>
          </w:p>
          <w:p w14:paraId="015B5D26">
            <w:pPr>
              <w:widowControl/>
              <w:ind w:firstLine="420" w:firstLineChars="200"/>
              <w:rPr>
                <w:rFonts w:hint="default" w:eastAsia="宋体"/>
                <w:color w:val="auto"/>
                <w:sz w:val="21"/>
                <w:szCs w:val="18"/>
                <w:highlight w:val="none"/>
                <w:lang w:val="en-US" w:eastAsia="zh-CN"/>
              </w:rPr>
            </w:pPr>
            <w:r>
              <w:rPr>
                <w:rFonts w:hint="eastAsia"/>
                <w:color w:val="auto"/>
                <w:sz w:val="21"/>
                <w:szCs w:val="18"/>
                <w:highlight w:val="none"/>
                <w:lang w:val="en-US" w:eastAsia="zh-CN" w:bidi="ar"/>
              </w:rPr>
              <w:t>保证金缴纳截止时间：同投标文件递交截止时间。</w:t>
            </w:r>
          </w:p>
          <w:p w14:paraId="2961950A">
            <w:pPr>
              <w:pStyle w:val="17"/>
              <w:spacing w:before="21" w:line="239" w:lineRule="auto"/>
              <w:ind w:left="123" w:right="103" w:firstLine="203"/>
              <w:rPr>
                <w:rFonts w:hint="eastAsia"/>
                <w:color w:val="auto"/>
                <w:spacing w:val="1"/>
                <w:sz w:val="21"/>
                <w:szCs w:val="21"/>
                <w:highlight w:val="none"/>
              </w:rPr>
            </w:pPr>
            <w:r>
              <w:rPr>
                <w:rFonts w:hint="eastAsia"/>
                <w:color w:val="auto"/>
                <w:spacing w:val="1"/>
                <w:sz w:val="21"/>
                <w:szCs w:val="21"/>
                <w:highlight w:val="none"/>
              </w:rPr>
              <w:t>（2）交纳要求（银行保函/保证保险/担保公司担保）：招标人接受投标保证金电子保险保函。投标人自行在电子招投标交易平台（http://</w:t>
            </w:r>
            <w:r>
              <w:rPr>
                <w:rFonts w:hint="eastAsia"/>
                <w:color w:val="auto"/>
                <w:spacing w:val="1"/>
                <w:sz w:val="21"/>
                <w:szCs w:val="21"/>
                <w:highlight w:val="none"/>
                <w:lang w:val="en-US" w:eastAsia="zh-CN"/>
              </w:rPr>
              <w:t>ztb.sxyc.</w:t>
            </w:r>
            <w:r>
              <w:rPr>
                <w:rFonts w:hint="eastAsia"/>
                <w:color w:val="auto"/>
                <w:spacing w:val="1"/>
                <w:sz w:val="21"/>
                <w:szCs w:val="21"/>
                <w:highlight w:val="none"/>
              </w:rPr>
              <w:t>gov.cn/TPBidder）中自主选择办理。保险保函费用必须从投标人企业基本账户转出，并在投标保证金缴纳截止时间前办妥保函手续。</w:t>
            </w:r>
          </w:p>
          <w:p w14:paraId="4A52448A">
            <w:pPr>
              <w:pStyle w:val="17"/>
              <w:spacing w:before="21" w:line="239" w:lineRule="auto"/>
              <w:ind w:left="123" w:right="103" w:firstLine="203"/>
              <w:rPr>
                <w:color w:val="auto"/>
                <w:sz w:val="22"/>
                <w:szCs w:val="22"/>
                <w:highlight w:val="none"/>
              </w:rPr>
            </w:pPr>
            <w:r>
              <w:rPr>
                <w:rFonts w:hint="eastAsia"/>
                <w:color w:val="auto"/>
                <w:spacing w:val="1"/>
                <w:sz w:val="21"/>
                <w:szCs w:val="21"/>
                <w:highlight w:val="none"/>
              </w:rPr>
              <w:t>备注：重新招标项目，参与投标的投标人仍需按上述规定要求重新递交投标保证金。</w:t>
            </w:r>
            <w:r>
              <w:rPr>
                <w:rFonts w:hint="eastAsia"/>
                <w:strike/>
                <w:dstrike w:val="0"/>
                <w:color w:val="auto"/>
                <w:spacing w:val="1"/>
                <w:sz w:val="21"/>
                <w:szCs w:val="21"/>
                <w:highlight w:val="none"/>
              </w:rPr>
              <w:t>如联合体投标的，其投标保证金由牵头人递交。</w:t>
            </w:r>
          </w:p>
        </w:tc>
      </w:tr>
      <w:tr w14:paraId="6F806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9" w:hRule="atLeast"/>
        </w:trPr>
        <w:tc>
          <w:tcPr>
            <w:tcW w:w="952" w:type="dxa"/>
            <w:tcBorders>
              <w:left w:val="single" w:color="000000" w:sz="6" w:space="0"/>
            </w:tcBorders>
            <w:vAlign w:val="top"/>
          </w:tcPr>
          <w:p w14:paraId="4C8E60BB">
            <w:pPr>
              <w:spacing w:line="242" w:lineRule="auto"/>
              <w:rPr>
                <w:rFonts w:ascii="Arial"/>
                <w:color w:val="auto"/>
                <w:sz w:val="21"/>
                <w:highlight w:val="none"/>
              </w:rPr>
            </w:pPr>
          </w:p>
          <w:p w14:paraId="6C2C9824">
            <w:pPr>
              <w:spacing w:line="242" w:lineRule="auto"/>
              <w:rPr>
                <w:rFonts w:ascii="Arial"/>
                <w:color w:val="auto"/>
                <w:sz w:val="21"/>
                <w:highlight w:val="none"/>
              </w:rPr>
            </w:pPr>
          </w:p>
          <w:p w14:paraId="24AB2119">
            <w:pPr>
              <w:spacing w:line="242" w:lineRule="auto"/>
              <w:rPr>
                <w:rFonts w:ascii="Arial"/>
                <w:color w:val="auto"/>
                <w:sz w:val="21"/>
                <w:highlight w:val="none"/>
              </w:rPr>
            </w:pPr>
          </w:p>
          <w:p w14:paraId="40B96C52">
            <w:pPr>
              <w:spacing w:line="242" w:lineRule="auto"/>
              <w:rPr>
                <w:rFonts w:ascii="Arial"/>
                <w:color w:val="auto"/>
                <w:sz w:val="21"/>
                <w:highlight w:val="none"/>
              </w:rPr>
            </w:pPr>
          </w:p>
          <w:p w14:paraId="1EE4CD77">
            <w:pPr>
              <w:spacing w:line="242" w:lineRule="auto"/>
              <w:rPr>
                <w:rFonts w:ascii="Arial"/>
                <w:color w:val="auto"/>
                <w:sz w:val="21"/>
                <w:highlight w:val="none"/>
              </w:rPr>
            </w:pPr>
          </w:p>
          <w:p w14:paraId="3D333394">
            <w:pPr>
              <w:spacing w:line="242" w:lineRule="auto"/>
              <w:rPr>
                <w:rFonts w:ascii="Arial"/>
                <w:color w:val="auto"/>
                <w:sz w:val="21"/>
                <w:highlight w:val="none"/>
              </w:rPr>
            </w:pPr>
          </w:p>
          <w:p w14:paraId="1942C884">
            <w:pPr>
              <w:spacing w:line="242" w:lineRule="auto"/>
              <w:rPr>
                <w:rFonts w:ascii="Arial"/>
                <w:color w:val="auto"/>
                <w:sz w:val="21"/>
                <w:highlight w:val="none"/>
              </w:rPr>
            </w:pPr>
          </w:p>
          <w:p w14:paraId="5B90DC21">
            <w:pPr>
              <w:spacing w:line="242" w:lineRule="auto"/>
              <w:rPr>
                <w:rFonts w:ascii="Arial"/>
                <w:color w:val="auto"/>
                <w:sz w:val="21"/>
                <w:highlight w:val="none"/>
              </w:rPr>
            </w:pPr>
          </w:p>
          <w:p w14:paraId="67D2ED5F">
            <w:pPr>
              <w:spacing w:line="243" w:lineRule="auto"/>
              <w:rPr>
                <w:rFonts w:ascii="Arial"/>
                <w:color w:val="auto"/>
                <w:sz w:val="21"/>
                <w:highlight w:val="none"/>
              </w:rPr>
            </w:pPr>
          </w:p>
          <w:p w14:paraId="3BB1F296">
            <w:pPr>
              <w:spacing w:before="60" w:line="188" w:lineRule="auto"/>
              <w:ind w:left="259"/>
              <w:rPr>
                <w:rFonts w:ascii="Times New Roman" w:hAnsi="Times New Roman" w:eastAsia="Times New Roman" w:cs="Times New Roman"/>
                <w:color w:val="auto"/>
                <w:sz w:val="21"/>
                <w:szCs w:val="21"/>
                <w:highlight w:val="none"/>
              </w:rPr>
            </w:pPr>
            <w:r>
              <w:rPr>
                <w:rFonts w:ascii="Times New Roman" w:hAnsi="Times New Roman" w:eastAsia="Times New Roman" w:cs="Times New Roman"/>
                <w:b/>
                <w:bCs/>
                <w:color w:val="auto"/>
                <w:spacing w:val="-1"/>
                <w:sz w:val="21"/>
                <w:szCs w:val="21"/>
                <w:highlight w:val="none"/>
              </w:rPr>
              <w:t>3.4.4</w:t>
            </w:r>
          </w:p>
        </w:tc>
        <w:tc>
          <w:tcPr>
            <w:tcW w:w="2221" w:type="dxa"/>
            <w:vAlign w:val="top"/>
          </w:tcPr>
          <w:p w14:paraId="5BDC53A2">
            <w:pPr>
              <w:spacing w:line="249" w:lineRule="auto"/>
              <w:rPr>
                <w:rFonts w:ascii="Arial"/>
                <w:color w:val="auto"/>
                <w:sz w:val="21"/>
                <w:highlight w:val="none"/>
              </w:rPr>
            </w:pPr>
          </w:p>
          <w:p w14:paraId="2899AD23">
            <w:pPr>
              <w:spacing w:line="250" w:lineRule="auto"/>
              <w:rPr>
                <w:rFonts w:ascii="Arial"/>
                <w:color w:val="auto"/>
                <w:sz w:val="21"/>
                <w:highlight w:val="none"/>
              </w:rPr>
            </w:pPr>
          </w:p>
          <w:p w14:paraId="7A51B409">
            <w:pPr>
              <w:spacing w:line="250" w:lineRule="auto"/>
              <w:rPr>
                <w:rFonts w:ascii="Arial"/>
                <w:color w:val="auto"/>
                <w:sz w:val="21"/>
                <w:highlight w:val="none"/>
              </w:rPr>
            </w:pPr>
          </w:p>
          <w:p w14:paraId="28ED8620">
            <w:pPr>
              <w:spacing w:line="250" w:lineRule="auto"/>
              <w:rPr>
                <w:rFonts w:ascii="Arial"/>
                <w:color w:val="auto"/>
                <w:sz w:val="21"/>
                <w:highlight w:val="none"/>
              </w:rPr>
            </w:pPr>
          </w:p>
          <w:p w14:paraId="51FCC56B">
            <w:pPr>
              <w:spacing w:line="250" w:lineRule="auto"/>
              <w:rPr>
                <w:rFonts w:ascii="Arial"/>
                <w:color w:val="auto"/>
                <w:sz w:val="21"/>
                <w:highlight w:val="none"/>
              </w:rPr>
            </w:pPr>
          </w:p>
          <w:p w14:paraId="00D8AF04">
            <w:pPr>
              <w:spacing w:line="250" w:lineRule="auto"/>
              <w:rPr>
                <w:rFonts w:ascii="Arial"/>
                <w:color w:val="auto"/>
                <w:sz w:val="21"/>
                <w:highlight w:val="none"/>
              </w:rPr>
            </w:pPr>
          </w:p>
          <w:p w14:paraId="304E9A0B">
            <w:pPr>
              <w:spacing w:line="250" w:lineRule="auto"/>
              <w:rPr>
                <w:rFonts w:ascii="Arial"/>
                <w:color w:val="auto"/>
                <w:sz w:val="21"/>
                <w:highlight w:val="none"/>
              </w:rPr>
            </w:pPr>
          </w:p>
          <w:p w14:paraId="3952E0B3">
            <w:pPr>
              <w:spacing w:line="250" w:lineRule="auto"/>
              <w:rPr>
                <w:rFonts w:ascii="Arial"/>
                <w:color w:val="auto"/>
                <w:sz w:val="21"/>
                <w:highlight w:val="none"/>
              </w:rPr>
            </w:pPr>
          </w:p>
          <w:p w14:paraId="022B4779">
            <w:pPr>
              <w:pStyle w:val="17"/>
              <w:spacing w:before="68" w:line="220" w:lineRule="auto"/>
              <w:ind w:left="177"/>
              <w:rPr>
                <w:color w:val="auto"/>
                <w:sz w:val="21"/>
                <w:szCs w:val="21"/>
                <w:highlight w:val="none"/>
              </w:rPr>
            </w:pPr>
            <w:r>
              <w:rPr>
                <w:color w:val="auto"/>
                <w:spacing w:val="-2"/>
                <w:sz w:val="21"/>
                <w:szCs w:val="21"/>
                <w:highlight w:val="none"/>
              </w:rPr>
              <w:t>不予退还投标保证金的</w:t>
            </w:r>
            <w:r>
              <w:rPr>
                <w:color w:val="auto"/>
                <w:spacing w:val="-3"/>
                <w:sz w:val="21"/>
                <w:szCs w:val="21"/>
                <w:highlight w:val="none"/>
              </w:rPr>
              <w:t>情形</w:t>
            </w:r>
          </w:p>
        </w:tc>
        <w:tc>
          <w:tcPr>
            <w:tcW w:w="5729" w:type="dxa"/>
            <w:tcBorders>
              <w:right w:val="single" w:color="000000" w:sz="6" w:space="0"/>
            </w:tcBorders>
            <w:vAlign w:val="top"/>
          </w:tcPr>
          <w:p w14:paraId="30577BDB">
            <w:pPr>
              <w:pStyle w:val="17"/>
              <w:spacing w:before="37" w:line="220" w:lineRule="auto"/>
              <w:ind w:left="128"/>
              <w:rPr>
                <w:color w:val="auto"/>
                <w:sz w:val="21"/>
                <w:szCs w:val="21"/>
                <w:highlight w:val="none"/>
              </w:rPr>
            </w:pPr>
            <w:r>
              <w:rPr>
                <w:rFonts w:ascii="Times New Roman" w:hAnsi="Times New Roman" w:eastAsia="Times New Roman" w:cs="Times New Roman"/>
                <w:color w:val="auto"/>
                <w:spacing w:val="-2"/>
                <w:sz w:val="21"/>
                <w:szCs w:val="21"/>
                <w:highlight w:val="none"/>
              </w:rPr>
              <w:t>1</w:t>
            </w:r>
            <w:r>
              <w:rPr>
                <w:rFonts w:ascii="Times New Roman" w:hAnsi="Times New Roman" w:eastAsia="Times New Roman" w:cs="Times New Roman"/>
                <w:b/>
                <w:bCs/>
                <w:color w:val="auto"/>
                <w:spacing w:val="-2"/>
                <w:sz w:val="21"/>
                <w:szCs w:val="21"/>
                <w:highlight w:val="none"/>
              </w:rPr>
              <w:t xml:space="preserve">.  </w:t>
            </w:r>
            <w:r>
              <w:rPr>
                <w:color w:val="auto"/>
                <w:spacing w:val="-2"/>
                <w:sz w:val="21"/>
                <w:szCs w:val="21"/>
                <w:highlight w:val="none"/>
              </w:rPr>
              <w:t>投标人在规定的投标有效期内撤销或修改其投标文件。</w:t>
            </w:r>
          </w:p>
          <w:p w14:paraId="5F53834D">
            <w:pPr>
              <w:pStyle w:val="17"/>
              <w:spacing w:before="22" w:line="229" w:lineRule="auto"/>
              <w:ind w:left="116" w:right="103" w:hanging="8"/>
              <w:rPr>
                <w:color w:val="auto"/>
                <w:sz w:val="21"/>
                <w:szCs w:val="21"/>
                <w:highlight w:val="none"/>
              </w:rPr>
            </w:pPr>
            <w:r>
              <w:rPr>
                <w:rFonts w:ascii="Times New Roman" w:hAnsi="Times New Roman" w:eastAsia="Times New Roman" w:cs="Times New Roman"/>
                <w:color w:val="auto"/>
                <w:spacing w:val="-2"/>
                <w:sz w:val="21"/>
                <w:szCs w:val="21"/>
                <w:highlight w:val="none"/>
              </w:rPr>
              <w:t>2</w:t>
            </w:r>
            <w:r>
              <w:rPr>
                <w:rFonts w:ascii="Times New Roman" w:hAnsi="Times New Roman" w:eastAsia="Times New Roman" w:cs="Times New Roman"/>
                <w:b/>
                <w:bCs/>
                <w:color w:val="auto"/>
                <w:spacing w:val="-2"/>
                <w:sz w:val="21"/>
                <w:szCs w:val="21"/>
                <w:highlight w:val="none"/>
              </w:rPr>
              <w:t>.</w:t>
            </w:r>
            <w:r>
              <w:rPr>
                <w:rFonts w:ascii="Times New Roman" w:hAnsi="Times New Roman" w:eastAsia="Times New Roman" w:cs="Times New Roman"/>
                <w:b/>
                <w:bCs/>
                <w:color w:val="auto"/>
                <w:spacing w:val="16"/>
                <w:sz w:val="21"/>
                <w:szCs w:val="21"/>
                <w:highlight w:val="none"/>
              </w:rPr>
              <w:t xml:space="preserve">  </w:t>
            </w:r>
            <w:r>
              <w:rPr>
                <w:color w:val="auto"/>
                <w:spacing w:val="-2"/>
                <w:sz w:val="21"/>
                <w:szCs w:val="21"/>
                <w:highlight w:val="none"/>
              </w:rPr>
              <w:t>中标人在收到中标通知书后，无正当理由拒签合同协议</w:t>
            </w:r>
            <w:r>
              <w:rPr>
                <w:color w:val="auto"/>
                <w:sz w:val="21"/>
                <w:szCs w:val="21"/>
                <w:highlight w:val="none"/>
              </w:rPr>
              <w:t xml:space="preserve"> </w:t>
            </w:r>
            <w:r>
              <w:rPr>
                <w:color w:val="auto"/>
                <w:spacing w:val="-3"/>
                <w:sz w:val="21"/>
                <w:szCs w:val="21"/>
                <w:highlight w:val="none"/>
              </w:rPr>
              <w:t>书或未按招标文件规定提交履约担保。</w:t>
            </w:r>
          </w:p>
          <w:p w14:paraId="031E4403">
            <w:pPr>
              <w:pStyle w:val="17"/>
              <w:spacing w:before="23" w:line="229" w:lineRule="auto"/>
              <w:ind w:left="112" w:right="299"/>
              <w:rPr>
                <w:color w:val="auto"/>
                <w:sz w:val="21"/>
                <w:szCs w:val="21"/>
                <w:highlight w:val="none"/>
              </w:rPr>
            </w:pPr>
            <w:r>
              <w:rPr>
                <w:rFonts w:ascii="Times New Roman" w:hAnsi="Times New Roman" w:eastAsia="Times New Roman" w:cs="Times New Roman"/>
                <w:color w:val="auto"/>
                <w:spacing w:val="-1"/>
                <w:sz w:val="21"/>
                <w:szCs w:val="21"/>
                <w:highlight w:val="none"/>
              </w:rPr>
              <w:t>3</w:t>
            </w:r>
            <w:r>
              <w:rPr>
                <w:rFonts w:ascii="Times New Roman" w:hAnsi="Times New Roman" w:eastAsia="Times New Roman" w:cs="Times New Roman"/>
                <w:b/>
                <w:bCs/>
                <w:color w:val="auto"/>
                <w:spacing w:val="-1"/>
                <w:sz w:val="21"/>
                <w:szCs w:val="21"/>
                <w:highlight w:val="none"/>
              </w:rPr>
              <w:t xml:space="preserve">.  </w:t>
            </w:r>
            <w:r>
              <w:rPr>
                <w:color w:val="auto"/>
                <w:spacing w:val="-1"/>
                <w:sz w:val="21"/>
                <w:szCs w:val="21"/>
                <w:highlight w:val="none"/>
              </w:rPr>
              <w:t>经查实，投标人在投标过程中存在串通投标或弄虚作</w:t>
            </w:r>
            <w:r>
              <w:rPr>
                <w:color w:val="auto"/>
                <w:spacing w:val="17"/>
                <w:sz w:val="21"/>
                <w:szCs w:val="21"/>
                <w:highlight w:val="none"/>
              </w:rPr>
              <w:t xml:space="preserve"> </w:t>
            </w:r>
            <w:r>
              <w:rPr>
                <w:color w:val="auto"/>
                <w:spacing w:val="-9"/>
                <w:sz w:val="21"/>
                <w:szCs w:val="21"/>
                <w:highlight w:val="none"/>
              </w:rPr>
              <w:t>假的。</w:t>
            </w:r>
          </w:p>
          <w:p w14:paraId="53592C74">
            <w:pPr>
              <w:pStyle w:val="17"/>
              <w:spacing w:before="23" w:line="233" w:lineRule="auto"/>
              <w:ind w:left="114" w:right="141" w:hanging="7"/>
              <w:rPr>
                <w:color w:val="auto"/>
                <w:sz w:val="21"/>
                <w:szCs w:val="21"/>
                <w:highlight w:val="none"/>
              </w:rPr>
            </w:pPr>
            <w:r>
              <w:rPr>
                <w:rFonts w:ascii="Times New Roman" w:hAnsi="Times New Roman" w:eastAsia="Times New Roman" w:cs="Times New Roman"/>
                <w:color w:val="auto"/>
                <w:spacing w:val="-2"/>
                <w:sz w:val="21"/>
                <w:szCs w:val="21"/>
                <w:highlight w:val="none"/>
              </w:rPr>
              <w:t>4</w:t>
            </w:r>
            <w:r>
              <w:rPr>
                <w:rFonts w:ascii="Times New Roman" w:hAnsi="Times New Roman" w:eastAsia="Times New Roman" w:cs="Times New Roman"/>
                <w:b/>
                <w:bCs/>
                <w:color w:val="auto"/>
                <w:spacing w:val="-2"/>
                <w:sz w:val="21"/>
                <w:szCs w:val="21"/>
                <w:highlight w:val="none"/>
              </w:rPr>
              <w:t>.</w:t>
            </w:r>
            <w:r>
              <w:rPr>
                <w:rFonts w:ascii="Times New Roman" w:hAnsi="Times New Roman" w:eastAsia="Times New Roman" w:cs="Times New Roman"/>
                <w:b/>
                <w:bCs/>
                <w:color w:val="auto"/>
                <w:spacing w:val="22"/>
                <w:w w:val="101"/>
                <w:sz w:val="21"/>
                <w:szCs w:val="21"/>
                <w:highlight w:val="none"/>
              </w:rPr>
              <w:t xml:space="preserve">  </w:t>
            </w:r>
            <w:r>
              <w:rPr>
                <w:rFonts w:hint="eastAsia"/>
                <w:color w:val="auto"/>
                <w:spacing w:val="-2"/>
                <w:sz w:val="21"/>
                <w:szCs w:val="21"/>
                <w:highlight w:val="none"/>
                <w:lang w:eastAsia="zh-CN"/>
              </w:rPr>
              <w:t>☑</w:t>
            </w:r>
            <w:r>
              <w:rPr>
                <w:color w:val="auto"/>
                <w:spacing w:val="-2"/>
                <w:sz w:val="21"/>
                <w:szCs w:val="21"/>
                <w:highlight w:val="none"/>
              </w:rPr>
              <w:t>拟派项目负责人在投标截止时间有在其他在建合同</w:t>
            </w:r>
            <w:r>
              <w:rPr>
                <w:color w:val="auto"/>
                <w:sz w:val="21"/>
                <w:szCs w:val="21"/>
                <w:highlight w:val="none"/>
              </w:rPr>
              <w:t xml:space="preserve">  </w:t>
            </w:r>
            <w:r>
              <w:rPr>
                <w:color w:val="auto"/>
                <w:spacing w:val="-1"/>
                <w:sz w:val="21"/>
                <w:szCs w:val="21"/>
                <w:highlight w:val="none"/>
              </w:rPr>
              <w:t>工程上担任项目负责人（包括工程总承包项目中的施工负</w:t>
            </w:r>
            <w:r>
              <w:rPr>
                <w:color w:val="auto"/>
                <w:spacing w:val="13"/>
                <w:sz w:val="21"/>
                <w:szCs w:val="21"/>
                <w:highlight w:val="none"/>
              </w:rPr>
              <w:t xml:space="preserve"> </w:t>
            </w:r>
            <w:r>
              <w:rPr>
                <w:color w:val="auto"/>
                <w:spacing w:val="-6"/>
                <w:sz w:val="21"/>
                <w:szCs w:val="21"/>
                <w:highlight w:val="none"/>
              </w:rPr>
              <w:t>责人）的情形。</w:t>
            </w:r>
          </w:p>
          <w:p w14:paraId="69A2AB93">
            <w:pPr>
              <w:pStyle w:val="17"/>
              <w:spacing w:before="22" w:line="212" w:lineRule="auto"/>
              <w:ind w:left="114"/>
              <w:rPr>
                <w:color w:val="auto"/>
                <w:sz w:val="21"/>
                <w:szCs w:val="21"/>
                <w:highlight w:val="none"/>
              </w:rPr>
            </w:pPr>
            <w:r>
              <w:rPr>
                <w:rFonts w:ascii="Times New Roman" w:hAnsi="Times New Roman" w:eastAsia="Times New Roman" w:cs="Times New Roman"/>
                <w:color w:val="auto"/>
                <w:spacing w:val="-1"/>
                <w:sz w:val="21"/>
                <w:szCs w:val="21"/>
                <w:highlight w:val="none"/>
              </w:rPr>
              <w:t>5</w:t>
            </w:r>
            <w:r>
              <w:rPr>
                <w:rFonts w:ascii="Times New Roman" w:hAnsi="Times New Roman" w:eastAsia="Times New Roman" w:cs="Times New Roman"/>
                <w:b/>
                <w:bCs/>
                <w:color w:val="auto"/>
                <w:spacing w:val="-1"/>
                <w:sz w:val="21"/>
                <w:szCs w:val="21"/>
                <w:highlight w:val="none"/>
              </w:rPr>
              <w:t>.</w:t>
            </w:r>
            <w:r>
              <w:rPr>
                <w:color w:val="auto"/>
                <w:spacing w:val="-1"/>
                <w:sz w:val="21"/>
                <w:szCs w:val="21"/>
                <w:highlight w:val="none"/>
              </w:rPr>
              <w:t xml:space="preserve">其他： </w:t>
            </w:r>
            <w:r>
              <w:rPr>
                <w:rFonts w:ascii="Times New Roman" w:hAnsi="Times New Roman" w:eastAsia="Times New Roman" w:cs="Times New Roman"/>
                <w:color w:val="auto"/>
                <w:spacing w:val="-1"/>
                <w:sz w:val="21"/>
                <w:szCs w:val="21"/>
                <w:highlight w:val="none"/>
              </w:rPr>
              <w:t>___</w:t>
            </w:r>
            <w:r>
              <w:rPr>
                <w:rFonts w:hint="eastAsia" w:ascii="Times New Roman" w:hAnsi="Times New Roman" w:eastAsia="宋体" w:cs="Times New Roman"/>
                <w:color w:val="auto"/>
                <w:spacing w:val="-1"/>
                <w:sz w:val="21"/>
                <w:szCs w:val="21"/>
                <w:highlight w:val="none"/>
                <w:lang w:val="en-US" w:eastAsia="zh-CN"/>
              </w:rPr>
              <w:t>/</w:t>
            </w:r>
            <w:r>
              <w:rPr>
                <w:rFonts w:ascii="Times New Roman" w:hAnsi="Times New Roman" w:eastAsia="Times New Roman" w:cs="Times New Roman"/>
                <w:color w:val="auto"/>
                <w:spacing w:val="-1"/>
                <w:sz w:val="21"/>
                <w:szCs w:val="21"/>
                <w:highlight w:val="none"/>
              </w:rPr>
              <w:t xml:space="preserve">____ </w:t>
            </w:r>
            <w:r>
              <w:rPr>
                <w:color w:val="auto"/>
                <w:spacing w:val="-1"/>
                <w:sz w:val="21"/>
                <w:szCs w:val="21"/>
                <w:highlight w:val="none"/>
              </w:rPr>
              <w:t>。</w:t>
            </w:r>
          </w:p>
          <w:p w14:paraId="21FA5E2F">
            <w:pPr>
              <w:pStyle w:val="17"/>
              <w:spacing w:before="31" w:line="219" w:lineRule="auto"/>
              <w:ind w:left="322"/>
              <w:rPr>
                <w:color w:val="auto"/>
                <w:sz w:val="21"/>
                <w:szCs w:val="21"/>
                <w:highlight w:val="none"/>
              </w:rPr>
            </w:pPr>
            <w:r>
              <w:rPr>
                <w:color w:val="auto"/>
                <w:spacing w:val="-2"/>
                <w:sz w:val="21"/>
                <w:szCs w:val="21"/>
                <w:highlight w:val="none"/>
              </w:rPr>
              <w:t>注：本招标文件的</w:t>
            </w:r>
            <w:r>
              <w:rPr>
                <w:rFonts w:ascii="Times New Roman" w:hAnsi="Times New Roman" w:eastAsia="Times New Roman" w:cs="Times New Roman"/>
                <w:color w:val="auto"/>
                <w:spacing w:val="-2"/>
                <w:sz w:val="21"/>
                <w:szCs w:val="21"/>
                <w:highlight w:val="none"/>
              </w:rPr>
              <w:t>“</w:t>
            </w:r>
            <w:r>
              <w:rPr>
                <w:color w:val="auto"/>
                <w:spacing w:val="-2"/>
                <w:sz w:val="21"/>
                <w:szCs w:val="21"/>
                <w:highlight w:val="none"/>
              </w:rPr>
              <w:t>投标保证金不予退还</w:t>
            </w:r>
            <w:r>
              <w:rPr>
                <w:rFonts w:ascii="Times New Roman" w:hAnsi="Times New Roman" w:eastAsia="Times New Roman" w:cs="Times New Roman"/>
                <w:color w:val="auto"/>
                <w:spacing w:val="-2"/>
                <w:sz w:val="21"/>
                <w:szCs w:val="21"/>
                <w:highlight w:val="none"/>
              </w:rPr>
              <w:t>”</w:t>
            </w:r>
            <w:r>
              <w:rPr>
                <w:color w:val="auto"/>
                <w:spacing w:val="-2"/>
                <w:sz w:val="21"/>
                <w:szCs w:val="21"/>
                <w:highlight w:val="none"/>
              </w:rPr>
              <w:t>是指：</w:t>
            </w:r>
          </w:p>
          <w:p w14:paraId="5562B448">
            <w:pPr>
              <w:pStyle w:val="17"/>
              <w:spacing w:before="24" w:line="220" w:lineRule="auto"/>
              <w:ind w:left="327"/>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1</w:t>
            </w:r>
            <w:r>
              <w:rPr>
                <w:color w:val="auto"/>
                <w:spacing w:val="-3"/>
                <w:sz w:val="21"/>
                <w:szCs w:val="21"/>
                <w:highlight w:val="none"/>
              </w:rPr>
              <w:t>）以现金转账形式，转账现金不予退还。</w:t>
            </w:r>
          </w:p>
          <w:p w14:paraId="580AB1E7">
            <w:pPr>
              <w:pStyle w:val="17"/>
              <w:spacing w:before="21" w:line="229" w:lineRule="auto"/>
              <w:ind w:left="116" w:right="256" w:firstLine="211"/>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2</w:t>
            </w:r>
            <w:r>
              <w:rPr>
                <w:color w:val="auto"/>
                <w:spacing w:val="-1"/>
                <w:sz w:val="21"/>
                <w:szCs w:val="21"/>
                <w:highlight w:val="none"/>
              </w:rPr>
              <w:t>）以银行保函形式，招标人作为受益人向银行提起</w:t>
            </w:r>
            <w:r>
              <w:rPr>
                <w:color w:val="auto"/>
                <w:sz w:val="21"/>
                <w:szCs w:val="21"/>
                <w:highlight w:val="none"/>
              </w:rPr>
              <w:t xml:space="preserve"> </w:t>
            </w:r>
            <w:r>
              <w:rPr>
                <w:color w:val="auto"/>
                <w:spacing w:val="-10"/>
                <w:sz w:val="21"/>
                <w:szCs w:val="21"/>
                <w:highlight w:val="none"/>
              </w:rPr>
              <w:t>索赔。</w:t>
            </w:r>
          </w:p>
          <w:p w14:paraId="44890815">
            <w:pPr>
              <w:pStyle w:val="17"/>
              <w:spacing w:before="24" w:line="229" w:lineRule="auto"/>
              <w:ind w:left="113" w:right="467" w:firstLine="213"/>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3</w:t>
            </w:r>
            <w:r>
              <w:rPr>
                <w:color w:val="auto"/>
                <w:spacing w:val="-1"/>
                <w:sz w:val="21"/>
                <w:szCs w:val="21"/>
                <w:highlight w:val="none"/>
              </w:rPr>
              <w:t>）以保证保险形式，招标人作为被保险人</w:t>
            </w:r>
            <w:r>
              <w:rPr>
                <w:color w:val="auto"/>
                <w:spacing w:val="-2"/>
                <w:sz w:val="21"/>
                <w:szCs w:val="21"/>
                <w:highlight w:val="none"/>
              </w:rPr>
              <w:t>（受益</w:t>
            </w:r>
            <w:r>
              <w:rPr>
                <w:color w:val="auto"/>
                <w:sz w:val="21"/>
                <w:szCs w:val="21"/>
                <w:highlight w:val="none"/>
              </w:rPr>
              <w:t xml:space="preserve"> </w:t>
            </w:r>
            <w:r>
              <w:rPr>
                <w:color w:val="auto"/>
                <w:spacing w:val="-6"/>
                <w:sz w:val="21"/>
                <w:szCs w:val="21"/>
                <w:highlight w:val="none"/>
              </w:rPr>
              <w:t>人）</w:t>
            </w:r>
            <w:r>
              <w:rPr>
                <w:color w:val="auto"/>
                <w:spacing w:val="30"/>
                <w:sz w:val="21"/>
                <w:szCs w:val="21"/>
                <w:highlight w:val="none"/>
              </w:rPr>
              <w:t xml:space="preserve"> </w:t>
            </w:r>
            <w:r>
              <w:rPr>
                <w:color w:val="auto"/>
                <w:spacing w:val="-6"/>
                <w:sz w:val="21"/>
                <w:szCs w:val="21"/>
                <w:highlight w:val="none"/>
              </w:rPr>
              <w:t>向保险人提起索赔。</w:t>
            </w:r>
          </w:p>
          <w:p w14:paraId="39C2B7DC">
            <w:pPr>
              <w:pStyle w:val="17"/>
              <w:spacing w:before="24" w:line="218" w:lineRule="auto"/>
              <w:ind w:left="114" w:right="254" w:firstLine="213"/>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4</w:t>
            </w:r>
            <w:r>
              <w:rPr>
                <w:color w:val="auto"/>
                <w:spacing w:val="-1"/>
                <w:sz w:val="21"/>
                <w:szCs w:val="21"/>
                <w:highlight w:val="none"/>
              </w:rPr>
              <w:t>）以担保公司担保形式，招标人作为受益人向担保</w:t>
            </w:r>
            <w:r>
              <w:rPr>
                <w:color w:val="auto"/>
                <w:spacing w:val="1"/>
                <w:sz w:val="21"/>
                <w:szCs w:val="21"/>
                <w:highlight w:val="none"/>
              </w:rPr>
              <w:t xml:space="preserve"> </w:t>
            </w:r>
            <w:r>
              <w:rPr>
                <w:color w:val="auto"/>
                <w:spacing w:val="-6"/>
                <w:sz w:val="21"/>
                <w:szCs w:val="21"/>
                <w:highlight w:val="none"/>
              </w:rPr>
              <w:t>人提起索赔。</w:t>
            </w:r>
          </w:p>
        </w:tc>
      </w:tr>
      <w:tr w14:paraId="6FA4B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6" w:hRule="atLeast"/>
        </w:trPr>
        <w:tc>
          <w:tcPr>
            <w:tcW w:w="952" w:type="dxa"/>
            <w:tcBorders>
              <w:left w:val="single" w:color="000000" w:sz="6" w:space="0"/>
            </w:tcBorders>
            <w:vAlign w:val="center"/>
          </w:tcPr>
          <w:p w14:paraId="2F1FF7DC">
            <w:pPr>
              <w:spacing w:before="60" w:line="188" w:lineRule="auto"/>
              <w:ind w:left="259"/>
              <w:jc w:val="center"/>
              <w:rPr>
                <w:rFonts w:hint="default" w:ascii="Times New Roman" w:hAnsi="Times New Roman" w:eastAsia="宋体" w:cs="Times New Roman"/>
                <w:b/>
                <w:bCs/>
                <w:color w:val="auto"/>
                <w:spacing w:val="-1"/>
                <w:sz w:val="21"/>
                <w:szCs w:val="21"/>
                <w:highlight w:val="none"/>
                <w:lang w:val="en-US" w:eastAsia="zh-CN"/>
              </w:rPr>
            </w:pPr>
            <w:r>
              <w:rPr>
                <w:rFonts w:hint="eastAsia" w:ascii="Times New Roman" w:hAnsi="Times New Roman" w:eastAsia="宋体" w:cs="Times New Roman"/>
                <w:b/>
                <w:bCs/>
                <w:color w:val="auto"/>
                <w:spacing w:val="-1"/>
                <w:sz w:val="21"/>
                <w:szCs w:val="21"/>
                <w:highlight w:val="none"/>
                <w:lang w:val="en-US" w:eastAsia="zh-CN"/>
              </w:rPr>
              <w:t>3.5</w:t>
            </w:r>
          </w:p>
        </w:tc>
        <w:tc>
          <w:tcPr>
            <w:tcW w:w="2221" w:type="dxa"/>
            <w:vAlign w:val="center"/>
          </w:tcPr>
          <w:p w14:paraId="674F598C">
            <w:pPr>
              <w:pStyle w:val="17"/>
              <w:spacing w:before="68" w:line="220" w:lineRule="auto"/>
              <w:ind w:left="177"/>
              <w:jc w:val="center"/>
              <w:rPr>
                <w:color w:val="auto"/>
                <w:spacing w:val="-3"/>
                <w:sz w:val="21"/>
                <w:szCs w:val="21"/>
                <w:highlight w:val="none"/>
              </w:rPr>
            </w:pPr>
            <w:r>
              <w:rPr>
                <w:rFonts w:hint="eastAsia"/>
                <w:color w:val="auto"/>
                <w:spacing w:val="-2"/>
                <w:sz w:val="21"/>
                <w:szCs w:val="21"/>
                <w:highlight w:val="none"/>
                <w:lang w:eastAsia="zh-CN"/>
              </w:rPr>
              <w:t>资格审查资料</w:t>
            </w:r>
          </w:p>
        </w:tc>
        <w:tc>
          <w:tcPr>
            <w:tcW w:w="5729" w:type="dxa"/>
            <w:tcBorders>
              <w:right w:val="single" w:color="000000" w:sz="6" w:space="0"/>
            </w:tcBorders>
            <w:vAlign w:val="top"/>
          </w:tcPr>
          <w:p w14:paraId="25C754C1">
            <w:pPr>
              <w:pStyle w:val="17"/>
              <w:tabs>
                <w:tab w:val="left" w:pos="839"/>
              </w:tabs>
              <w:autoSpaceDE/>
              <w:autoSpaceDN/>
              <w:spacing w:line="240" w:lineRule="exact"/>
              <w:ind w:left="420" w:leftChars="200" w:firstLine="402"/>
              <w:rPr>
                <w:rFonts w:ascii="Times New Roman" w:hAnsi="Times New Roman" w:cs="Times New Roman"/>
                <w:color w:val="auto"/>
                <w:sz w:val="21"/>
                <w:szCs w:val="21"/>
                <w:highlight w:val="none"/>
              </w:rPr>
            </w:pPr>
          </w:p>
          <w:p w14:paraId="2258EEED">
            <w:pPr>
              <w:pStyle w:val="17"/>
              <w:spacing w:before="24" w:line="218" w:lineRule="auto"/>
              <w:ind w:left="114" w:right="254" w:firstLine="213"/>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1、</w:t>
            </w:r>
            <w:r>
              <w:rPr>
                <w:rFonts w:ascii="Times New Roman" w:hAnsi="Times New Roman" w:cs="Times New Roman"/>
                <w:color w:val="auto"/>
                <w:sz w:val="21"/>
                <w:szCs w:val="21"/>
                <w:highlight w:val="none"/>
                <w:lang w:eastAsia="zh-CN"/>
              </w:rPr>
              <w:t>应具备</w:t>
            </w:r>
            <w:r>
              <w:rPr>
                <w:rFonts w:ascii="Times New Roman" w:hAnsi="Times New Roman" w:cs="Times New Roman"/>
                <w:b/>
                <w:bCs/>
                <w:color w:val="auto"/>
                <w:sz w:val="21"/>
                <w:szCs w:val="21"/>
                <w:highlight w:val="none"/>
                <w:u w:val="single"/>
                <w:lang w:eastAsia="zh-CN"/>
              </w:rPr>
              <w:t>水利水电工程施工总承包</w:t>
            </w:r>
            <w:r>
              <w:rPr>
                <w:rFonts w:hint="eastAsia" w:ascii="Times New Roman" w:hAnsi="Times New Roman" w:cs="Times New Roman"/>
                <w:b/>
                <w:bCs/>
                <w:color w:val="auto"/>
                <w:sz w:val="21"/>
                <w:szCs w:val="21"/>
                <w:highlight w:val="none"/>
                <w:u w:val="single"/>
                <w:lang w:val="en-US" w:eastAsia="zh-CN"/>
              </w:rPr>
              <w:t>三</w:t>
            </w:r>
            <w:r>
              <w:rPr>
                <w:rFonts w:ascii="Times New Roman" w:hAnsi="Times New Roman" w:cs="Times New Roman"/>
                <w:b/>
                <w:bCs/>
                <w:color w:val="auto"/>
                <w:sz w:val="21"/>
                <w:szCs w:val="21"/>
                <w:highlight w:val="none"/>
                <w:u w:val="single"/>
                <w:lang w:eastAsia="zh-CN"/>
              </w:rPr>
              <w:t>级及以上</w:t>
            </w:r>
            <w:r>
              <w:rPr>
                <w:rFonts w:ascii="Times New Roman" w:hAnsi="Times New Roman" w:cs="Times New Roman"/>
                <w:color w:val="auto"/>
                <w:sz w:val="21"/>
                <w:szCs w:val="21"/>
                <w:highlight w:val="none"/>
                <w:lang w:eastAsia="zh-CN"/>
              </w:rPr>
              <w:t>资质</w:t>
            </w:r>
            <w:r>
              <w:rPr>
                <w:rFonts w:hint="eastAsia" w:ascii="Times New Roman" w:hAnsi="Times New Roman" w:cs="Times New Roman"/>
                <w:color w:val="auto"/>
                <w:sz w:val="21"/>
                <w:szCs w:val="21"/>
                <w:highlight w:val="none"/>
                <w:lang w:eastAsia="zh-CN"/>
              </w:rPr>
              <w:t>（对应资质应在“浙江省建筑市场监管公共服务系统”上资质动态核查结果处于“合格”</w:t>
            </w:r>
            <w:r>
              <w:rPr>
                <w:rFonts w:hint="eastAsia" w:ascii="Times New Roman" w:hAnsi="Times New Roman" w:cs="Times New Roman"/>
                <w:color w:val="auto"/>
                <w:sz w:val="21"/>
                <w:szCs w:val="21"/>
                <w:highlight w:val="none"/>
                <w:lang w:val="en-US" w:eastAsia="zh-CN"/>
              </w:rPr>
              <w:t>状态</w:t>
            </w:r>
            <w:r>
              <w:rPr>
                <w:rFonts w:hint="eastAsia" w:ascii="Times New Roman" w:hAnsi="Times New Roman" w:cs="Times New Roman"/>
                <w:color w:val="auto"/>
                <w:sz w:val="21"/>
                <w:szCs w:val="21"/>
                <w:highlight w:val="none"/>
                <w:lang w:eastAsia="zh-CN"/>
              </w:rPr>
              <w:t>）</w:t>
            </w:r>
            <w:r>
              <w:rPr>
                <w:rFonts w:ascii="Times New Roman" w:hAnsi="Times New Roman" w:cs="Times New Roman"/>
                <w:color w:val="auto"/>
                <w:sz w:val="21"/>
                <w:szCs w:val="21"/>
                <w:highlight w:val="none"/>
                <w:lang w:eastAsia="zh-CN"/>
              </w:rPr>
              <w:t>，提供投标人</w:t>
            </w:r>
            <w:r>
              <w:rPr>
                <w:rFonts w:hint="eastAsia" w:ascii="Times New Roman" w:hAnsi="Times New Roman" w:cs="Times New Roman"/>
                <w:color w:val="auto"/>
                <w:sz w:val="21"/>
                <w:szCs w:val="21"/>
                <w:highlight w:val="none"/>
                <w:lang w:eastAsia="zh-CN"/>
              </w:rPr>
              <w:t>202</w:t>
            </w:r>
            <w:r>
              <w:rPr>
                <w:rFonts w:hint="eastAsia" w:ascii="Times New Roman" w:hAnsi="Times New Roman" w:cs="Times New Roman"/>
                <w:color w:val="auto"/>
                <w:sz w:val="21"/>
                <w:szCs w:val="21"/>
                <w:highlight w:val="none"/>
                <w:lang w:val="en-US" w:eastAsia="zh-CN"/>
              </w:rPr>
              <w:t>5</w:t>
            </w:r>
            <w:r>
              <w:rPr>
                <w:rFonts w:hint="eastAsia" w:ascii="Times New Roman" w:hAnsi="Times New Roman" w:cs="Times New Roman"/>
                <w:color w:val="auto"/>
                <w:sz w:val="21"/>
                <w:szCs w:val="21"/>
                <w:highlight w:val="none"/>
                <w:lang w:eastAsia="zh-CN"/>
              </w:rPr>
              <w:t>年</w:t>
            </w:r>
            <w:r>
              <w:rPr>
                <w:rFonts w:hint="eastAsia" w:ascii="Times New Roman" w:hAnsi="Times New Roman" w:cs="Times New Roman"/>
                <w:color w:val="auto"/>
                <w:sz w:val="21"/>
                <w:szCs w:val="21"/>
                <w:highlight w:val="none"/>
                <w:lang w:val="en-US" w:eastAsia="zh-CN"/>
              </w:rPr>
              <w:t xml:space="preserve">        </w:t>
            </w:r>
            <w:r>
              <w:rPr>
                <w:rFonts w:hint="eastAsia" w:ascii="Times New Roman" w:hAnsi="Times New Roman" w:cs="Times New Roman"/>
                <w:color w:val="auto"/>
                <w:sz w:val="21"/>
                <w:szCs w:val="21"/>
                <w:highlight w:val="none"/>
                <w:lang w:eastAsia="zh-CN"/>
              </w:rPr>
              <w:t>月</w:t>
            </w:r>
            <w:r>
              <w:rPr>
                <w:rFonts w:hint="eastAsia" w:ascii="Times New Roman" w:hAnsi="Times New Roman" w:cs="Times New Roman"/>
                <w:color w:val="auto"/>
                <w:sz w:val="21"/>
                <w:szCs w:val="21"/>
                <w:highlight w:val="none"/>
                <w:lang w:val="en-US" w:eastAsia="zh-CN"/>
              </w:rPr>
              <w:t xml:space="preserve">        </w:t>
            </w:r>
            <w:r>
              <w:rPr>
                <w:rFonts w:hint="eastAsia" w:ascii="Times New Roman" w:hAnsi="Times New Roman" w:cs="Times New Roman"/>
                <w:color w:val="auto"/>
                <w:sz w:val="21"/>
                <w:szCs w:val="21"/>
                <w:highlight w:val="none"/>
                <w:lang w:eastAsia="zh-CN"/>
              </w:rPr>
              <w:t>日</w:t>
            </w:r>
            <w:r>
              <w:rPr>
                <w:rFonts w:ascii="Times New Roman" w:hAnsi="Times New Roman" w:cs="Times New Roman"/>
                <w:color w:val="auto"/>
                <w:sz w:val="21"/>
                <w:szCs w:val="21"/>
                <w:highlight w:val="none"/>
                <w:lang w:eastAsia="zh-CN"/>
              </w:rPr>
              <w:t>在“浙江省建筑市场监管公共服务系统”上，参与投标资质的“资质动态核查结果证明”），具有有效的营业执照和安全生产许可证。</w:t>
            </w:r>
          </w:p>
          <w:p w14:paraId="752FC679">
            <w:pPr>
              <w:pStyle w:val="17"/>
              <w:numPr>
                <w:ilvl w:val="0"/>
                <w:numId w:val="0"/>
              </w:numPr>
              <w:tabs>
                <w:tab w:val="left" w:pos="839"/>
              </w:tabs>
              <w:autoSpaceDE/>
              <w:autoSpaceDN/>
              <w:spacing w:line="240" w:lineRule="exact"/>
              <w:ind w:firstLine="408" w:firstLineChars="200"/>
              <w:rPr>
                <w:rFonts w:ascii="Times New Roman" w:hAnsi="Times New Roman" w:cs="Times New Roman"/>
                <w:color w:val="auto"/>
                <w:sz w:val="21"/>
                <w:szCs w:val="21"/>
                <w:highlight w:val="none"/>
              </w:rPr>
            </w:pPr>
            <w:r>
              <w:rPr>
                <w:rFonts w:hint="eastAsia"/>
                <w:color w:val="auto"/>
                <w:spacing w:val="-3"/>
                <w:sz w:val="21"/>
                <w:szCs w:val="21"/>
                <w:highlight w:val="none"/>
                <w:lang w:val="en-US" w:eastAsia="zh-CN"/>
              </w:rPr>
              <w:t>2、</w:t>
            </w:r>
            <w:r>
              <w:rPr>
                <w:color w:val="auto"/>
                <w:spacing w:val="-4"/>
                <w:sz w:val="21"/>
                <w:szCs w:val="21"/>
                <w:highlight w:val="none"/>
              </w:rPr>
              <w:t>投标人及其法定代表人自</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2022</w:t>
            </w:r>
            <w:r>
              <w:rPr>
                <w:color w:val="auto"/>
                <w:spacing w:val="-4"/>
                <w:sz w:val="21"/>
                <w:szCs w:val="21"/>
                <w:highlight w:val="none"/>
                <w:u w:val="single" w:color="auto"/>
              </w:rPr>
              <w:t xml:space="preserve"> </w:t>
            </w:r>
            <w:r>
              <w:rPr>
                <w:color w:val="auto"/>
                <w:spacing w:val="-86"/>
                <w:sz w:val="21"/>
                <w:szCs w:val="21"/>
                <w:highlight w:val="none"/>
              </w:rPr>
              <w:t xml:space="preserve"> </w:t>
            </w:r>
            <w:r>
              <w:rPr>
                <w:color w:val="auto"/>
                <w:spacing w:val="-4"/>
                <w:sz w:val="21"/>
                <w:szCs w:val="21"/>
                <w:highlight w:val="none"/>
              </w:rPr>
              <w:t>年</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92"/>
                <w:sz w:val="21"/>
                <w:szCs w:val="21"/>
                <w:highlight w:val="none"/>
              </w:rPr>
              <w:t xml:space="preserve"> </w:t>
            </w:r>
            <w:r>
              <w:rPr>
                <w:color w:val="auto"/>
                <w:spacing w:val="-4"/>
                <w:sz w:val="21"/>
                <w:szCs w:val="21"/>
                <w:highlight w:val="none"/>
              </w:rPr>
              <w:t>月</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60"/>
                <w:sz w:val="21"/>
                <w:szCs w:val="21"/>
                <w:highlight w:val="none"/>
              </w:rPr>
              <w:t xml:space="preserve"> </w:t>
            </w:r>
            <w:r>
              <w:rPr>
                <w:color w:val="auto"/>
                <w:spacing w:val="-4"/>
                <w:sz w:val="21"/>
                <w:szCs w:val="21"/>
                <w:highlight w:val="none"/>
              </w:rPr>
              <w:t>日至投标截止时间</w:t>
            </w:r>
            <w:r>
              <w:rPr>
                <w:i/>
                <w:iCs/>
                <w:color w:val="auto"/>
                <w:spacing w:val="-4"/>
                <w:sz w:val="22"/>
                <w:szCs w:val="22"/>
                <w:highlight w:val="none"/>
              </w:rPr>
              <w:t>（不得少于</w:t>
            </w:r>
            <w:r>
              <w:rPr>
                <w:rFonts w:ascii="Times New Roman" w:hAnsi="Times New Roman" w:eastAsia="Times New Roman" w:cs="Times New Roman"/>
                <w:i/>
                <w:iCs/>
                <w:color w:val="auto"/>
                <w:spacing w:val="-4"/>
                <w:sz w:val="21"/>
                <w:szCs w:val="21"/>
                <w:highlight w:val="none"/>
              </w:rPr>
              <w:t>3</w:t>
            </w:r>
            <w:r>
              <w:rPr>
                <w:i/>
                <w:iCs/>
                <w:color w:val="auto"/>
                <w:spacing w:val="-4"/>
                <w:sz w:val="22"/>
                <w:szCs w:val="22"/>
                <w:highlight w:val="none"/>
              </w:rPr>
              <w:t>年）</w:t>
            </w:r>
            <w:r>
              <w:rPr>
                <w:color w:val="auto"/>
                <w:spacing w:val="-4"/>
                <w:sz w:val="21"/>
                <w:szCs w:val="21"/>
                <w:highlight w:val="none"/>
              </w:rPr>
              <w:t>无行贿犯</w:t>
            </w:r>
            <w:r>
              <w:rPr>
                <w:color w:val="auto"/>
                <w:spacing w:val="-1"/>
                <w:sz w:val="21"/>
                <w:szCs w:val="21"/>
                <w:highlight w:val="none"/>
              </w:rPr>
              <w:t>罪记录（以中国裁判文书网（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1"/>
                <w:sz w:val="21"/>
                <w:szCs w:val="21"/>
                <w:highlight w:val="none"/>
              </w:rPr>
              <w:t>http://wenshu.court.gov.cn/</w:t>
            </w:r>
            <w:r>
              <w:rPr>
                <w:rFonts w:ascii="Times New Roman" w:hAnsi="Times New Roman" w:eastAsia="Times New Roman" w:cs="Times New Roman"/>
                <w:color w:val="auto"/>
                <w:spacing w:val="-1"/>
                <w:sz w:val="21"/>
                <w:szCs w:val="21"/>
                <w:highlight w:val="none"/>
              </w:rPr>
              <w:fldChar w:fldCharType="end"/>
            </w:r>
            <w:r>
              <w:rPr>
                <w:color w:val="auto"/>
                <w:spacing w:val="-1"/>
                <w:sz w:val="21"/>
                <w:szCs w:val="21"/>
                <w:highlight w:val="none"/>
              </w:rPr>
              <w:t>）查询结果为准）。</w:t>
            </w:r>
            <w:r>
              <w:rPr>
                <w:rFonts w:hint="eastAsia" w:ascii="Times New Roman" w:hAnsi="Times New Roman" w:cs="Times New Roman"/>
                <w:b/>
                <w:bCs/>
                <w:color w:val="auto"/>
                <w:sz w:val="21"/>
                <w:szCs w:val="21"/>
                <w:highlight w:val="none"/>
                <w:lang w:eastAsia="zh-CN"/>
              </w:rPr>
              <w:t>（</w:t>
            </w:r>
            <w:r>
              <w:rPr>
                <w:rFonts w:hint="eastAsia" w:ascii="Times New Roman" w:hAnsi="Times New Roman" w:cs="Times New Roman"/>
                <w:b/>
                <w:bCs/>
                <w:color w:val="auto"/>
                <w:sz w:val="21"/>
                <w:szCs w:val="21"/>
                <w:highlight w:val="none"/>
                <w:lang w:val="en-US" w:eastAsia="zh-CN"/>
              </w:rPr>
              <w:t>需提供网页查询结果截图</w:t>
            </w:r>
            <w:r>
              <w:rPr>
                <w:rFonts w:hint="eastAsia" w:ascii="Times New Roman" w:hAnsi="Times New Roman" w:cs="Times New Roman"/>
                <w:b/>
                <w:bCs/>
                <w:color w:val="auto"/>
                <w:sz w:val="21"/>
                <w:szCs w:val="21"/>
                <w:highlight w:val="none"/>
                <w:lang w:eastAsia="zh-CN"/>
              </w:rPr>
              <w:t>）</w:t>
            </w:r>
          </w:p>
          <w:p w14:paraId="0EEB9A12">
            <w:pPr>
              <w:pStyle w:val="17"/>
              <w:spacing w:before="31" w:line="219" w:lineRule="auto"/>
              <w:ind w:firstLine="412" w:firstLineChars="200"/>
              <w:rPr>
                <w:color w:val="auto"/>
                <w:spacing w:val="-2"/>
                <w:sz w:val="21"/>
                <w:szCs w:val="21"/>
                <w:highlight w:val="none"/>
                <w:lang w:eastAsia="zh-CN"/>
              </w:rPr>
            </w:pPr>
            <w:r>
              <w:rPr>
                <w:rFonts w:hint="eastAsia"/>
                <w:color w:val="auto"/>
                <w:spacing w:val="-2"/>
                <w:sz w:val="21"/>
                <w:szCs w:val="21"/>
                <w:highlight w:val="none"/>
                <w:lang w:val="en-US" w:eastAsia="zh-CN"/>
              </w:rPr>
              <w:t>3、</w:t>
            </w:r>
            <w:r>
              <w:rPr>
                <w:color w:val="auto"/>
                <w:spacing w:val="-2"/>
                <w:sz w:val="21"/>
                <w:szCs w:val="21"/>
                <w:highlight w:val="none"/>
                <w:lang w:eastAsia="zh-CN"/>
              </w:rPr>
              <w:t>项目负责人</w:t>
            </w:r>
            <w:r>
              <w:rPr>
                <w:rFonts w:hint="eastAsia"/>
                <w:color w:val="auto"/>
                <w:spacing w:val="-2"/>
                <w:sz w:val="21"/>
                <w:szCs w:val="21"/>
                <w:highlight w:val="none"/>
                <w:lang w:val="en-US" w:eastAsia="zh-CN"/>
              </w:rPr>
              <w:t>应持</w:t>
            </w:r>
            <w:r>
              <w:rPr>
                <w:rFonts w:hint="eastAsia"/>
                <w:color w:val="auto"/>
                <w:spacing w:val="-2"/>
                <w:sz w:val="21"/>
                <w:szCs w:val="21"/>
                <w:highlight w:val="none"/>
                <w:lang w:eastAsia="zh-CN"/>
              </w:rPr>
              <w:t>有注册在投标人单位的水利水电工程专业二级及以上建造师执业资格，且具有省级及以上水</w:t>
            </w:r>
            <w:r>
              <w:rPr>
                <w:rFonts w:hint="eastAsia"/>
                <w:color w:val="auto"/>
                <w:spacing w:val="-2"/>
                <w:sz w:val="21"/>
                <w:szCs w:val="21"/>
                <w:highlight w:val="none"/>
                <w:lang w:val="en-US" w:eastAsia="zh-CN"/>
              </w:rPr>
              <w:t>利</w:t>
            </w:r>
            <w:r>
              <w:rPr>
                <w:rFonts w:hint="eastAsia"/>
                <w:color w:val="auto"/>
                <w:spacing w:val="-2"/>
                <w:sz w:val="21"/>
                <w:szCs w:val="21"/>
                <w:highlight w:val="none"/>
                <w:lang w:eastAsia="zh-CN"/>
              </w:rPr>
              <w:t>行政主管部门颁发的安全生产考核B证。</w:t>
            </w:r>
            <w:r>
              <w:rPr>
                <w:color w:val="auto"/>
                <w:spacing w:val="-2"/>
                <w:sz w:val="21"/>
                <w:szCs w:val="21"/>
                <w:highlight w:val="none"/>
                <w:lang w:eastAsia="zh-CN"/>
              </w:rPr>
              <w:t>投标人拟派的项目负责人在投标截止时间不得在其他任何在建合同工程中担任项目负责人(包括工程总承包项目中的施工负责人)。在建合同工程的开始时间为合同工程中标通知书发出之日(不通过招标方式的，开始时间为合同签订之日)，结束时间为该合同工程通过验收或合同解除之日。</w:t>
            </w:r>
          </w:p>
          <w:p w14:paraId="2F9F6458">
            <w:pPr>
              <w:pStyle w:val="17"/>
              <w:spacing w:before="31" w:line="219" w:lineRule="auto"/>
              <w:ind w:firstLine="412" w:firstLineChars="200"/>
              <w:rPr>
                <w:rFonts w:hint="eastAsia"/>
                <w:color w:val="auto"/>
                <w:spacing w:val="-2"/>
                <w:sz w:val="21"/>
                <w:szCs w:val="21"/>
                <w:highlight w:val="none"/>
                <w:lang w:eastAsia="zh-CN"/>
              </w:rPr>
            </w:pPr>
            <w:r>
              <w:rPr>
                <w:rFonts w:hint="eastAsia"/>
                <w:color w:val="auto"/>
                <w:spacing w:val="-2"/>
                <w:sz w:val="21"/>
                <w:szCs w:val="21"/>
                <w:highlight w:val="none"/>
                <w:lang w:eastAsia="zh-CN"/>
              </w:rPr>
              <w:t>拟派项目负责人须为投标企业在职职工（在职职工不包括离、退休返聘人员），须提供缴费期限包含202</w:t>
            </w:r>
            <w:r>
              <w:rPr>
                <w:rFonts w:hint="eastAsia"/>
                <w:color w:val="auto"/>
                <w:spacing w:val="-2"/>
                <w:sz w:val="21"/>
                <w:szCs w:val="21"/>
                <w:highlight w:val="none"/>
                <w:lang w:val="en-US" w:eastAsia="zh-CN"/>
              </w:rPr>
              <w:t>5</w:t>
            </w:r>
            <w:r>
              <w:rPr>
                <w:rFonts w:hint="eastAsia"/>
                <w:color w:val="auto"/>
                <w:spacing w:val="-2"/>
                <w:sz w:val="21"/>
                <w:szCs w:val="21"/>
                <w:highlight w:val="none"/>
                <w:lang w:eastAsia="zh-CN"/>
              </w:rPr>
              <w:t>年</w:t>
            </w:r>
            <w:r>
              <w:rPr>
                <w:rFonts w:hint="eastAsia"/>
                <w:color w:val="auto"/>
                <w:spacing w:val="-2"/>
                <w:sz w:val="21"/>
                <w:szCs w:val="21"/>
                <w:highlight w:val="none"/>
                <w:lang w:val="en-US" w:eastAsia="zh-CN"/>
              </w:rPr>
              <w:t>05</w:t>
            </w:r>
            <w:r>
              <w:rPr>
                <w:rFonts w:hint="eastAsia"/>
                <w:color w:val="auto"/>
                <w:spacing w:val="-2"/>
                <w:sz w:val="21"/>
                <w:szCs w:val="21"/>
                <w:highlight w:val="none"/>
                <w:lang w:eastAsia="zh-CN"/>
              </w:rPr>
              <w:t>月至202</w:t>
            </w:r>
            <w:r>
              <w:rPr>
                <w:rFonts w:hint="eastAsia"/>
                <w:color w:val="auto"/>
                <w:spacing w:val="-2"/>
                <w:sz w:val="21"/>
                <w:szCs w:val="21"/>
                <w:highlight w:val="none"/>
                <w:lang w:val="en-US" w:eastAsia="zh-CN"/>
              </w:rPr>
              <w:t>5</w:t>
            </w:r>
            <w:r>
              <w:rPr>
                <w:rFonts w:hint="eastAsia"/>
                <w:color w:val="auto"/>
                <w:spacing w:val="-2"/>
                <w:sz w:val="21"/>
                <w:szCs w:val="21"/>
                <w:highlight w:val="none"/>
                <w:lang w:eastAsia="zh-CN"/>
              </w:rPr>
              <w:t>年</w:t>
            </w:r>
            <w:r>
              <w:rPr>
                <w:rFonts w:hint="eastAsia"/>
                <w:color w:val="auto"/>
                <w:spacing w:val="-2"/>
                <w:sz w:val="21"/>
                <w:szCs w:val="21"/>
                <w:highlight w:val="none"/>
                <w:lang w:val="en-US" w:eastAsia="zh-CN"/>
              </w:rPr>
              <w:t>07</w:t>
            </w:r>
            <w:r>
              <w:rPr>
                <w:rFonts w:hint="eastAsia"/>
                <w:color w:val="auto"/>
                <w:spacing w:val="-2"/>
                <w:sz w:val="21"/>
                <w:szCs w:val="21"/>
                <w:highlight w:val="none"/>
                <w:lang w:eastAsia="zh-CN"/>
              </w:rPr>
              <w:t>月的投标人所属社保机构养老保险交纳清单或证明【缴费单位和投标单位名称必须一致，非独立法人的分公司社保，也予以认可，并加盖社保缴费证明专用章（或电子专用章）】。</w:t>
            </w:r>
          </w:p>
          <w:p w14:paraId="3299E3FB">
            <w:pPr>
              <w:pStyle w:val="17"/>
              <w:spacing w:before="31" w:line="219" w:lineRule="auto"/>
              <w:ind w:firstLine="412" w:firstLineChars="200"/>
              <w:rPr>
                <w:rFonts w:hint="eastAsia"/>
                <w:color w:val="auto"/>
                <w:spacing w:val="-2"/>
                <w:sz w:val="21"/>
                <w:szCs w:val="21"/>
                <w:highlight w:val="none"/>
                <w:lang w:eastAsia="zh-CN"/>
              </w:rPr>
            </w:pPr>
            <w:r>
              <w:rPr>
                <w:rFonts w:hint="eastAsia"/>
                <w:color w:val="auto"/>
                <w:spacing w:val="-2"/>
                <w:sz w:val="21"/>
                <w:szCs w:val="21"/>
                <w:highlight w:val="none"/>
                <w:lang w:eastAsia="zh-CN"/>
              </w:rPr>
              <w:t>注：根据《住房和城乡建设部办公厅关于全面实行一级建造师电子注册证书的通知》（建办市〔2021〕40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p w14:paraId="74AACFC5">
            <w:pPr>
              <w:pStyle w:val="17"/>
              <w:spacing w:before="24" w:line="218" w:lineRule="auto"/>
              <w:ind w:right="254" w:firstLine="404" w:firstLineChars="200"/>
              <w:rPr>
                <w:rFonts w:hint="eastAsia" w:ascii="Times New Roman" w:hAnsi="Times New Roman" w:cs="Times New Roman"/>
                <w:b/>
                <w:bCs/>
                <w:color w:val="auto"/>
                <w:sz w:val="21"/>
                <w:szCs w:val="21"/>
                <w:highlight w:val="none"/>
                <w:lang w:eastAsia="zh-CN"/>
              </w:rPr>
            </w:pPr>
            <w:r>
              <w:rPr>
                <w:rFonts w:hint="eastAsia"/>
                <w:color w:val="auto"/>
                <w:spacing w:val="-4"/>
                <w:sz w:val="21"/>
                <w:szCs w:val="21"/>
                <w:highlight w:val="none"/>
                <w:lang w:val="en-US" w:eastAsia="zh-CN"/>
              </w:rPr>
              <w:t>4、</w:t>
            </w:r>
            <w:r>
              <w:rPr>
                <w:color w:val="auto"/>
                <w:spacing w:val="-4"/>
                <w:sz w:val="21"/>
                <w:szCs w:val="21"/>
                <w:highlight w:val="none"/>
              </w:rPr>
              <w:t>项目负责人自</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2022</w:t>
            </w:r>
            <w:r>
              <w:rPr>
                <w:color w:val="auto"/>
                <w:spacing w:val="-4"/>
                <w:sz w:val="21"/>
                <w:szCs w:val="21"/>
                <w:highlight w:val="none"/>
                <w:u w:val="single" w:color="auto"/>
              </w:rPr>
              <w:t xml:space="preserve"> </w:t>
            </w:r>
            <w:r>
              <w:rPr>
                <w:color w:val="auto"/>
                <w:spacing w:val="-87"/>
                <w:sz w:val="21"/>
                <w:szCs w:val="21"/>
                <w:highlight w:val="none"/>
              </w:rPr>
              <w:t xml:space="preserve"> </w:t>
            </w:r>
            <w:r>
              <w:rPr>
                <w:color w:val="auto"/>
                <w:spacing w:val="-4"/>
                <w:sz w:val="21"/>
                <w:szCs w:val="21"/>
                <w:highlight w:val="none"/>
              </w:rPr>
              <w:t>年</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91"/>
                <w:sz w:val="21"/>
                <w:szCs w:val="21"/>
                <w:highlight w:val="none"/>
              </w:rPr>
              <w:t xml:space="preserve"> </w:t>
            </w:r>
            <w:r>
              <w:rPr>
                <w:color w:val="auto"/>
                <w:spacing w:val="-4"/>
                <w:sz w:val="21"/>
                <w:szCs w:val="21"/>
                <w:highlight w:val="none"/>
              </w:rPr>
              <w:t>月</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61"/>
                <w:sz w:val="21"/>
                <w:szCs w:val="21"/>
                <w:highlight w:val="none"/>
              </w:rPr>
              <w:t xml:space="preserve"> </w:t>
            </w:r>
            <w:r>
              <w:rPr>
                <w:color w:val="auto"/>
                <w:spacing w:val="-4"/>
                <w:sz w:val="21"/>
                <w:szCs w:val="21"/>
                <w:highlight w:val="none"/>
              </w:rPr>
              <w:t>日至投标截止时间</w:t>
            </w:r>
            <w:r>
              <w:rPr>
                <w:i/>
                <w:iCs/>
                <w:color w:val="auto"/>
                <w:spacing w:val="-4"/>
                <w:sz w:val="22"/>
                <w:szCs w:val="22"/>
                <w:highlight w:val="none"/>
              </w:rPr>
              <w:t>（不得少于</w:t>
            </w:r>
            <w:r>
              <w:rPr>
                <w:rFonts w:ascii="Times New Roman" w:hAnsi="Times New Roman" w:eastAsia="Times New Roman" w:cs="Times New Roman"/>
                <w:i/>
                <w:iCs/>
                <w:color w:val="auto"/>
                <w:spacing w:val="-4"/>
                <w:sz w:val="21"/>
                <w:szCs w:val="21"/>
                <w:highlight w:val="none"/>
              </w:rPr>
              <w:t>3</w:t>
            </w:r>
            <w:r>
              <w:rPr>
                <w:i/>
                <w:iCs/>
                <w:color w:val="auto"/>
                <w:spacing w:val="-4"/>
                <w:sz w:val="22"/>
                <w:szCs w:val="22"/>
                <w:highlight w:val="none"/>
              </w:rPr>
              <w:t>年）</w:t>
            </w:r>
            <w:r>
              <w:rPr>
                <w:color w:val="auto"/>
                <w:spacing w:val="-4"/>
                <w:sz w:val="21"/>
                <w:szCs w:val="21"/>
                <w:highlight w:val="none"/>
              </w:rPr>
              <w:t>无行贿犯罪记录（以</w:t>
            </w:r>
            <w:r>
              <w:rPr>
                <w:color w:val="auto"/>
                <w:spacing w:val="-1"/>
                <w:sz w:val="21"/>
                <w:szCs w:val="21"/>
                <w:highlight w:val="none"/>
              </w:rPr>
              <w:t>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1"/>
                <w:sz w:val="21"/>
                <w:szCs w:val="21"/>
                <w:highlight w:val="none"/>
              </w:rPr>
              <w:t>http://wenshu.court.gov</w:t>
            </w:r>
            <w:r>
              <w:rPr>
                <w:rFonts w:ascii="Times New Roman" w:hAnsi="Times New Roman" w:eastAsia="Times New Roman" w:cs="Times New Roman"/>
                <w:color w:val="auto"/>
                <w:spacing w:val="-2"/>
                <w:sz w:val="21"/>
                <w:szCs w:val="21"/>
                <w:highlight w:val="none"/>
              </w:rPr>
              <w:t>.cn/</w:t>
            </w:r>
            <w:r>
              <w:rPr>
                <w:rFonts w:ascii="Times New Roman" w:hAnsi="Times New Roman" w:eastAsia="Times New Roman" w:cs="Times New Roman"/>
                <w:color w:val="auto"/>
                <w:spacing w:val="-2"/>
                <w:sz w:val="21"/>
                <w:szCs w:val="21"/>
                <w:highlight w:val="none"/>
              </w:rPr>
              <w:fldChar w:fldCharType="end"/>
            </w:r>
            <w:r>
              <w:rPr>
                <w:color w:val="auto"/>
                <w:spacing w:val="-2"/>
                <w:sz w:val="21"/>
                <w:szCs w:val="21"/>
                <w:highlight w:val="none"/>
              </w:rPr>
              <w:t>）查询结果为准）。</w:t>
            </w:r>
            <w:r>
              <w:rPr>
                <w:rFonts w:hint="eastAsia" w:ascii="Times New Roman" w:hAnsi="Times New Roman" w:cs="Times New Roman"/>
                <w:b/>
                <w:bCs/>
                <w:color w:val="auto"/>
                <w:sz w:val="21"/>
                <w:szCs w:val="21"/>
                <w:highlight w:val="none"/>
                <w:lang w:eastAsia="zh-CN"/>
              </w:rPr>
              <w:t>（</w:t>
            </w:r>
            <w:r>
              <w:rPr>
                <w:rFonts w:hint="eastAsia" w:ascii="Times New Roman" w:hAnsi="Times New Roman" w:cs="Times New Roman"/>
                <w:b/>
                <w:bCs/>
                <w:color w:val="auto"/>
                <w:sz w:val="21"/>
                <w:szCs w:val="21"/>
                <w:highlight w:val="none"/>
                <w:lang w:val="en-US" w:eastAsia="zh-CN"/>
              </w:rPr>
              <w:t>需提供网页查询结果截图</w:t>
            </w:r>
            <w:r>
              <w:rPr>
                <w:rFonts w:hint="eastAsia" w:ascii="Times New Roman" w:hAnsi="Times New Roman" w:cs="Times New Roman"/>
                <w:b/>
                <w:bCs/>
                <w:color w:val="auto"/>
                <w:sz w:val="21"/>
                <w:szCs w:val="21"/>
                <w:highlight w:val="none"/>
                <w:lang w:eastAsia="zh-CN"/>
              </w:rPr>
              <w:t>）</w:t>
            </w:r>
          </w:p>
          <w:p w14:paraId="4D477774">
            <w:pPr>
              <w:pStyle w:val="17"/>
              <w:spacing w:before="24" w:line="218" w:lineRule="auto"/>
              <w:ind w:right="254" w:firstLine="416" w:firstLineChars="200"/>
              <w:rPr>
                <w:rFonts w:ascii="微软雅黑" w:hAnsi="微软雅黑" w:eastAsia="微软雅黑" w:cs="微软雅黑"/>
                <w:color w:val="auto"/>
                <w:spacing w:val="-1"/>
                <w:sz w:val="21"/>
                <w:szCs w:val="21"/>
                <w:highlight w:val="none"/>
              </w:rPr>
            </w:pPr>
            <w:r>
              <w:rPr>
                <w:rFonts w:hint="eastAsia"/>
                <w:color w:val="auto"/>
                <w:spacing w:val="-1"/>
                <w:sz w:val="21"/>
                <w:szCs w:val="21"/>
                <w:highlight w:val="none"/>
                <w:lang w:val="en-US" w:eastAsia="zh-CN"/>
              </w:rPr>
              <w:t>5、</w:t>
            </w:r>
            <w:r>
              <w:rPr>
                <w:color w:val="auto"/>
                <w:spacing w:val="-1"/>
                <w:sz w:val="21"/>
                <w:szCs w:val="21"/>
                <w:highlight w:val="none"/>
              </w:rPr>
              <w:t xml:space="preserve">项目技术负责人应持有 </w:t>
            </w:r>
            <w:r>
              <w:rPr>
                <w:rFonts w:hint="eastAsia" w:ascii="Times New Roman" w:hAnsi="Times New Roman" w:cs="Times New Roman"/>
                <w:color w:val="auto"/>
                <w:sz w:val="21"/>
                <w:szCs w:val="21"/>
                <w:highlight w:val="none"/>
                <w:u w:val="single"/>
                <w:lang w:eastAsia="zh-CN"/>
              </w:rPr>
              <w:t>中级及以上职称证书</w:t>
            </w:r>
            <w:r>
              <w:rPr>
                <w:rFonts w:ascii="Times New Roman" w:hAnsi="Times New Roman" w:cs="Times New Roman"/>
                <w:color w:val="auto"/>
                <w:sz w:val="21"/>
                <w:szCs w:val="21"/>
                <w:highlight w:val="none"/>
                <w:u w:val="single"/>
                <w:lang w:eastAsia="zh-CN"/>
              </w:rPr>
              <w:t>或</w:t>
            </w:r>
            <w:r>
              <w:rPr>
                <w:rFonts w:hint="eastAsia" w:ascii="Times New Roman" w:hAnsi="Times New Roman" w:cs="Times New Roman"/>
                <w:color w:val="auto"/>
                <w:sz w:val="21"/>
                <w:szCs w:val="21"/>
                <w:highlight w:val="none"/>
                <w:u w:val="single"/>
                <w:lang w:eastAsia="zh-CN"/>
              </w:rPr>
              <w:t>水利水电工程专业二级</w:t>
            </w:r>
            <w:r>
              <w:rPr>
                <w:rFonts w:ascii="Times New Roman" w:hAnsi="Times New Roman" w:cs="Times New Roman"/>
                <w:color w:val="auto"/>
                <w:sz w:val="21"/>
                <w:szCs w:val="21"/>
                <w:highlight w:val="none"/>
                <w:u w:val="single"/>
                <w:lang w:eastAsia="zh-CN"/>
              </w:rPr>
              <w:t>建造师</w:t>
            </w:r>
            <w:r>
              <w:rPr>
                <w:rFonts w:hint="eastAsia" w:ascii="Times New Roman" w:hAnsi="Times New Roman" w:cs="Times New Roman"/>
                <w:color w:val="auto"/>
                <w:sz w:val="21"/>
                <w:szCs w:val="21"/>
                <w:highlight w:val="none"/>
                <w:u w:val="single"/>
                <w:lang w:val="en-US" w:eastAsia="zh-CN"/>
              </w:rPr>
              <w:t xml:space="preserve"> </w:t>
            </w:r>
            <w:r>
              <w:rPr>
                <w:color w:val="auto"/>
                <w:spacing w:val="-91"/>
                <w:sz w:val="21"/>
                <w:szCs w:val="21"/>
                <w:highlight w:val="none"/>
              </w:rPr>
              <w:t xml:space="preserve"> </w:t>
            </w:r>
            <w:r>
              <w:rPr>
                <w:color w:val="auto"/>
                <w:spacing w:val="-1"/>
                <w:sz w:val="21"/>
                <w:szCs w:val="21"/>
                <w:highlight w:val="none"/>
              </w:rPr>
              <w:t>证书</w:t>
            </w:r>
            <w:r>
              <w:rPr>
                <w:color w:val="auto"/>
                <w:spacing w:val="-1"/>
                <w:position w:val="10"/>
                <w:sz w:val="11"/>
                <w:szCs w:val="11"/>
                <w:highlight w:val="none"/>
              </w:rPr>
              <w:t>③</w:t>
            </w:r>
            <w:r>
              <w:rPr>
                <w:rFonts w:ascii="微软雅黑" w:hAnsi="微软雅黑" w:eastAsia="微软雅黑" w:cs="微软雅黑"/>
                <w:color w:val="auto"/>
                <w:spacing w:val="-1"/>
                <w:sz w:val="21"/>
                <w:szCs w:val="21"/>
                <w:highlight w:val="none"/>
              </w:rPr>
              <w:t>。</w:t>
            </w:r>
          </w:p>
          <w:p w14:paraId="1D3CDFCD">
            <w:pPr>
              <w:pStyle w:val="17"/>
              <w:spacing w:before="24" w:line="218" w:lineRule="auto"/>
              <w:ind w:right="254" w:firstLine="428" w:firstLineChars="200"/>
              <w:rPr>
                <w:color w:val="auto"/>
                <w:spacing w:val="-2"/>
                <w:sz w:val="21"/>
                <w:szCs w:val="21"/>
                <w:highlight w:val="none"/>
              </w:rPr>
            </w:pPr>
            <w:r>
              <w:rPr>
                <w:rFonts w:hint="eastAsia"/>
                <w:color w:val="auto"/>
                <w:spacing w:val="2"/>
                <w:sz w:val="21"/>
                <w:szCs w:val="21"/>
                <w:highlight w:val="none"/>
                <w:lang w:val="en-US" w:eastAsia="zh-CN"/>
              </w:rPr>
              <w:t>6、</w:t>
            </w:r>
            <w:r>
              <w:rPr>
                <w:color w:val="auto"/>
                <w:spacing w:val="2"/>
                <w:sz w:val="21"/>
                <w:szCs w:val="21"/>
                <w:highlight w:val="none"/>
              </w:rPr>
              <w:t>项目安全员、质检员和施工员应持有中国水利工程协会或中国水利企业协会颁发</w:t>
            </w:r>
            <w:r>
              <w:rPr>
                <w:color w:val="auto"/>
                <w:spacing w:val="1"/>
                <w:sz w:val="21"/>
                <w:szCs w:val="21"/>
                <w:highlight w:val="none"/>
              </w:rPr>
              <w:t>的全国</w:t>
            </w:r>
            <w:r>
              <w:rPr>
                <w:color w:val="auto"/>
                <w:spacing w:val="-2"/>
                <w:sz w:val="21"/>
                <w:szCs w:val="21"/>
                <w:highlight w:val="none"/>
              </w:rPr>
              <w:t>水利水电工程施工现场管理人员培训合格证书。</w:t>
            </w:r>
          </w:p>
          <w:p w14:paraId="7D4935DD">
            <w:pPr>
              <w:pStyle w:val="17"/>
              <w:spacing w:before="40" w:line="225" w:lineRule="auto"/>
              <w:ind w:right="13" w:firstLine="400" w:firstLineChars="200"/>
              <w:jc w:val="both"/>
              <w:rPr>
                <w:color w:val="auto"/>
                <w:spacing w:val="1"/>
                <w:sz w:val="21"/>
                <w:szCs w:val="21"/>
                <w:highlight w:val="none"/>
              </w:rPr>
            </w:pPr>
            <w:r>
              <w:rPr>
                <w:rFonts w:hint="eastAsia"/>
                <w:color w:val="auto"/>
                <w:spacing w:val="-5"/>
                <w:sz w:val="21"/>
                <w:szCs w:val="21"/>
                <w:highlight w:val="none"/>
                <w:lang w:val="en-US" w:eastAsia="zh-CN"/>
              </w:rPr>
              <w:t>7、</w:t>
            </w:r>
            <w:r>
              <w:rPr>
                <w:color w:val="auto"/>
                <w:spacing w:val="-5"/>
                <w:sz w:val="21"/>
                <w:szCs w:val="21"/>
                <w:highlight w:val="none"/>
              </w:rPr>
              <w:t>投标人的“三类人员”（企业主要负责人、项目负责</w:t>
            </w:r>
            <w:r>
              <w:rPr>
                <w:color w:val="auto"/>
                <w:spacing w:val="-6"/>
                <w:sz w:val="21"/>
                <w:szCs w:val="21"/>
                <w:highlight w:val="none"/>
              </w:rPr>
              <w:t>人、专职安全生产管理人员，下同）</w:t>
            </w:r>
            <w:r>
              <w:rPr>
                <w:color w:val="auto"/>
                <w:sz w:val="21"/>
                <w:szCs w:val="21"/>
                <w:highlight w:val="none"/>
              </w:rPr>
              <w:t xml:space="preserve"> </w:t>
            </w:r>
            <w:r>
              <w:rPr>
                <w:color w:val="auto"/>
                <w:spacing w:val="-3"/>
                <w:sz w:val="21"/>
                <w:szCs w:val="21"/>
                <w:highlight w:val="none"/>
              </w:rPr>
              <w:t>必须持有省级及以上水行政主管部门颁发的安全生产考核合格证书（</w:t>
            </w:r>
            <w:r>
              <w:rPr>
                <w:rFonts w:ascii="Times New Roman" w:hAnsi="Times New Roman" w:eastAsia="Times New Roman" w:cs="Times New Roman"/>
                <w:color w:val="auto"/>
                <w:spacing w:val="-3"/>
                <w:sz w:val="21"/>
                <w:szCs w:val="21"/>
                <w:highlight w:val="none"/>
              </w:rPr>
              <w:t>A</w:t>
            </w: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B</w:t>
            </w: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C</w:t>
            </w:r>
            <w:r>
              <w:rPr>
                <w:color w:val="auto"/>
                <w:spacing w:val="-3"/>
                <w:sz w:val="21"/>
                <w:szCs w:val="21"/>
                <w:highlight w:val="none"/>
              </w:rPr>
              <w:t>证</w:t>
            </w:r>
            <w:r>
              <w:rPr>
                <w:color w:val="auto"/>
                <w:spacing w:val="-18"/>
                <w:sz w:val="21"/>
                <w:szCs w:val="21"/>
                <w:highlight w:val="none"/>
              </w:rPr>
              <w:t>），</w:t>
            </w:r>
            <w:r>
              <w:rPr>
                <w:color w:val="auto"/>
                <w:spacing w:val="-3"/>
                <w:sz w:val="21"/>
                <w:szCs w:val="21"/>
                <w:highlight w:val="none"/>
              </w:rPr>
              <w:t>其中</w:t>
            </w:r>
            <w:r>
              <w:rPr>
                <w:color w:val="auto"/>
                <w:spacing w:val="-5"/>
                <w:sz w:val="21"/>
                <w:szCs w:val="21"/>
                <w:highlight w:val="none"/>
              </w:rPr>
              <w:t>企业经理、企业技术负责人、企业分管安全生产的副总经理应有任命文件；</w:t>
            </w:r>
            <w:r>
              <w:rPr>
                <w:color w:val="auto"/>
                <w:spacing w:val="-44"/>
                <w:sz w:val="21"/>
                <w:szCs w:val="21"/>
                <w:highlight w:val="none"/>
              </w:rPr>
              <w:t xml:space="preserve"> </w:t>
            </w:r>
            <w:r>
              <w:rPr>
                <w:color w:val="auto"/>
                <w:spacing w:val="-5"/>
                <w:sz w:val="21"/>
                <w:szCs w:val="21"/>
                <w:highlight w:val="none"/>
              </w:rPr>
              <w:t>专</w:t>
            </w:r>
            <w:r>
              <w:rPr>
                <w:color w:val="auto"/>
                <w:spacing w:val="-6"/>
                <w:sz w:val="21"/>
                <w:szCs w:val="21"/>
                <w:highlight w:val="none"/>
              </w:rPr>
              <w:t>职安全生产</w:t>
            </w:r>
            <w:r>
              <w:rPr>
                <w:color w:val="auto"/>
                <w:spacing w:val="1"/>
                <w:sz w:val="21"/>
                <w:szCs w:val="21"/>
                <w:highlight w:val="none"/>
              </w:rPr>
              <w:t>管理人员不少于</w:t>
            </w:r>
            <w:r>
              <w:rPr>
                <w:rFonts w:hint="eastAsia"/>
                <w:color w:val="auto"/>
                <w:spacing w:val="1"/>
                <w:sz w:val="21"/>
                <w:szCs w:val="21"/>
                <w:highlight w:val="none"/>
                <w:lang w:val="en-US" w:eastAsia="zh-CN"/>
              </w:rPr>
              <w:t>1</w:t>
            </w:r>
            <w:r>
              <w:rPr>
                <w:color w:val="auto"/>
                <w:spacing w:val="1"/>
                <w:sz w:val="21"/>
                <w:szCs w:val="21"/>
                <w:highlight w:val="none"/>
              </w:rPr>
              <w:t>人</w:t>
            </w:r>
            <w:r>
              <w:rPr>
                <w:color w:val="auto"/>
                <w:spacing w:val="1"/>
                <w:position w:val="10"/>
                <w:sz w:val="11"/>
                <w:szCs w:val="11"/>
                <w:highlight w:val="none"/>
              </w:rPr>
              <w:t>④</w:t>
            </w:r>
            <w:r>
              <w:rPr>
                <w:color w:val="auto"/>
                <w:spacing w:val="-27"/>
                <w:position w:val="10"/>
                <w:sz w:val="11"/>
                <w:szCs w:val="11"/>
                <w:highlight w:val="none"/>
              </w:rPr>
              <w:t xml:space="preserve"> </w:t>
            </w:r>
            <w:r>
              <w:rPr>
                <w:color w:val="auto"/>
                <w:spacing w:val="1"/>
                <w:sz w:val="21"/>
                <w:szCs w:val="21"/>
                <w:highlight w:val="none"/>
              </w:rPr>
              <w:t>,且不得与拟派项目组其他主要人员相互兼任。</w:t>
            </w:r>
          </w:p>
          <w:p w14:paraId="1B2B32BC">
            <w:pPr>
              <w:pStyle w:val="17"/>
              <w:spacing w:before="24" w:line="218" w:lineRule="auto"/>
              <w:ind w:right="254" w:firstLine="382" w:firstLineChars="200"/>
              <w:rPr>
                <w:rFonts w:hint="eastAsia" w:ascii="Times New Roman" w:hAnsi="Times New Roman" w:cs="Times New Roman"/>
                <w:b/>
                <w:color w:val="auto"/>
                <w:spacing w:val="-10"/>
                <w:sz w:val="21"/>
                <w:szCs w:val="21"/>
                <w:highlight w:val="none"/>
                <w:lang w:eastAsia="zh-CN"/>
              </w:rPr>
            </w:pPr>
            <w:r>
              <w:rPr>
                <w:rFonts w:hint="eastAsia" w:ascii="Times New Roman" w:hAnsi="Times New Roman" w:cs="Times New Roman"/>
                <w:b/>
                <w:color w:val="auto"/>
                <w:spacing w:val="-10"/>
                <w:sz w:val="21"/>
                <w:szCs w:val="21"/>
                <w:highlight w:val="none"/>
                <w:lang w:eastAsia="zh-CN"/>
              </w:rPr>
              <w:t>注：根据《浙江省水利厅关于全面启用水利水电施工企业“三类人员”电子证书的公告》(浙水监督[2020]1号)规定，由浙江省水利厅颁发的企业主要负责人、项目负责人、专职安全生产管理人员的安全生产考核合格证书(A、B、C证)，以浙江省水利厅颁发的电子证书为准，原浙江省水利厅颁发的纸质证书不予认可。</w:t>
            </w:r>
          </w:p>
          <w:p w14:paraId="2E414E42">
            <w:pPr>
              <w:pStyle w:val="17"/>
              <w:spacing w:before="24" w:line="218" w:lineRule="auto"/>
              <w:ind w:right="254" w:firstLine="400" w:firstLineChars="200"/>
              <w:rPr>
                <w:rFonts w:hint="eastAsia" w:ascii="Times New Roman" w:hAnsi="Times New Roman" w:cs="Times New Roman"/>
                <w:b/>
                <w:color w:val="auto"/>
                <w:spacing w:val="-10"/>
                <w:sz w:val="21"/>
                <w:szCs w:val="21"/>
                <w:highlight w:val="none"/>
                <w:lang w:val="en-US" w:eastAsia="zh-CN"/>
              </w:rPr>
            </w:pPr>
            <w:r>
              <w:rPr>
                <w:rFonts w:hint="eastAsia"/>
                <w:color w:val="auto"/>
                <w:spacing w:val="-5"/>
                <w:sz w:val="21"/>
                <w:szCs w:val="21"/>
                <w:highlight w:val="none"/>
                <w:lang w:val="en-US" w:eastAsia="zh-CN"/>
              </w:rPr>
              <w:t>8、拟派项目组主要人员（指项目负责人、项目技术负责人、专职安全生产管理人员、安全员、质检员、施工员，下同）必须已在浙江省水利厅</w:t>
            </w:r>
            <w:r>
              <w:rPr>
                <w:rFonts w:hint="eastAsia" w:ascii="Times New Roman" w:hAnsi="Times New Roman" w:cs="Times New Roman"/>
                <w:b/>
                <w:color w:val="auto"/>
                <w:spacing w:val="-10"/>
                <w:sz w:val="21"/>
                <w:szCs w:val="21"/>
                <w:highlight w:val="none"/>
                <w:lang w:val="en-US" w:eastAsia="zh-CN"/>
              </w:rPr>
              <w:t>“浙江省水利建设市场信息”</w:t>
            </w:r>
            <w:r>
              <w:rPr>
                <w:rFonts w:hint="eastAsia"/>
                <w:color w:val="auto"/>
                <w:spacing w:val="-5"/>
                <w:sz w:val="21"/>
                <w:szCs w:val="21"/>
                <w:highlight w:val="none"/>
                <w:lang w:val="en-US" w:eastAsia="zh-CN"/>
              </w:rPr>
              <w:t>上公示。</w:t>
            </w:r>
          </w:p>
          <w:p w14:paraId="1523EFB3">
            <w:pPr>
              <w:pStyle w:val="17"/>
              <w:spacing w:before="24" w:line="218" w:lineRule="auto"/>
              <w:ind w:right="254" w:firstLine="400" w:firstLineChars="200"/>
              <w:rPr>
                <w:rFonts w:hint="eastAsia"/>
                <w:color w:val="auto"/>
                <w:spacing w:val="-5"/>
                <w:sz w:val="21"/>
                <w:szCs w:val="21"/>
                <w:highlight w:val="none"/>
                <w:lang w:val="en-US" w:eastAsia="zh-CN"/>
              </w:rPr>
            </w:pPr>
            <w:r>
              <w:rPr>
                <w:rFonts w:hint="eastAsia"/>
                <w:color w:val="auto"/>
                <w:spacing w:val="-5"/>
                <w:sz w:val="21"/>
                <w:szCs w:val="21"/>
                <w:highlight w:val="none"/>
                <w:lang w:val="en-US" w:eastAsia="zh-CN"/>
              </w:rPr>
              <w:t>9、法定代表人的委托代理人（如有）及拟派项目组主要人员应为投标人本单位正式员工。</w:t>
            </w:r>
          </w:p>
          <w:p w14:paraId="379F9341">
            <w:pPr>
              <w:pStyle w:val="17"/>
              <w:spacing w:before="24" w:line="218" w:lineRule="auto"/>
              <w:ind w:right="254" w:firstLine="400" w:firstLineChars="200"/>
              <w:rPr>
                <w:rFonts w:hint="eastAsia"/>
                <w:color w:val="auto"/>
                <w:spacing w:val="-5"/>
                <w:sz w:val="21"/>
                <w:szCs w:val="21"/>
                <w:highlight w:val="none"/>
                <w:lang w:val="en-US" w:eastAsia="zh-CN"/>
              </w:rPr>
            </w:pPr>
            <w:r>
              <w:rPr>
                <w:rFonts w:hint="eastAsia"/>
                <w:color w:val="auto"/>
                <w:spacing w:val="-5"/>
                <w:sz w:val="21"/>
                <w:szCs w:val="21"/>
                <w:highlight w:val="none"/>
                <w:lang w:val="en-US" w:eastAsia="zh-CN"/>
              </w:rPr>
              <w:t>10、投标人及其法定代表人、拟派项目负责人未被列入失信被执行人名单（以“信用中国”网站（www.creditchina.gov.cn）查询为准）。</w:t>
            </w:r>
            <w:r>
              <w:rPr>
                <w:rFonts w:hint="eastAsia" w:ascii="Times New Roman" w:hAnsi="Times New Roman" w:cs="Times New Roman"/>
                <w:b/>
                <w:bCs/>
                <w:color w:val="auto"/>
                <w:sz w:val="21"/>
                <w:szCs w:val="21"/>
                <w:highlight w:val="none"/>
                <w:lang w:eastAsia="zh-CN"/>
              </w:rPr>
              <w:t>（</w:t>
            </w:r>
            <w:r>
              <w:rPr>
                <w:rFonts w:hint="eastAsia" w:ascii="Times New Roman" w:hAnsi="Times New Roman" w:cs="Times New Roman"/>
                <w:b/>
                <w:bCs/>
                <w:color w:val="auto"/>
                <w:sz w:val="21"/>
                <w:szCs w:val="21"/>
                <w:highlight w:val="none"/>
                <w:lang w:val="en-US" w:eastAsia="zh-CN"/>
              </w:rPr>
              <w:t>需提供网页查询结果截图</w:t>
            </w:r>
            <w:r>
              <w:rPr>
                <w:rFonts w:hint="eastAsia" w:ascii="Times New Roman" w:hAnsi="Times New Roman" w:cs="Times New Roman"/>
                <w:b/>
                <w:bCs/>
                <w:color w:val="auto"/>
                <w:sz w:val="21"/>
                <w:szCs w:val="21"/>
                <w:highlight w:val="none"/>
                <w:lang w:eastAsia="zh-CN"/>
              </w:rPr>
              <w:t>）</w:t>
            </w:r>
          </w:p>
          <w:p w14:paraId="40EE95B7">
            <w:pPr>
              <w:pStyle w:val="17"/>
              <w:spacing w:before="24" w:line="218" w:lineRule="auto"/>
              <w:ind w:right="254" w:firstLine="400" w:firstLineChars="200"/>
              <w:rPr>
                <w:rFonts w:hint="eastAsia" w:ascii="Times New Roman" w:hAnsi="Times New Roman" w:cs="Times New Roman"/>
                <w:b/>
                <w:color w:val="auto"/>
                <w:spacing w:val="-10"/>
                <w:sz w:val="21"/>
                <w:szCs w:val="21"/>
                <w:highlight w:val="none"/>
                <w:lang w:val="en-US" w:eastAsia="zh-CN"/>
              </w:rPr>
            </w:pPr>
            <w:r>
              <w:rPr>
                <w:rFonts w:hint="eastAsia"/>
                <w:color w:val="auto"/>
                <w:spacing w:val="-5"/>
                <w:sz w:val="21"/>
                <w:szCs w:val="21"/>
                <w:highlight w:val="none"/>
                <w:lang w:val="en-US" w:eastAsia="zh-CN"/>
              </w:rPr>
              <w:t>11、投标人、投标人的“三类人员”、拟派项目组主要人员未被列入全国水利建设市场信用平台“黑名单”。</w:t>
            </w:r>
          </w:p>
        </w:tc>
      </w:tr>
      <w:tr w14:paraId="70D4A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52" w:type="dxa"/>
            <w:tcBorders>
              <w:left w:val="single" w:color="000000" w:sz="6" w:space="0"/>
            </w:tcBorders>
            <w:vAlign w:val="top"/>
          </w:tcPr>
          <w:p w14:paraId="7D0AA169">
            <w:pPr>
              <w:spacing w:before="226" w:line="188" w:lineRule="auto"/>
              <w:ind w:left="26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3.5.2</w:t>
            </w:r>
          </w:p>
        </w:tc>
        <w:tc>
          <w:tcPr>
            <w:tcW w:w="2221" w:type="dxa"/>
            <w:vAlign w:val="top"/>
          </w:tcPr>
          <w:p w14:paraId="10F5BAC0">
            <w:pPr>
              <w:pStyle w:val="17"/>
              <w:spacing w:before="53" w:line="223" w:lineRule="auto"/>
              <w:ind w:left="109" w:right="108" w:hanging="2"/>
              <w:rPr>
                <w:color w:val="auto"/>
                <w:sz w:val="21"/>
                <w:szCs w:val="21"/>
                <w:highlight w:val="none"/>
              </w:rPr>
            </w:pPr>
            <w:r>
              <w:rPr>
                <w:color w:val="auto"/>
                <w:spacing w:val="12"/>
                <w:sz w:val="21"/>
                <w:szCs w:val="21"/>
                <w:highlight w:val="none"/>
              </w:rPr>
              <w:t>近年财务状况的年份要</w:t>
            </w:r>
            <w:r>
              <w:rPr>
                <w:color w:val="auto"/>
                <w:sz w:val="21"/>
                <w:szCs w:val="21"/>
                <w:highlight w:val="none"/>
              </w:rPr>
              <w:t>求</w:t>
            </w:r>
          </w:p>
        </w:tc>
        <w:tc>
          <w:tcPr>
            <w:tcW w:w="5729" w:type="dxa"/>
            <w:tcBorders>
              <w:right w:val="single" w:color="000000" w:sz="6" w:space="0"/>
            </w:tcBorders>
            <w:vAlign w:val="top"/>
          </w:tcPr>
          <w:p w14:paraId="30201BEA">
            <w:pPr>
              <w:pStyle w:val="17"/>
              <w:tabs>
                <w:tab w:val="left" w:pos="839"/>
              </w:tabs>
              <w:spacing w:before="189" w:line="220" w:lineRule="auto"/>
              <w:ind w:left="314"/>
              <w:rPr>
                <w:strike/>
                <w:dstrike w:val="0"/>
                <w:color w:val="auto"/>
                <w:sz w:val="21"/>
                <w:szCs w:val="21"/>
                <w:highlight w:val="none"/>
              </w:rPr>
            </w:pPr>
            <w:r>
              <w:rPr>
                <w:strike/>
                <w:dstrike w:val="0"/>
                <w:color w:val="auto"/>
                <w:sz w:val="21"/>
                <w:szCs w:val="21"/>
                <w:highlight w:val="none"/>
                <w:u w:val="single" w:color="auto"/>
              </w:rPr>
              <w:tab/>
            </w:r>
            <w:r>
              <w:rPr>
                <w:strike/>
                <w:dstrike w:val="0"/>
                <w:color w:val="auto"/>
                <w:spacing w:val="-94"/>
                <w:sz w:val="21"/>
                <w:szCs w:val="21"/>
                <w:highlight w:val="none"/>
              </w:rPr>
              <w:t xml:space="preserve"> </w:t>
            </w:r>
            <w:r>
              <w:rPr>
                <w:strike/>
                <w:dstrike w:val="0"/>
                <w:color w:val="auto"/>
                <w:spacing w:val="-3"/>
                <w:sz w:val="21"/>
                <w:szCs w:val="21"/>
                <w:highlight w:val="none"/>
              </w:rPr>
              <w:t>年（</w:t>
            </w:r>
            <w:r>
              <w:rPr>
                <w:strike/>
                <w:dstrike w:val="0"/>
                <w:color w:val="auto"/>
                <w:spacing w:val="-3"/>
                <w:sz w:val="21"/>
                <w:szCs w:val="21"/>
                <w:highlight w:val="none"/>
                <w:u w:val="single" w:color="auto"/>
              </w:rPr>
              <w:t xml:space="preserve">     </w:t>
            </w:r>
            <w:r>
              <w:rPr>
                <w:strike/>
                <w:dstrike w:val="0"/>
                <w:color w:val="auto"/>
                <w:spacing w:val="-96"/>
                <w:sz w:val="21"/>
                <w:szCs w:val="21"/>
                <w:highlight w:val="none"/>
              </w:rPr>
              <w:t xml:space="preserve"> </w:t>
            </w:r>
            <w:r>
              <w:rPr>
                <w:strike/>
                <w:dstrike w:val="0"/>
                <w:color w:val="auto"/>
                <w:spacing w:val="-3"/>
                <w:sz w:val="21"/>
                <w:szCs w:val="21"/>
                <w:highlight w:val="none"/>
              </w:rPr>
              <w:t>年至</w:t>
            </w:r>
            <w:r>
              <w:rPr>
                <w:strike/>
                <w:dstrike w:val="0"/>
                <w:color w:val="auto"/>
                <w:spacing w:val="26"/>
                <w:sz w:val="21"/>
                <w:szCs w:val="21"/>
                <w:highlight w:val="none"/>
                <w:u w:val="single" w:color="auto"/>
              </w:rPr>
              <w:t xml:space="preserve">    </w:t>
            </w:r>
            <w:r>
              <w:rPr>
                <w:strike/>
                <w:dstrike w:val="0"/>
                <w:color w:val="auto"/>
                <w:spacing w:val="-96"/>
                <w:sz w:val="21"/>
                <w:szCs w:val="21"/>
                <w:highlight w:val="none"/>
              </w:rPr>
              <w:t xml:space="preserve"> </w:t>
            </w:r>
            <w:r>
              <w:rPr>
                <w:strike/>
                <w:dstrike w:val="0"/>
                <w:color w:val="auto"/>
                <w:spacing w:val="-3"/>
                <w:sz w:val="21"/>
                <w:szCs w:val="21"/>
                <w:highlight w:val="none"/>
              </w:rPr>
              <w:t>年）</w:t>
            </w:r>
          </w:p>
        </w:tc>
      </w:tr>
      <w:tr w14:paraId="7487C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52" w:type="dxa"/>
            <w:tcBorders>
              <w:left w:val="single" w:color="000000" w:sz="6" w:space="0"/>
            </w:tcBorders>
            <w:vAlign w:val="top"/>
          </w:tcPr>
          <w:p w14:paraId="50B1F2C1">
            <w:pPr>
              <w:spacing w:before="228" w:line="188" w:lineRule="auto"/>
              <w:ind w:left="26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3.5.3</w:t>
            </w:r>
          </w:p>
        </w:tc>
        <w:tc>
          <w:tcPr>
            <w:tcW w:w="2221" w:type="dxa"/>
            <w:vAlign w:val="top"/>
          </w:tcPr>
          <w:p w14:paraId="0C7E7DCC">
            <w:pPr>
              <w:pStyle w:val="17"/>
              <w:spacing w:before="55" w:line="222" w:lineRule="auto"/>
              <w:ind w:left="109" w:right="108" w:hanging="2"/>
              <w:rPr>
                <w:color w:val="auto"/>
                <w:sz w:val="21"/>
                <w:szCs w:val="21"/>
                <w:highlight w:val="none"/>
              </w:rPr>
            </w:pPr>
            <w:r>
              <w:rPr>
                <w:color w:val="auto"/>
                <w:spacing w:val="12"/>
                <w:sz w:val="21"/>
                <w:szCs w:val="21"/>
                <w:highlight w:val="none"/>
              </w:rPr>
              <w:t>近年完成的类似项目情</w:t>
            </w:r>
            <w:r>
              <w:rPr>
                <w:color w:val="auto"/>
                <w:spacing w:val="-2"/>
                <w:sz w:val="21"/>
                <w:szCs w:val="21"/>
                <w:highlight w:val="none"/>
              </w:rPr>
              <w:t>况的年份要求</w:t>
            </w:r>
          </w:p>
        </w:tc>
        <w:tc>
          <w:tcPr>
            <w:tcW w:w="5729" w:type="dxa"/>
            <w:tcBorders>
              <w:right w:val="single" w:color="000000" w:sz="6" w:space="0"/>
            </w:tcBorders>
            <w:vAlign w:val="top"/>
          </w:tcPr>
          <w:p w14:paraId="24EBC84D">
            <w:pPr>
              <w:pStyle w:val="17"/>
              <w:tabs>
                <w:tab w:val="left" w:pos="839"/>
              </w:tabs>
              <w:spacing w:before="191" w:line="220" w:lineRule="auto"/>
              <w:ind w:left="314"/>
              <w:rPr>
                <w:strike/>
                <w:dstrike w:val="0"/>
                <w:color w:val="auto"/>
                <w:sz w:val="21"/>
                <w:szCs w:val="21"/>
                <w:highlight w:val="none"/>
              </w:rPr>
            </w:pPr>
            <w:r>
              <w:rPr>
                <w:strike/>
                <w:dstrike w:val="0"/>
                <w:color w:val="auto"/>
                <w:sz w:val="21"/>
                <w:szCs w:val="21"/>
                <w:highlight w:val="none"/>
                <w:u w:val="single" w:color="auto"/>
              </w:rPr>
              <w:tab/>
            </w:r>
            <w:r>
              <w:rPr>
                <w:strike/>
                <w:dstrike w:val="0"/>
                <w:color w:val="auto"/>
                <w:spacing w:val="-80"/>
                <w:sz w:val="21"/>
                <w:szCs w:val="21"/>
                <w:highlight w:val="none"/>
              </w:rPr>
              <w:t xml:space="preserve"> </w:t>
            </w:r>
            <w:r>
              <w:rPr>
                <w:strike/>
                <w:dstrike w:val="0"/>
                <w:color w:val="auto"/>
                <w:spacing w:val="-5"/>
                <w:sz w:val="21"/>
                <w:szCs w:val="21"/>
                <w:highlight w:val="none"/>
              </w:rPr>
              <w:t>年（</w:t>
            </w:r>
            <w:r>
              <w:rPr>
                <w:strike/>
                <w:dstrike w:val="0"/>
                <w:color w:val="auto"/>
                <w:spacing w:val="-5"/>
                <w:sz w:val="21"/>
                <w:szCs w:val="21"/>
                <w:highlight w:val="none"/>
                <w:u w:val="single" w:color="auto"/>
              </w:rPr>
              <w:t xml:space="preserve">    </w:t>
            </w:r>
            <w:r>
              <w:rPr>
                <w:strike/>
                <w:dstrike w:val="0"/>
                <w:color w:val="auto"/>
                <w:spacing w:val="-95"/>
                <w:sz w:val="21"/>
                <w:szCs w:val="21"/>
                <w:highlight w:val="none"/>
              </w:rPr>
              <w:t xml:space="preserve"> </w:t>
            </w:r>
            <w:r>
              <w:rPr>
                <w:strike/>
                <w:dstrike w:val="0"/>
                <w:color w:val="auto"/>
                <w:spacing w:val="-5"/>
                <w:sz w:val="21"/>
                <w:szCs w:val="21"/>
                <w:highlight w:val="none"/>
              </w:rPr>
              <w:t>年</w:t>
            </w:r>
            <w:r>
              <w:rPr>
                <w:strike/>
                <w:dstrike w:val="0"/>
                <w:color w:val="auto"/>
                <w:spacing w:val="-5"/>
                <w:sz w:val="21"/>
                <w:szCs w:val="21"/>
                <w:highlight w:val="none"/>
                <w:u w:val="single" w:color="auto"/>
              </w:rPr>
              <w:t xml:space="preserve">    </w:t>
            </w:r>
            <w:r>
              <w:rPr>
                <w:strike/>
                <w:dstrike w:val="0"/>
                <w:color w:val="auto"/>
                <w:spacing w:val="-92"/>
                <w:sz w:val="21"/>
                <w:szCs w:val="21"/>
                <w:highlight w:val="none"/>
              </w:rPr>
              <w:t xml:space="preserve"> </w:t>
            </w:r>
            <w:r>
              <w:rPr>
                <w:strike/>
                <w:dstrike w:val="0"/>
                <w:color w:val="auto"/>
                <w:spacing w:val="-5"/>
                <w:sz w:val="21"/>
                <w:szCs w:val="21"/>
                <w:highlight w:val="none"/>
              </w:rPr>
              <w:t>月</w:t>
            </w:r>
            <w:r>
              <w:rPr>
                <w:strike/>
                <w:dstrike w:val="0"/>
                <w:color w:val="auto"/>
                <w:spacing w:val="34"/>
                <w:sz w:val="21"/>
                <w:szCs w:val="21"/>
                <w:highlight w:val="none"/>
                <w:u w:val="single" w:color="auto"/>
              </w:rPr>
              <w:t xml:space="preserve">   </w:t>
            </w:r>
            <w:r>
              <w:rPr>
                <w:strike/>
                <w:dstrike w:val="0"/>
                <w:color w:val="auto"/>
                <w:spacing w:val="-59"/>
                <w:sz w:val="21"/>
                <w:szCs w:val="21"/>
                <w:highlight w:val="none"/>
              </w:rPr>
              <w:t xml:space="preserve"> </w:t>
            </w:r>
            <w:r>
              <w:rPr>
                <w:strike/>
                <w:dstrike w:val="0"/>
                <w:color w:val="auto"/>
                <w:spacing w:val="-5"/>
                <w:sz w:val="21"/>
                <w:szCs w:val="21"/>
                <w:highlight w:val="none"/>
              </w:rPr>
              <w:t>日至投标截止时间）</w:t>
            </w:r>
          </w:p>
        </w:tc>
      </w:tr>
      <w:tr w14:paraId="10FCC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6E386768">
            <w:pPr>
              <w:spacing w:before="229" w:line="188" w:lineRule="auto"/>
              <w:ind w:left="26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3.5.5</w:t>
            </w:r>
          </w:p>
        </w:tc>
        <w:tc>
          <w:tcPr>
            <w:tcW w:w="2221" w:type="dxa"/>
            <w:vAlign w:val="top"/>
          </w:tcPr>
          <w:p w14:paraId="2DDAD88A">
            <w:pPr>
              <w:pStyle w:val="17"/>
              <w:spacing w:before="56" w:line="222" w:lineRule="auto"/>
              <w:ind w:left="108" w:right="108" w:hanging="1"/>
              <w:rPr>
                <w:color w:val="auto"/>
                <w:sz w:val="21"/>
                <w:szCs w:val="21"/>
                <w:highlight w:val="none"/>
              </w:rPr>
            </w:pPr>
            <w:r>
              <w:rPr>
                <w:color w:val="auto"/>
                <w:spacing w:val="12"/>
                <w:sz w:val="21"/>
                <w:szCs w:val="21"/>
                <w:highlight w:val="none"/>
              </w:rPr>
              <w:t>近年发生的诉讼及仲裁</w:t>
            </w:r>
            <w:r>
              <w:rPr>
                <w:color w:val="auto"/>
                <w:spacing w:val="-2"/>
                <w:sz w:val="21"/>
                <w:szCs w:val="21"/>
                <w:highlight w:val="none"/>
              </w:rPr>
              <w:t>情况的年份要求</w:t>
            </w:r>
          </w:p>
        </w:tc>
        <w:tc>
          <w:tcPr>
            <w:tcW w:w="5729" w:type="dxa"/>
            <w:tcBorders>
              <w:right w:val="single" w:color="000000" w:sz="6" w:space="0"/>
            </w:tcBorders>
            <w:vAlign w:val="top"/>
          </w:tcPr>
          <w:p w14:paraId="59DBD7E5">
            <w:pPr>
              <w:pStyle w:val="17"/>
              <w:tabs>
                <w:tab w:val="left" w:pos="839"/>
              </w:tabs>
              <w:spacing w:before="192" w:line="220" w:lineRule="auto"/>
              <w:ind w:left="314"/>
              <w:rPr>
                <w:strike/>
                <w:dstrike w:val="0"/>
                <w:color w:val="auto"/>
                <w:sz w:val="21"/>
                <w:szCs w:val="21"/>
                <w:highlight w:val="none"/>
              </w:rPr>
            </w:pPr>
            <w:r>
              <w:rPr>
                <w:strike/>
                <w:dstrike w:val="0"/>
                <w:color w:val="auto"/>
                <w:sz w:val="21"/>
                <w:szCs w:val="21"/>
                <w:highlight w:val="none"/>
                <w:u w:val="single" w:color="auto"/>
              </w:rPr>
              <w:tab/>
            </w:r>
            <w:r>
              <w:rPr>
                <w:strike/>
                <w:dstrike w:val="0"/>
                <w:color w:val="auto"/>
                <w:spacing w:val="-80"/>
                <w:sz w:val="21"/>
                <w:szCs w:val="21"/>
                <w:highlight w:val="none"/>
              </w:rPr>
              <w:t xml:space="preserve"> </w:t>
            </w:r>
            <w:r>
              <w:rPr>
                <w:strike/>
                <w:dstrike w:val="0"/>
                <w:color w:val="auto"/>
                <w:spacing w:val="-5"/>
                <w:sz w:val="21"/>
                <w:szCs w:val="21"/>
                <w:highlight w:val="none"/>
              </w:rPr>
              <w:t>年（</w:t>
            </w:r>
            <w:r>
              <w:rPr>
                <w:strike/>
                <w:dstrike w:val="0"/>
                <w:color w:val="auto"/>
                <w:spacing w:val="-5"/>
                <w:sz w:val="21"/>
                <w:szCs w:val="21"/>
                <w:highlight w:val="none"/>
                <w:u w:val="single" w:color="auto"/>
              </w:rPr>
              <w:t xml:space="preserve">    </w:t>
            </w:r>
            <w:r>
              <w:rPr>
                <w:strike/>
                <w:dstrike w:val="0"/>
                <w:color w:val="auto"/>
                <w:spacing w:val="-95"/>
                <w:sz w:val="21"/>
                <w:szCs w:val="21"/>
                <w:highlight w:val="none"/>
              </w:rPr>
              <w:t xml:space="preserve"> </w:t>
            </w:r>
            <w:r>
              <w:rPr>
                <w:strike/>
                <w:dstrike w:val="0"/>
                <w:color w:val="auto"/>
                <w:spacing w:val="-5"/>
                <w:sz w:val="21"/>
                <w:szCs w:val="21"/>
                <w:highlight w:val="none"/>
              </w:rPr>
              <w:t>年</w:t>
            </w:r>
            <w:r>
              <w:rPr>
                <w:strike/>
                <w:dstrike w:val="0"/>
                <w:color w:val="auto"/>
                <w:spacing w:val="-5"/>
                <w:sz w:val="21"/>
                <w:szCs w:val="21"/>
                <w:highlight w:val="none"/>
                <w:u w:val="single" w:color="auto"/>
              </w:rPr>
              <w:t xml:space="preserve">    </w:t>
            </w:r>
            <w:r>
              <w:rPr>
                <w:strike/>
                <w:dstrike w:val="0"/>
                <w:color w:val="auto"/>
                <w:spacing w:val="-92"/>
                <w:sz w:val="21"/>
                <w:szCs w:val="21"/>
                <w:highlight w:val="none"/>
              </w:rPr>
              <w:t xml:space="preserve"> </w:t>
            </w:r>
            <w:r>
              <w:rPr>
                <w:strike/>
                <w:dstrike w:val="0"/>
                <w:color w:val="auto"/>
                <w:spacing w:val="-5"/>
                <w:sz w:val="21"/>
                <w:szCs w:val="21"/>
                <w:highlight w:val="none"/>
              </w:rPr>
              <w:t>月</w:t>
            </w:r>
            <w:r>
              <w:rPr>
                <w:strike/>
                <w:dstrike w:val="0"/>
                <w:color w:val="auto"/>
                <w:spacing w:val="34"/>
                <w:sz w:val="21"/>
                <w:szCs w:val="21"/>
                <w:highlight w:val="none"/>
                <w:u w:val="single" w:color="auto"/>
              </w:rPr>
              <w:t xml:space="preserve">   </w:t>
            </w:r>
            <w:r>
              <w:rPr>
                <w:strike/>
                <w:dstrike w:val="0"/>
                <w:color w:val="auto"/>
                <w:spacing w:val="-59"/>
                <w:sz w:val="21"/>
                <w:szCs w:val="21"/>
                <w:highlight w:val="none"/>
              </w:rPr>
              <w:t xml:space="preserve"> </w:t>
            </w:r>
            <w:r>
              <w:rPr>
                <w:strike/>
                <w:dstrike w:val="0"/>
                <w:color w:val="auto"/>
                <w:spacing w:val="-5"/>
                <w:sz w:val="21"/>
                <w:szCs w:val="21"/>
                <w:highlight w:val="none"/>
              </w:rPr>
              <w:t>日至投标截止时间）</w:t>
            </w:r>
          </w:p>
        </w:tc>
      </w:tr>
      <w:tr w14:paraId="3AB20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952" w:type="dxa"/>
            <w:tcBorders>
              <w:left w:val="single" w:color="000000" w:sz="6" w:space="0"/>
              <w:bottom w:val="single" w:color="000000" w:sz="6" w:space="0"/>
            </w:tcBorders>
            <w:vAlign w:val="top"/>
          </w:tcPr>
          <w:p w14:paraId="05DD301D">
            <w:pPr>
              <w:spacing w:before="229" w:line="188" w:lineRule="auto"/>
              <w:ind w:left="34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3.6</w:t>
            </w:r>
          </w:p>
        </w:tc>
        <w:tc>
          <w:tcPr>
            <w:tcW w:w="2221" w:type="dxa"/>
            <w:tcBorders>
              <w:bottom w:val="single" w:color="000000" w:sz="6" w:space="0"/>
            </w:tcBorders>
            <w:vAlign w:val="top"/>
          </w:tcPr>
          <w:p w14:paraId="3C934585">
            <w:pPr>
              <w:pStyle w:val="17"/>
              <w:spacing w:before="56" w:line="228" w:lineRule="auto"/>
              <w:ind w:left="109" w:right="238" w:firstLine="2"/>
              <w:rPr>
                <w:color w:val="auto"/>
                <w:sz w:val="21"/>
                <w:szCs w:val="21"/>
                <w:highlight w:val="none"/>
              </w:rPr>
            </w:pPr>
            <w:r>
              <w:rPr>
                <w:color w:val="auto"/>
                <w:spacing w:val="-2"/>
                <w:sz w:val="21"/>
                <w:szCs w:val="21"/>
                <w:highlight w:val="none"/>
              </w:rPr>
              <w:t>是否允许递交备选投标</w:t>
            </w:r>
            <w:r>
              <w:rPr>
                <w:color w:val="auto"/>
                <w:spacing w:val="-3"/>
                <w:sz w:val="21"/>
                <w:szCs w:val="21"/>
                <w:highlight w:val="none"/>
              </w:rPr>
              <w:t>方案</w:t>
            </w:r>
          </w:p>
        </w:tc>
        <w:tc>
          <w:tcPr>
            <w:tcW w:w="5729" w:type="dxa"/>
            <w:tcBorders>
              <w:bottom w:val="single" w:color="000000" w:sz="6" w:space="0"/>
              <w:right w:val="single" w:color="000000" w:sz="6" w:space="0"/>
            </w:tcBorders>
            <w:vAlign w:val="top"/>
          </w:tcPr>
          <w:p w14:paraId="402D2EA6">
            <w:pPr>
              <w:pStyle w:val="17"/>
              <w:spacing w:before="55" w:line="220" w:lineRule="auto"/>
              <w:ind w:left="224"/>
              <w:rPr>
                <w:color w:val="auto"/>
                <w:sz w:val="21"/>
                <w:szCs w:val="21"/>
                <w:highlight w:val="none"/>
              </w:rPr>
            </w:pPr>
            <w:r>
              <w:rPr>
                <w:rFonts w:hint="eastAsia" w:ascii="Times New Roman" w:hAnsi="Times New Roman" w:eastAsia="宋体" w:cs="Times New Roman"/>
                <w:color w:val="auto"/>
                <w:spacing w:val="-8"/>
                <w:sz w:val="21"/>
                <w:szCs w:val="21"/>
                <w:highlight w:val="none"/>
                <w:lang w:eastAsia="zh-CN"/>
              </w:rPr>
              <w:t>☑</w:t>
            </w:r>
            <w:r>
              <w:rPr>
                <w:color w:val="auto"/>
                <w:spacing w:val="-8"/>
                <w:sz w:val="21"/>
                <w:szCs w:val="21"/>
                <w:highlight w:val="none"/>
              </w:rPr>
              <w:t>不允许。</w:t>
            </w:r>
          </w:p>
          <w:p w14:paraId="58B9F0A1">
            <w:pPr>
              <w:pStyle w:val="17"/>
              <w:spacing w:before="22" w:line="217" w:lineRule="auto"/>
              <w:ind w:left="224"/>
              <w:rPr>
                <w:color w:val="auto"/>
                <w:sz w:val="21"/>
                <w:szCs w:val="21"/>
                <w:highlight w:val="none"/>
              </w:rPr>
            </w:pPr>
            <w:r>
              <w:rPr>
                <w:rFonts w:ascii="Times New Roman" w:hAnsi="Times New Roman" w:eastAsia="Times New Roman" w:cs="Times New Roman"/>
                <w:strike/>
                <w:dstrike w:val="0"/>
                <w:color w:val="auto"/>
                <w:spacing w:val="-12"/>
                <w:sz w:val="21"/>
                <w:szCs w:val="21"/>
                <w:highlight w:val="none"/>
              </w:rPr>
              <w:t>□</w:t>
            </w:r>
            <w:r>
              <w:rPr>
                <w:rFonts w:ascii="Times New Roman" w:hAnsi="Times New Roman" w:eastAsia="Times New Roman" w:cs="Times New Roman"/>
                <w:strike/>
                <w:dstrike w:val="0"/>
                <w:color w:val="auto"/>
                <w:spacing w:val="-36"/>
                <w:sz w:val="21"/>
                <w:szCs w:val="21"/>
                <w:highlight w:val="none"/>
              </w:rPr>
              <w:t xml:space="preserve"> </w:t>
            </w:r>
            <w:r>
              <w:rPr>
                <w:strike/>
                <w:dstrike w:val="0"/>
                <w:color w:val="auto"/>
                <w:spacing w:val="-12"/>
                <w:sz w:val="21"/>
                <w:szCs w:val="21"/>
                <w:highlight w:val="none"/>
              </w:rPr>
              <w:t>允许。</w:t>
            </w:r>
          </w:p>
        </w:tc>
      </w:tr>
    </w:tbl>
    <w:p w14:paraId="1A294BDA">
      <w:pPr>
        <w:spacing w:line="89" w:lineRule="auto"/>
        <w:rPr>
          <w:rFonts w:ascii="Arial"/>
          <w:color w:val="auto"/>
          <w:sz w:val="2"/>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238"/>
        <w:gridCol w:w="5712"/>
      </w:tblGrid>
      <w:tr w14:paraId="21DEA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952" w:type="dxa"/>
            <w:tcBorders>
              <w:left w:val="single" w:color="000000" w:sz="6" w:space="0"/>
            </w:tcBorders>
            <w:vAlign w:val="top"/>
          </w:tcPr>
          <w:p w14:paraId="6D010023">
            <w:pPr>
              <w:spacing w:line="253" w:lineRule="auto"/>
              <w:rPr>
                <w:rFonts w:ascii="Arial"/>
                <w:color w:val="auto"/>
                <w:sz w:val="21"/>
                <w:highlight w:val="none"/>
              </w:rPr>
            </w:pPr>
          </w:p>
          <w:p w14:paraId="73C2DB11">
            <w:pPr>
              <w:spacing w:line="253" w:lineRule="auto"/>
              <w:rPr>
                <w:rFonts w:ascii="Arial"/>
                <w:color w:val="auto"/>
                <w:sz w:val="21"/>
                <w:highlight w:val="none"/>
              </w:rPr>
            </w:pPr>
          </w:p>
          <w:p w14:paraId="5DB6E48D">
            <w:pPr>
              <w:spacing w:line="253" w:lineRule="auto"/>
              <w:rPr>
                <w:rFonts w:ascii="Arial"/>
                <w:color w:val="auto"/>
                <w:sz w:val="21"/>
                <w:highlight w:val="none"/>
              </w:rPr>
            </w:pPr>
          </w:p>
          <w:p w14:paraId="0DE41382">
            <w:pPr>
              <w:spacing w:line="253" w:lineRule="auto"/>
              <w:rPr>
                <w:rFonts w:ascii="Arial"/>
                <w:color w:val="auto"/>
                <w:sz w:val="21"/>
                <w:highlight w:val="none"/>
              </w:rPr>
            </w:pPr>
          </w:p>
          <w:p w14:paraId="32DA92F9">
            <w:pPr>
              <w:spacing w:line="254" w:lineRule="auto"/>
              <w:rPr>
                <w:rFonts w:ascii="Arial"/>
                <w:color w:val="auto"/>
                <w:sz w:val="21"/>
                <w:highlight w:val="none"/>
              </w:rPr>
            </w:pPr>
          </w:p>
          <w:p w14:paraId="22229452">
            <w:pPr>
              <w:spacing w:before="61" w:line="188" w:lineRule="auto"/>
              <w:ind w:left="26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3.7.3</w:t>
            </w:r>
          </w:p>
        </w:tc>
        <w:tc>
          <w:tcPr>
            <w:tcW w:w="2238" w:type="dxa"/>
            <w:vAlign w:val="top"/>
          </w:tcPr>
          <w:p w14:paraId="1EE6B79E">
            <w:pPr>
              <w:spacing w:line="244" w:lineRule="auto"/>
              <w:rPr>
                <w:rFonts w:ascii="Arial"/>
                <w:color w:val="auto"/>
                <w:sz w:val="21"/>
                <w:highlight w:val="none"/>
              </w:rPr>
            </w:pPr>
          </w:p>
          <w:p w14:paraId="4E5E03B3">
            <w:pPr>
              <w:spacing w:line="244" w:lineRule="auto"/>
              <w:rPr>
                <w:rFonts w:ascii="Arial"/>
                <w:color w:val="auto"/>
                <w:sz w:val="21"/>
                <w:highlight w:val="none"/>
              </w:rPr>
            </w:pPr>
          </w:p>
          <w:p w14:paraId="00291998">
            <w:pPr>
              <w:spacing w:line="244" w:lineRule="auto"/>
              <w:rPr>
                <w:rFonts w:ascii="Arial"/>
                <w:color w:val="auto"/>
                <w:sz w:val="21"/>
                <w:highlight w:val="none"/>
              </w:rPr>
            </w:pPr>
          </w:p>
          <w:p w14:paraId="64B3F924">
            <w:pPr>
              <w:spacing w:line="245" w:lineRule="auto"/>
              <w:rPr>
                <w:rFonts w:ascii="Arial"/>
                <w:color w:val="auto"/>
                <w:sz w:val="21"/>
                <w:highlight w:val="none"/>
              </w:rPr>
            </w:pPr>
          </w:p>
          <w:p w14:paraId="736185D8">
            <w:pPr>
              <w:spacing w:line="245" w:lineRule="auto"/>
              <w:rPr>
                <w:rFonts w:ascii="Arial"/>
                <w:color w:val="auto"/>
                <w:sz w:val="21"/>
                <w:highlight w:val="none"/>
              </w:rPr>
            </w:pPr>
          </w:p>
          <w:p w14:paraId="0F2D3E79">
            <w:pPr>
              <w:pStyle w:val="17"/>
              <w:spacing w:before="68" w:line="219" w:lineRule="auto"/>
              <w:ind w:left="108"/>
              <w:rPr>
                <w:color w:val="auto"/>
                <w:sz w:val="21"/>
                <w:szCs w:val="21"/>
                <w:highlight w:val="none"/>
              </w:rPr>
            </w:pPr>
            <w:r>
              <w:rPr>
                <w:color w:val="auto"/>
                <w:spacing w:val="-2"/>
                <w:sz w:val="21"/>
                <w:szCs w:val="21"/>
                <w:highlight w:val="none"/>
              </w:rPr>
              <w:t>签字或盖章要求</w:t>
            </w:r>
          </w:p>
        </w:tc>
        <w:tc>
          <w:tcPr>
            <w:tcW w:w="5712" w:type="dxa"/>
            <w:tcBorders>
              <w:right w:val="single" w:color="000000" w:sz="6" w:space="0"/>
            </w:tcBorders>
            <w:vAlign w:val="top"/>
          </w:tcPr>
          <w:p w14:paraId="081F7CD1">
            <w:pPr>
              <w:pStyle w:val="17"/>
              <w:spacing w:before="206" w:line="237" w:lineRule="auto"/>
              <w:ind w:left="113" w:right="102" w:firstLine="225"/>
              <w:rPr>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1</w:t>
            </w:r>
            <w:r>
              <w:rPr>
                <w:rFonts w:ascii="Times New Roman" w:hAnsi="Times New Roman" w:eastAsia="Times New Roman" w:cs="Times New Roman"/>
                <w:b/>
                <w:bCs/>
                <w:strike/>
                <w:dstrike w:val="0"/>
                <w:color w:val="auto"/>
                <w:spacing w:val="3"/>
                <w:sz w:val="21"/>
                <w:szCs w:val="21"/>
                <w:highlight w:val="none"/>
              </w:rPr>
              <w:t xml:space="preserve">.  </w:t>
            </w:r>
            <w:r>
              <w:rPr>
                <w:strike/>
                <w:dstrike w:val="0"/>
                <w:color w:val="auto"/>
                <w:spacing w:val="3"/>
                <w:sz w:val="21"/>
                <w:szCs w:val="21"/>
                <w:highlight w:val="none"/>
              </w:rPr>
              <w:t>投标文件格式文件要求法定代表人签字或盖章的</w:t>
            </w:r>
            <w:r>
              <w:rPr>
                <w:rFonts w:ascii="Times New Roman" w:hAnsi="Times New Roman" w:eastAsia="Times New Roman" w:cs="Times New Roman"/>
                <w:strike/>
                <w:dstrike w:val="0"/>
                <w:color w:val="auto"/>
                <w:spacing w:val="2"/>
                <w:sz w:val="21"/>
                <w:szCs w:val="21"/>
                <w:highlight w:val="none"/>
              </w:rPr>
              <w:t>,</w:t>
            </w:r>
            <w:r>
              <w:rPr>
                <w:rFonts w:ascii="Times New Roman" w:hAnsi="Times New Roman" w:eastAsia="Times New Roman" w:cs="Times New Roman"/>
                <w:strike/>
                <w:dstrike w:val="0"/>
                <w:color w:val="auto"/>
                <w:spacing w:val="-14"/>
                <w:sz w:val="21"/>
                <w:szCs w:val="21"/>
                <w:highlight w:val="none"/>
              </w:rPr>
              <w:t xml:space="preserve"> </w:t>
            </w:r>
            <w:r>
              <w:rPr>
                <w:strike/>
                <w:dstrike w:val="0"/>
                <w:color w:val="auto"/>
                <w:spacing w:val="2"/>
                <w:sz w:val="21"/>
                <w:szCs w:val="21"/>
                <w:highlight w:val="none"/>
              </w:rPr>
              <w:t>电</w:t>
            </w:r>
            <w:r>
              <w:rPr>
                <w:strike/>
                <w:dstrike w:val="0"/>
                <w:color w:val="auto"/>
                <w:sz w:val="21"/>
                <w:szCs w:val="21"/>
                <w:highlight w:val="none"/>
              </w:rPr>
              <w:t xml:space="preserve"> </w:t>
            </w:r>
            <w:r>
              <w:rPr>
                <w:strike/>
                <w:dstrike w:val="0"/>
                <w:color w:val="auto"/>
                <w:spacing w:val="6"/>
                <w:sz w:val="21"/>
                <w:szCs w:val="21"/>
                <w:highlight w:val="none"/>
              </w:rPr>
              <w:t>子投标文件应使用</w:t>
            </w:r>
            <w:r>
              <w:rPr>
                <w:rFonts w:ascii="Times New Roman" w:hAnsi="Times New Roman" w:eastAsia="Times New Roman" w:cs="Times New Roman"/>
                <w:b/>
                <w:bCs/>
                <w:strike/>
                <w:dstrike w:val="0"/>
                <w:color w:val="auto"/>
                <w:sz w:val="21"/>
                <w:szCs w:val="21"/>
                <w:highlight w:val="none"/>
              </w:rPr>
              <w:t>CA</w:t>
            </w:r>
            <w:r>
              <w:rPr>
                <w:strike/>
                <w:dstrike w:val="0"/>
                <w:color w:val="auto"/>
                <w:spacing w:val="6"/>
                <w:sz w:val="21"/>
                <w:szCs w:val="21"/>
                <w:highlight w:val="none"/>
              </w:rPr>
              <w:t>数字证书加盖法定代表人个人电子</w:t>
            </w:r>
            <w:r>
              <w:rPr>
                <w:strike/>
                <w:dstrike w:val="0"/>
                <w:color w:val="auto"/>
                <w:spacing w:val="8"/>
                <w:sz w:val="21"/>
                <w:szCs w:val="21"/>
                <w:highlight w:val="none"/>
              </w:rPr>
              <w:t xml:space="preserve"> </w:t>
            </w:r>
            <w:r>
              <w:rPr>
                <w:strike/>
                <w:dstrike w:val="0"/>
                <w:color w:val="auto"/>
                <w:spacing w:val="1"/>
                <w:sz w:val="21"/>
                <w:szCs w:val="21"/>
                <w:highlight w:val="none"/>
              </w:rPr>
              <w:t>印章；投标格式文件中要求投标人单位盖章的</w:t>
            </w:r>
            <w:r>
              <w:rPr>
                <w:strike/>
                <w:dstrike w:val="0"/>
                <w:color w:val="auto"/>
                <w:sz w:val="21"/>
                <w:szCs w:val="21"/>
                <w:highlight w:val="none"/>
              </w:rPr>
              <w:t xml:space="preserve">，电子投标 </w:t>
            </w:r>
            <w:r>
              <w:rPr>
                <w:strike/>
                <w:dstrike w:val="0"/>
                <w:color w:val="auto"/>
                <w:spacing w:val="-3"/>
                <w:sz w:val="21"/>
                <w:szCs w:val="21"/>
                <w:highlight w:val="none"/>
              </w:rPr>
              <w:t>文件应使用</w:t>
            </w:r>
            <w:r>
              <w:rPr>
                <w:rFonts w:ascii="Times New Roman" w:hAnsi="Times New Roman" w:eastAsia="Times New Roman" w:cs="Times New Roman"/>
                <w:b/>
                <w:bCs/>
                <w:strike/>
                <w:dstrike w:val="0"/>
                <w:color w:val="auto"/>
                <w:spacing w:val="-3"/>
                <w:sz w:val="21"/>
                <w:szCs w:val="21"/>
                <w:highlight w:val="none"/>
              </w:rPr>
              <w:t>CA</w:t>
            </w:r>
            <w:r>
              <w:rPr>
                <w:strike/>
                <w:dstrike w:val="0"/>
                <w:color w:val="auto"/>
                <w:spacing w:val="-3"/>
                <w:sz w:val="21"/>
                <w:szCs w:val="21"/>
                <w:highlight w:val="none"/>
              </w:rPr>
              <w:t>数字证书加盖投标人单位电子印章。联合体</w:t>
            </w:r>
            <w:r>
              <w:rPr>
                <w:strike/>
                <w:dstrike w:val="0"/>
                <w:color w:val="auto"/>
                <w:spacing w:val="13"/>
                <w:sz w:val="21"/>
                <w:szCs w:val="21"/>
                <w:highlight w:val="none"/>
              </w:rPr>
              <w:t xml:space="preserve"> </w:t>
            </w:r>
            <w:r>
              <w:rPr>
                <w:strike/>
                <w:dstrike w:val="0"/>
                <w:color w:val="auto"/>
                <w:spacing w:val="1"/>
                <w:sz w:val="21"/>
                <w:szCs w:val="21"/>
                <w:highlight w:val="none"/>
              </w:rPr>
              <w:t>投标的，除联合体协议书之外，其余由联合体牵头人加盖</w:t>
            </w:r>
            <w:r>
              <w:rPr>
                <w:strike/>
                <w:dstrike w:val="0"/>
                <w:color w:val="auto"/>
                <w:spacing w:val="3"/>
                <w:sz w:val="21"/>
                <w:szCs w:val="21"/>
                <w:highlight w:val="none"/>
              </w:rPr>
              <w:t xml:space="preserve"> </w:t>
            </w:r>
            <w:r>
              <w:rPr>
                <w:strike/>
                <w:dstrike w:val="0"/>
                <w:color w:val="auto"/>
                <w:sz w:val="21"/>
                <w:szCs w:val="21"/>
                <w:highlight w:val="none"/>
              </w:rPr>
              <w:t>单位电子印章、法定代表人个人电子印章即可。工程量清</w:t>
            </w:r>
            <w:r>
              <w:rPr>
                <w:strike/>
                <w:dstrike w:val="0"/>
                <w:color w:val="auto"/>
                <w:spacing w:val="17"/>
                <w:sz w:val="21"/>
                <w:szCs w:val="21"/>
                <w:highlight w:val="none"/>
              </w:rPr>
              <w:t xml:space="preserve"> </w:t>
            </w:r>
            <w:r>
              <w:rPr>
                <w:strike/>
                <w:dstrike w:val="0"/>
                <w:color w:val="auto"/>
                <w:spacing w:val="1"/>
                <w:sz w:val="21"/>
                <w:szCs w:val="21"/>
                <w:highlight w:val="none"/>
              </w:rPr>
              <w:t>单报价表封面由注册一级造价工程师（水利工程）或浙江</w:t>
            </w:r>
            <w:r>
              <w:rPr>
                <w:strike/>
                <w:dstrike w:val="0"/>
                <w:color w:val="auto"/>
                <w:spacing w:val="3"/>
                <w:sz w:val="21"/>
                <w:szCs w:val="21"/>
                <w:highlight w:val="none"/>
              </w:rPr>
              <w:t xml:space="preserve"> </w:t>
            </w:r>
            <w:r>
              <w:rPr>
                <w:strike/>
                <w:dstrike w:val="0"/>
                <w:color w:val="auto"/>
                <w:spacing w:val="-2"/>
                <w:sz w:val="21"/>
                <w:szCs w:val="21"/>
                <w:highlight w:val="none"/>
              </w:rPr>
              <w:t>省二级造价工程师（水利工程）签字并加盖执业专用章。</w:t>
            </w:r>
          </w:p>
          <w:p w14:paraId="6F1BD9C5">
            <w:pPr>
              <w:pStyle w:val="17"/>
              <w:spacing w:before="24" w:line="221" w:lineRule="auto"/>
              <w:ind w:left="318"/>
              <w:rPr>
                <w:color w:val="auto"/>
                <w:sz w:val="21"/>
                <w:szCs w:val="21"/>
                <w:highlight w:val="none"/>
              </w:rPr>
            </w:pPr>
            <w:r>
              <w:rPr>
                <w:rFonts w:ascii="Times New Roman" w:hAnsi="Times New Roman" w:eastAsia="Times New Roman" w:cs="Times New Roman"/>
                <w:color w:val="auto"/>
                <w:spacing w:val="-4"/>
                <w:sz w:val="21"/>
                <w:szCs w:val="21"/>
                <w:highlight w:val="none"/>
              </w:rPr>
              <w:t>2</w:t>
            </w:r>
            <w:r>
              <w:rPr>
                <w:rFonts w:ascii="Times New Roman" w:hAnsi="Times New Roman" w:eastAsia="Times New Roman" w:cs="Times New Roman"/>
                <w:b/>
                <w:bCs/>
                <w:color w:val="auto"/>
                <w:spacing w:val="-4"/>
                <w:sz w:val="21"/>
                <w:szCs w:val="21"/>
                <w:highlight w:val="none"/>
              </w:rPr>
              <w:t>.</w:t>
            </w:r>
            <w:r>
              <w:rPr>
                <w:rFonts w:ascii="Times New Roman" w:hAnsi="Times New Roman" w:eastAsia="Times New Roman" w:cs="Times New Roman"/>
                <w:b/>
                <w:bCs/>
                <w:color w:val="auto"/>
                <w:spacing w:val="22"/>
                <w:w w:val="101"/>
                <w:sz w:val="21"/>
                <w:szCs w:val="21"/>
                <w:highlight w:val="none"/>
              </w:rPr>
              <w:t xml:space="preserve">  </w:t>
            </w:r>
            <w:r>
              <w:rPr>
                <w:rFonts w:hint="eastAsia"/>
                <w:color w:val="auto"/>
                <w:spacing w:val="-4"/>
                <w:sz w:val="21"/>
                <w:szCs w:val="21"/>
                <w:highlight w:val="none"/>
                <w:lang w:eastAsia="zh-CN"/>
              </w:rPr>
              <w:t>☑</w:t>
            </w:r>
            <w:r>
              <w:rPr>
                <w:color w:val="auto"/>
                <w:spacing w:val="-4"/>
                <w:sz w:val="21"/>
                <w:szCs w:val="21"/>
                <w:highlight w:val="none"/>
              </w:rPr>
              <w:t>其它要求：</w:t>
            </w:r>
            <w:r>
              <w:rPr>
                <w:rFonts w:ascii="Times New Roman" w:hAnsi="Times New Roman" w:cs="Times New Roman"/>
                <w:b/>
                <w:bCs/>
                <w:color w:val="auto"/>
                <w:sz w:val="21"/>
                <w:szCs w:val="21"/>
                <w:highlight w:val="none"/>
                <w:u w:val="single"/>
                <w:lang w:eastAsia="zh-CN"/>
              </w:rPr>
              <w:t>投标文件格式文件要求法定代表人签字或盖章的,加盖法定代表人签字或个人公章印章；投标格式文件中要求投标人单位盖章的，加盖投标人单位公章。</w:t>
            </w:r>
            <w:r>
              <w:rPr>
                <w:rFonts w:ascii="Times New Roman" w:hAnsi="Times New Roman" w:cs="Times New Roman"/>
                <w:strike/>
                <w:dstrike w:val="0"/>
                <w:color w:val="auto"/>
                <w:sz w:val="21"/>
                <w:szCs w:val="21"/>
                <w:highlight w:val="none"/>
                <w:u w:val="single"/>
                <w:lang w:eastAsia="zh-CN"/>
              </w:rPr>
              <w:t>联合体投标的，除联合体协议书之外，其余由联合体牵头人加盖单位公章、法定代表人个人公章即可。</w:t>
            </w:r>
            <w:r>
              <w:rPr>
                <w:rFonts w:ascii="Times New Roman" w:hAnsi="Times New Roman" w:cs="Times New Roman"/>
                <w:strike w:val="0"/>
                <w:dstrike w:val="0"/>
                <w:color w:val="auto"/>
                <w:sz w:val="21"/>
                <w:szCs w:val="21"/>
                <w:highlight w:val="none"/>
                <w:u w:val="single"/>
                <w:lang w:eastAsia="zh-CN"/>
              </w:rPr>
              <w:t>工程量清单报价表封面由注册一级造价工程师（水利工程）或浙江省二级造价工程师（水利工程）签字并加盖执业专用章。</w:t>
            </w:r>
          </w:p>
        </w:tc>
      </w:tr>
      <w:tr w14:paraId="7C543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52" w:type="dxa"/>
            <w:tcBorders>
              <w:left w:val="single" w:color="000000" w:sz="6" w:space="0"/>
            </w:tcBorders>
            <w:vAlign w:val="top"/>
          </w:tcPr>
          <w:p w14:paraId="0DB99B51">
            <w:pPr>
              <w:spacing w:before="218" w:line="188" w:lineRule="auto"/>
              <w:ind w:left="26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3.7.4</w:t>
            </w:r>
          </w:p>
        </w:tc>
        <w:tc>
          <w:tcPr>
            <w:tcW w:w="2238" w:type="dxa"/>
            <w:vAlign w:val="top"/>
          </w:tcPr>
          <w:p w14:paraId="762652DB">
            <w:pPr>
              <w:pStyle w:val="17"/>
              <w:spacing w:before="181" w:line="220" w:lineRule="auto"/>
              <w:ind w:left="110"/>
              <w:rPr>
                <w:color w:val="auto"/>
                <w:sz w:val="21"/>
                <w:szCs w:val="21"/>
                <w:highlight w:val="none"/>
              </w:rPr>
            </w:pPr>
            <w:r>
              <w:rPr>
                <w:color w:val="auto"/>
                <w:spacing w:val="-2"/>
                <w:sz w:val="21"/>
                <w:szCs w:val="21"/>
                <w:highlight w:val="none"/>
              </w:rPr>
              <w:t>投标文件的份数</w:t>
            </w:r>
          </w:p>
        </w:tc>
        <w:tc>
          <w:tcPr>
            <w:tcW w:w="5712" w:type="dxa"/>
            <w:tcBorders>
              <w:right w:val="single" w:color="000000" w:sz="6" w:space="0"/>
            </w:tcBorders>
            <w:vAlign w:val="top"/>
          </w:tcPr>
          <w:p w14:paraId="6B795DEF">
            <w:pPr>
              <w:pStyle w:val="17"/>
              <w:spacing w:before="44" w:line="227" w:lineRule="auto"/>
              <w:ind w:left="128" w:right="562" w:firstLine="193"/>
              <w:rPr>
                <w:strike/>
                <w:dstrike w:val="0"/>
                <w:color w:val="auto"/>
                <w:spacing w:val="-5"/>
                <w:sz w:val="21"/>
                <w:szCs w:val="21"/>
                <w:highlight w:val="none"/>
              </w:rPr>
            </w:pPr>
            <w:r>
              <w:rPr>
                <w:strike/>
                <w:dstrike w:val="0"/>
                <w:color w:val="auto"/>
                <w:spacing w:val="-1"/>
                <w:sz w:val="21"/>
                <w:szCs w:val="21"/>
                <w:highlight w:val="none"/>
              </w:rPr>
              <w:t>加密电子投标文件一份（上传至电子招投标交易平</w:t>
            </w:r>
            <w:r>
              <w:rPr>
                <w:strike/>
                <w:dstrike w:val="0"/>
                <w:color w:val="auto"/>
                <w:spacing w:val="12"/>
                <w:sz w:val="21"/>
                <w:szCs w:val="21"/>
                <w:highlight w:val="none"/>
              </w:rPr>
              <w:t xml:space="preserve"> </w:t>
            </w:r>
            <w:r>
              <w:rPr>
                <w:strike/>
                <w:dstrike w:val="0"/>
                <w:color w:val="auto"/>
                <w:spacing w:val="-5"/>
                <w:sz w:val="21"/>
                <w:szCs w:val="21"/>
                <w:highlight w:val="none"/>
              </w:rPr>
              <w:t>台</w:t>
            </w:r>
            <w:r>
              <w:rPr>
                <w:strike/>
                <w:dstrike w:val="0"/>
                <w:color w:val="auto"/>
                <w:spacing w:val="-1"/>
                <w:sz w:val="21"/>
                <w:szCs w:val="21"/>
                <w:highlight w:val="none"/>
              </w:rPr>
              <w:t>），</w:t>
            </w:r>
            <w:r>
              <w:rPr>
                <w:strike/>
                <w:dstrike w:val="0"/>
                <w:color w:val="auto"/>
                <w:spacing w:val="-5"/>
                <w:sz w:val="21"/>
                <w:szCs w:val="21"/>
                <w:highlight w:val="none"/>
              </w:rPr>
              <w:t>作为投标文件正本。</w:t>
            </w:r>
          </w:p>
          <w:p w14:paraId="66F1B0D4">
            <w:pPr>
              <w:autoSpaceDE/>
              <w:autoSpaceDN/>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1、资格审查资料：1份正本，</w:t>
            </w:r>
            <w:r>
              <w:rPr>
                <w:rFonts w:hint="eastAsia" w:ascii="Times New Roman" w:hAnsi="Times New Roman" w:cs="Times New Roman"/>
                <w:color w:val="auto"/>
                <w:highlight w:val="none"/>
                <w:lang w:val="en-US" w:eastAsia="zh-CN"/>
              </w:rPr>
              <w:t>6</w:t>
            </w:r>
            <w:r>
              <w:rPr>
                <w:rFonts w:ascii="Times New Roman" w:hAnsi="Times New Roman" w:eastAsia="宋体" w:cs="Times New Roman"/>
                <w:color w:val="auto"/>
                <w:highlight w:val="none"/>
                <w:lang w:eastAsia="zh-CN"/>
              </w:rPr>
              <w:t>份副本；</w:t>
            </w:r>
          </w:p>
          <w:p w14:paraId="7A0EE955">
            <w:pPr>
              <w:autoSpaceDE/>
              <w:autoSpaceDN/>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2、技术标：1份正本，</w:t>
            </w:r>
            <w:r>
              <w:rPr>
                <w:rFonts w:hint="eastAsia" w:ascii="Times New Roman" w:hAnsi="Times New Roman" w:cs="Times New Roman"/>
                <w:color w:val="auto"/>
                <w:highlight w:val="none"/>
                <w:lang w:val="en-US" w:eastAsia="zh-CN"/>
              </w:rPr>
              <w:t>6</w:t>
            </w:r>
            <w:r>
              <w:rPr>
                <w:rFonts w:ascii="Times New Roman" w:hAnsi="Times New Roman" w:eastAsia="宋体" w:cs="Times New Roman"/>
                <w:color w:val="auto"/>
                <w:highlight w:val="none"/>
                <w:lang w:eastAsia="zh-CN"/>
              </w:rPr>
              <w:t>份副本；</w:t>
            </w:r>
          </w:p>
          <w:p w14:paraId="040F5ECB">
            <w:pPr>
              <w:autoSpaceDE/>
              <w:autoSpaceDN/>
              <w:spacing w:line="240" w:lineRule="exact"/>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3、商务标：1份正本，</w:t>
            </w:r>
            <w:r>
              <w:rPr>
                <w:rFonts w:hint="eastAsia" w:ascii="Times New Roman" w:hAnsi="Times New Roman" w:cs="Times New Roman"/>
                <w:color w:val="auto"/>
                <w:highlight w:val="none"/>
                <w:lang w:val="en-US" w:eastAsia="zh-CN"/>
              </w:rPr>
              <w:t>6</w:t>
            </w:r>
            <w:r>
              <w:rPr>
                <w:rFonts w:ascii="Times New Roman" w:hAnsi="Times New Roman" w:eastAsia="宋体" w:cs="Times New Roman"/>
                <w:color w:val="auto"/>
                <w:highlight w:val="none"/>
                <w:lang w:eastAsia="zh-CN"/>
              </w:rPr>
              <w:t>份副本</w:t>
            </w:r>
            <w:r>
              <w:rPr>
                <w:rFonts w:ascii="Times New Roman" w:hAnsi="Times New Roman" w:cs="Times New Roman"/>
                <w:color w:val="auto"/>
                <w:highlight w:val="none"/>
                <w:lang w:eastAsia="zh-CN"/>
              </w:rPr>
              <w:t>；</w:t>
            </w:r>
          </w:p>
          <w:p w14:paraId="7D52DA80">
            <w:pPr>
              <w:pStyle w:val="17"/>
              <w:autoSpaceDE/>
              <w:autoSpaceDN/>
              <w:spacing w:line="240" w:lineRule="exact"/>
              <w:ind w:firstLine="420" w:firstLineChars="200"/>
              <w:rPr>
                <w:strike/>
                <w:dstrike w:val="0"/>
                <w:color w:val="auto"/>
                <w:spacing w:val="-5"/>
                <w:sz w:val="21"/>
                <w:szCs w:val="21"/>
                <w:highlight w:val="none"/>
              </w:rPr>
            </w:pPr>
            <w:r>
              <w:rPr>
                <w:rFonts w:ascii="Times New Roman" w:hAnsi="Times New Roman" w:cs="Times New Roman"/>
                <w:color w:val="auto"/>
                <w:sz w:val="21"/>
                <w:szCs w:val="21"/>
                <w:highlight w:val="none"/>
                <w:lang w:eastAsia="zh-CN"/>
              </w:rPr>
              <w:t>4、资信标：1份正本，</w:t>
            </w:r>
            <w:r>
              <w:rPr>
                <w:rFonts w:hint="eastAsia" w:ascii="Times New Roman" w:hAnsi="Times New Roman" w:cs="Times New Roman"/>
                <w:color w:val="auto"/>
                <w:sz w:val="21"/>
                <w:szCs w:val="21"/>
                <w:highlight w:val="none"/>
                <w:lang w:val="en-US" w:eastAsia="zh-CN"/>
              </w:rPr>
              <w:t>6</w:t>
            </w:r>
            <w:r>
              <w:rPr>
                <w:rFonts w:ascii="Times New Roman" w:hAnsi="Times New Roman" w:cs="Times New Roman"/>
                <w:color w:val="auto"/>
                <w:sz w:val="21"/>
                <w:szCs w:val="21"/>
                <w:highlight w:val="none"/>
                <w:lang w:eastAsia="zh-CN"/>
              </w:rPr>
              <w:t>份副本。</w:t>
            </w:r>
          </w:p>
        </w:tc>
      </w:tr>
      <w:tr w14:paraId="3A4BA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4DAE45B7">
            <w:pPr>
              <w:spacing w:before="219" w:line="188" w:lineRule="auto"/>
              <w:ind w:left="25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4.1.1</w:t>
            </w:r>
          </w:p>
        </w:tc>
        <w:tc>
          <w:tcPr>
            <w:tcW w:w="2238" w:type="dxa"/>
            <w:vAlign w:val="top"/>
          </w:tcPr>
          <w:p w14:paraId="0FA3FBB8">
            <w:pPr>
              <w:pStyle w:val="17"/>
              <w:spacing w:before="45" w:line="227" w:lineRule="auto"/>
              <w:ind w:left="109" w:right="106"/>
              <w:rPr>
                <w:color w:val="auto"/>
                <w:sz w:val="21"/>
                <w:szCs w:val="21"/>
                <w:highlight w:val="none"/>
              </w:rPr>
            </w:pPr>
            <w:r>
              <w:rPr>
                <w:color w:val="auto"/>
                <w:spacing w:val="-8"/>
                <w:sz w:val="21"/>
                <w:szCs w:val="21"/>
                <w:highlight w:val="none"/>
              </w:rPr>
              <w:t>光盘、样品等材料的包装</w:t>
            </w:r>
            <w:r>
              <w:rPr>
                <w:color w:val="auto"/>
                <w:spacing w:val="-3"/>
                <w:sz w:val="21"/>
                <w:szCs w:val="21"/>
                <w:highlight w:val="none"/>
              </w:rPr>
              <w:t>和标记</w:t>
            </w:r>
          </w:p>
        </w:tc>
        <w:tc>
          <w:tcPr>
            <w:tcW w:w="5712" w:type="dxa"/>
            <w:tcBorders>
              <w:right w:val="single" w:color="000000" w:sz="6" w:space="0"/>
            </w:tcBorders>
            <w:vAlign w:val="center"/>
          </w:tcPr>
          <w:p w14:paraId="1B27A18D">
            <w:pPr>
              <w:pStyle w:val="17"/>
              <w:autoSpaceDE/>
              <w:autoSpaceDN/>
              <w:spacing w:line="240" w:lineRule="exact"/>
              <w:ind w:firstLine="420" w:firstLineChars="200"/>
              <w:jc w:val="both"/>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1、</w:t>
            </w:r>
            <w:r>
              <w:rPr>
                <w:rFonts w:ascii="Times New Roman" w:hAnsi="Times New Roman" w:cs="Times New Roman"/>
                <w:color w:val="auto"/>
                <w:sz w:val="21"/>
                <w:szCs w:val="21"/>
                <w:highlight w:val="none"/>
                <w:lang w:eastAsia="zh-CN"/>
              </w:rPr>
              <w:t>投标单位按本招标文件前附表规定的份数提供完整投标文件，并明确标明“正本”和“副本”。正本和副本如有不一致之处，以正本为准。正本和副本合并密封包装，书面投标文件的资格审查资料、技术标、商务标和资信标应分别密封在不同的包封中，并正确标明“资格审查文件”或“技术标”或“商务标”</w:t>
            </w:r>
            <w:r>
              <w:rPr>
                <w:rFonts w:hint="eastAsia" w:ascii="Times New Roman" w:hAnsi="Times New Roman" w:cs="Times New Roman"/>
                <w:color w:val="auto"/>
                <w:sz w:val="21"/>
                <w:szCs w:val="21"/>
                <w:highlight w:val="none"/>
                <w:lang w:eastAsia="zh-CN"/>
              </w:rPr>
              <w:t>或</w:t>
            </w:r>
            <w:r>
              <w:rPr>
                <w:rFonts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资信</w:t>
            </w:r>
            <w:r>
              <w:rPr>
                <w:rFonts w:ascii="Times New Roman" w:hAnsi="Times New Roman" w:cs="Times New Roman"/>
                <w:color w:val="auto"/>
                <w:sz w:val="21"/>
                <w:szCs w:val="21"/>
                <w:highlight w:val="none"/>
                <w:lang w:eastAsia="zh-CN"/>
              </w:rPr>
              <w:t>标”，同时标明招标项目名称、招标人名称、投标单位的名称等内容。</w:t>
            </w:r>
          </w:p>
          <w:p w14:paraId="7D24255D">
            <w:pPr>
              <w:pStyle w:val="17"/>
              <w:autoSpaceDE/>
              <w:autoSpaceDN/>
              <w:spacing w:line="240" w:lineRule="exact"/>
              <w:ind w:firstLine="420" w:firstLineChars="200"/>
              <w:jc w:val="both"/>
              <w:rPr>
                <w:rFonts w:ascii="Arial"/>
                <w:color w:val="auto"/>
                <w:sz w:val="21"/>
                <w:highlight w:val="none"/>
              </w:rPr>
            </w:pPr>
            <w:r>
              <w:rPr>
                <w:rFonts w:hint="eastAsia" w:ascii="Times New Roman" w:hAnsi="Times New Roman" w:cs="Times New Roman"/>
                <w:color w:val="auto"/>
                <w:sz w:val="21"/>
                <w:szCs w:val="21"/>
                <w:highlight w:val="none"/>
                <w:lang w:eastAsia="zh-CN"/>
              </w:rPr>
              <w:t>2、</w:t>
            </w:r>
            <w:r>
              <w:rPr>
                <w:rFonts w:ascii="Times New Roman" w:hAnsi="Times New Roman" w:cs="Times New Roman"/>
                <w:color w:val="auto"/>
                <w:sz w:val="21"/>
                <w:szCs w:val="21"/>
                <w:highlight w:val="none"/>
                <w:lang w:eastAsia="zh-CN"/>
              </w:rPr>
              <w:t>投标文件采用中文编制，正本与副本均应使用不能擦去的墨水打印或书写。投标文件的包封应密封完好，并在包封的封面及有投标人的落款处加盖投标人公章并经法定代表人或委托代理人签字或盖章。</w:t>
            </w:r>
          </w:p>
        </w:tc>
      </w:tr>
      <w:tr w14:paraId="625C81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9" w:hRule="atLeast"/>
        </w:trPr>
        <w:tc>
          <w:tcPr>
            <w:tcW w:w="952" w:type="dxa"/>
            <w:tcBorders>
              <w:left w:val="single" w:color="000000" w:sz="6" w:space="0"/>
            </w:tcBorders>
            <w:vAlign w:val="top"/>
          </w:tcPr>
          <w:p w14:paraId="04CA44B8">
            <w:pPr>
              <w:spacing w:line="274" w:lineRule="auto"/>
              <w:rPr>
                <w:rFonts w:ascii="Arial"/>
                <w:color w:val="auto"/>
                <w:sz w:val="21"/>
                <w:highlight w:val="none"/>
              </w:rPr>
            </w:pPr>
          </w:p>
          <w:p w14:paraId="53908C6A">
            <w:pPr>
              <w:spacing w:line="275" w:lineRule="auto"/>
              <w:rPr>
                <w:rFonts w:ascii="Arial"/>
                <w:color w:val="auto"/>
                <w:sz w:val="21"/>
                <w:highlight w:val="none"/>
              </w:rPr>
            </w:pPr>
          </w:p>
          <w:p w14:paraId="4EDCED61">
            <w:pPr>
              <w:spacing w:line="275" w:lineRule="auto"/>
              <w:rPr>
                <w:rFonts w:ascii="Arial"/>
                <w:color w:val="auto"/>
                <w:sz w:val="21"/>
                <w:highlight w:val="none"/>
              </w:rPr>
            </w:pPr>
          </w:p>
          <w:p w14:paraId="623BCBFC">
            <w:pPr>
              <w:spacing w:before="60" w:line="188" w:lineRule="auto"/>
              <w:ind w:left="25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4.2.2</w:t>
            </w:r>
          </w:p>
        </w:tc>
        <w:tc>
          <w:tcPr>
            <w:tcW w:w="2238" w:type="dxa"/>
            <w:vAlign w:val="top"/>
          </w:tcPr>
          <w:p w14:paraId="072F0D26">
            <w:pPr>
              <w:spacing w:line="321" w:lineRule="auto"/>
              <w:rPr>
                <w:rFonts w:ascii="Arial"/>
                <w:color w:val="auto"/>
                <w:sz w:val="21"/>
                <w:highlight w:val="none"/>
              </w:rPr>
            </w:pPr>
          </w:p>
          <w:p w14:paraId="23DFD62C">
            <w:pPr>
              <w:spacing w:line="322" w:lineRule="auto"/>
              <w:rPr>
                <w:rFonts w:ascii="Arial"/>
                <w:color w:val="auto"/>
                <w:sz w:val="21"/>
                <w:highlight w:val="none"/>
              </w:rPr>
            </w:pPr>
          </w:p>
          <w:p w14:paraId="1EDBE1DB">
            <w:pPr>
              <w:pStyle w:val="17"/>
              <w:spacing w:before="68" w:line="244" w:lineRule="auto"/>
              <w:ind w:left="118" w:right="108" w:hanging="9"/>
              <w:rPr>
                <w:color w:val="auto"/>
                <w:sz w:val="21"/>
                <w:szCs w:val="21"/>
                <w:highlight w:val="none"/>
              </w:rPr>
            </w:pPr>
            <w:r>
              <w:rPr>
                <w:color w:val="auto"/>
                <w:spacing w:val="12"/>
                <w:sz w:val="21"/>
                <w:szCs w:val="21"/>
                <w:highlight w:val="none"/>
              </w:rPr>
              <w:t>递交投标文件方式和地</w:t>
            </w:r>
            <w:r>
              <w:rPr>
                <w:color w:val="auto"/>
                <w:sz w:val="21"/>
                <w:szCs w:val="21"/>
                <w:highlight w:val="none"/>
              </w:rPr>
              <w:t>点</w:t>
            </w:r>
          </w:p>
        </w:tc>
        <w:tc>
          <w:tcPr>
            <w:tcW w:w="5712" w:type="dxa"/>
            <w:tcBorders>
              <w:right w:val="single" w:color="000000" w:sz="6" w:space="0"/>
            </w:tcBorders>
            <w:vAlign w:val="top"/>
          </w:tcPr>
          <w:p w14:paraId="56A5C1AE">
            <w:pPr>
              <w:pStyle w:val="17"/>
              <w:tabs>
                <w:tab w:val="left" w:pos="5392"/>
              </w:tabs>
              <w:spacing w:before="37" w:line="239" w:lineRule="auto"/>
              <w:ind w:left="113" w:right="103" w:firstLine="225"/>
              <w:jc w:val="both"/>
              <w:rPr>
                <w:strike/>
                <w:dstrike w:val="0"/>
                <w:color w:val="auto"/>
                <w:sz w:val="21"/>
                <w:szCs w:val="21"/>
                <w:highlight w:val="none"/>
              </w:rPr>
            </w:pPr>
            <w:r>
              <w:rPr>
                <w:rFonts w:ascii="Times New Roman" w:hAnsi="Times New Roman" w:eastAsia="Times New Roman" w:cs="Times New Roman"/>
                <w:strike/>
                <w:dstrike w:val="0"/>
                <w:color w:val="auto"/>
                <w:spacing w:val="-1"/>
                <w:sz w:val="21"/>
                <w:szCs w:val="21"/>
                <w:highlight w:val="none"/>
              </w:rPr>
              <w:t>1</w:t>
            </w:r>
            <w:r>
              <w:rPr>
                <w:rFonts w:ascii="Times New Roman" w:hAnsi="Times New Roman" w:eastAsia="Times New Roman" w:cs="Times New Roman"/>
                <w:b/>
                <w:bCs/>
                <w:strike/>
                <w:dstrike w:val="0"/>
                <w:color w:val="auto"/>
                <w:spacing w:val="-1"/>
                <w:sz w:val="21"/>
                <w:szCs w:val="21"/>
                <w:highlight w:val="none"/>
              </w:rPr>
              <w:t>.</w:t>
            </w:r>
            <w:r>
              <w:rPr>
                <w:strike/>
                <w:dstrike w:val="0"/>
                <w:color w:val="auto"/>
                <w:spacing w:val="-1"/>
                <w:sz w:val="21"/>
                <w:szCs w:val="21"/>
                <w:highlight w:val="none"/>
              </w:rPr>
              <w:t>将由投标文件制作工具制作生成的加密投标文件在投</w:t>
            </w:r>
            <w:r>
              <w:rPr>
                <w:strike/>
                <w:dstrike w:val="0"/>
                <w:color w:val="auto"/>
                <w:sz w:val="21"/>
                <w:szCs w:val="21"/>
                <w:highlight w:val="none"/>
              </w:rPr>
              <w:t xml:space="preserve">  </w:t>
            </w:r>
            <w:r>
              <w:rPr>
                <w:strike/>
                <w:dstrike w:val="0"/>
                <w:color w:val="auto"/>
                <w:spacing w:val="-1"/>
                <w:sz w:val="21"/>
                <w:szCs w:val="21"/>
                <w:highlight w:val="none"/>
              </w:rPr>
              <w:t xml:space="preserve">标截止时间前（以上传完成时间为准）上传至 </w:t>
            </w:r>
            <w:r>
              <w:rPr>
                <w:strike/>
                <w:dstrike w:val="0"/>
                <w:color w:val="auto"/>
                <w:sz w:val="21"/>
                <w:szCs w:val="21"/>
                <w:highlight w:val="none"/>
                <w:u w:val="single" w:color="auto"/>
              </w:rPr>
              <w:tab/>
            </w:r>
            <w:r>
              <w:rPr>
                <w:strike/>
                <w:dstrike w:val="0"/>
                <w:color w:val="auto"/>
                <w:sz w:val="21"/>
                <w:szCs w:val="21"/>
                <w:highlight w:val="none"/>
              </w:rPr>
              <w:t xml:space="preserve"> </w:t>
            </w:r>
            <w:r>
              <w:rPr>
                <w:strike/>
                <w:dstrike w:val="0"/>
                <w:color w:val="auto"/>
                <w:spacing w:val="-3"/>
                <w:sz w:val="21"/>
                <w:szCs w:val="21"/>
                <w:highlight w:val="none"/>
              </w:rPr>
              <w:t>（电子招标投标交易平台）。</w:t>
            </w:r>
          </w:p>
          <w:p w14:paraId="02907BA0">
            <w:pPr>
              <w:pStyle w:val="17"/>
              <w:spacing w:before="1" w:line="239" w:lineRule="auto"/>
              <w:ind w:left="113" w:right="194" w:firstLine="230"/>
              <w:rPr>
                <w:color w:val="auto"/>
                <w:sz w:val="21"/>
                <w:szCs w:val="21"/>
                <w:highlight w:val="none"/>
              </w:rPr>
            </w:pPr>
            <w:r>
              <w:rPr>
                <w:rFonts w:hint="eastAsia"/>
                <w:color w:val="auto"/>
                <w:spacing w:val="-1"/>
                <w:sz w:val="21"/>
                <w:szCs w:val="21"/>
                <w:highlight w:val="none"/>
                <w:lang w:eastAsia="zh-CN"/>
              </w:rPr>
              <w:t>☑</w:t>
            </w:r>
            <w:r>
              <w:rPr>
                <w:rFonts w:ascii="Times New Roman" w:hAnsi="Times New Roman" w:eastAsia="Times New Roman" w:cs="Times New Roman"/>
                <w:color w:val="auto"/>
                <w:spacing w:val="-1"/>
                <w:sz w:val="21"/>
                <w:szCs w:val="21"/>
                <w:highlight w:val="none"/>
              </w:rPr>
              <w:t>2</w:t>
            </w:r>
            <w:r>
              <w:rPr>
                <w:rFonts w:ascii="Times New Roman" w:hAnsi="Times New Roman" w:eastAsia="Times New Roman" w:cs="Times New Roman"/>
                <w:b/>
                <w:bCs/>
                <w:color w:val="auto"/>
                <w:spacing w:val="-1"/>
                <w:sz w:val="21"/>
                <w:szCs w:val="21"/>
                <w:highlight w:val="none"/>
              </w:rPr>
              <w:t>.</w:t>
            </w:r>
            <w:r>
              <w:rPr>
                <w:color w:val="auto"/>
                <w:spacing w:val="-1"/>
                <w:sz w:val="21"/>
                <w:szCs w:val="21"/>
                <w:highlight w:val="none"/>
              </w:rPr>
              <w:t>将</w:t>
            </w:r>
            <w:r>
              <w:rPr>
                <w:rFonts w:ascii="Times New Roman" w:hAnsi="Times New Roman" w:cs="Times New Roman"/>
                <w:color w:val="auto"/>
                <w:sz w:val="21"/>
                <w:szCs w:val="21"/>
                <w:highlight w:val="none"/>
                <w:u w:val="single"/>
                <w:lang w:eastAsia="zh-CN"/>
              </w:rPr>
              <w:t>投标文件</w:t>
            </w:r>
            <w:r>
              <w:rPr>
                <w:color w:val="auto"/>
                <w:spacing w:val="-1"/>
                <w:sz w:val="21"/>
                <w:szCs w:val="21"/>
                <w:highlight w:val="none"/>
                <w:u w:val="single" w:color="auto"/>
              </w:rPr>
              <w:t>等材料</w:t>
            </w:r>
            <w:r>
              <w:rPr>
                <w:color w:val="auto"/>
                <w:spacing w:val="-1"/>
                <w:sz w:val="21"/>
                <w:szCs w:val="21"/>
                <w:highlight w:val="none"/>
              </w:rPr>
              <w:t>在投标截止时间</w:t>
            </w:r>
            <w:r>
              <w:rPr>
                <w:color w:val="auto"/>
                <w:spacing w:val="-2"/>
                <w:sz w:val="21"/>
                <w:szCs w:val="21"/>
                <w:highlight w:val="none"/>
              </w:rPr>
              <w:t>前按招标文件</w:t>
            </w:r>
            <w:r>
              <w:rPr>
                <w:color w:val="auto"/>
                <w:sz w:val="21"/>
                <w:szCs w:val="21"/>
                <w:highlight w:val="none"/>
              </w:rPr>
              <w:t xml:space="preserve"> </w:t>
            </w:r>
            <w:r>
              <w:rPr>
                <w:color w:val="auto"/>
                <w:spacing w:val="-2"/>
                <w:sz w:val="21"/>
                <w:szCs w:val="21"/>
                <w:highlight w:val="none"/>
              </w:rPr>
              <w:t>要求递交至以下地点：</w:t>
            </w:r>
            <w:r>
              <w:rPr>
                <w:color w:val="auto"/>
                <w:spacing w:val="8"/>
                <w:sz w:val="21"/>
                <w:szCs w:val="21"/>
                <w:highlight w:val="none"/>
                <w:u w:val="single" w:color="auto"/>
              </w:rPr>
              <w:t xml:space="preserve"> </w:t>
            </w:r>
            <w:r>
              <w:rPr>
                <w:rFonts w:ascii="Times New Roman" w:hAnsi="Times New Roman" w:cs="Times New Roman"/>
                <w:color w:val="auto"/>
                <w:sz w:val="21"/>
                <w:szCs w:val="21"/>
                <w:highlight w:val="none"/>
                <w:u w:val="single"/>
                <w:lang w:eastAsia="zh-CN"/>
              </w:rPr>
              <w:t>绍兴市公共资源交易中心越城区分中心三楼指定开标室（延安东路660号）</w:t>
            </w:r>
            <w:r>
              <w:rPr>
                <w:color w:val="auto"/>
                <w:sz w:val="21"/>
                <w:szCs w:val="21"/>
                <w:highlight w:val="none"/>
              </w:rPr>
              <w:t xml:space="preserve"> </w:t>
            </w:r>
            <w:r>
              <w:rPr>
                <w:color w:val="auto"/>
                <w:spacing w:val="-2"/>
                <w:sz w:val="21"/>
                <w:szCs w:val="21"/>
                <w:highlight w:val="none"/>
              </w:rPr>
              <w:t>（详细地址）。</w:t>
            </w:r>
          </w:p>
          <w:p w14:paraId="3BD2FF7D">
            <w:pPr>
              <w:pStyle w:val="17"/>
              <w:spacing w:line="220" w:lineRule="auto"/>
              <w:ind w:left="117" w:right="141" w:hanging="4"/>
              <w:rPr>
                <w:color w:val="auto"/>
                <w:sz w:val="21"/>
                <w:szCs w:val="21"/>
                <w:highlight w:val="none"/>
              </w:rPr>
            </w:pPr>
            <w:r>
              <w:rPr>
                <w:color w:val="auto"/>
                <w:spacing w:val="-1"/>
                <w:sz w:val="21"/>
                <w:szCs w:val="21"/>
                <w:highlight w:val="none"/>
              </w:rPr>
              <w:t>递交</w:t>
            </w:r>
            <w:r>
              <w:rPr>
                <w:rFonts w:ascii="Times New Roman" w:hAnsi="Times New Roman" w:cs="Times New Roman"/>
                <w:color w:val="auto"/>
                <w:sz w:val="21"/>
                <w:szCs w:val="21"/>
                <w:highlight w:val="none"/>
                <w:u w:val="single"/>
                <w:lang w:eastAsia="zh-CN"/>
              </w:rPr>
              <w:t>投标文件</w:t>
            </w:r>
            <w:r>
              <w:rPr>
                <w:color w:val="auto"/>
                <w:spacing w:val="-1"/>
                <w:sz w:val="21"/>
                <w:szCs w:val="21"/>
                <w:highlight w:val="none"/>
                <w:u w:val="single" w:color="auto"/>
              </w:rPr>
              <w:t>等材料</w:t>
            </w:r>
            <w:r>
              <w:rPr>
                <w:color w:val="auto"/>
                <w:spacing w:val="-1"/>
                <w:sz w:val="21"/>
                <w:szCs w:val="21"/>
                <w:highlight w:val="none"/>
              </w:rPr>
              <w:t>时应同时携带递交人授权委托书及</w:t>
            </w:r>
            <w:r>
              <w:rPr>
                <w:color w:val="auto"/>
                <w:spacing w:val="-7"/>
                <w:sz w:val="21"/>
                <w:szCs w:val="21"/>
                <w:highlight w:val="none"/>
              </w:rPr>
              <w:t>身份证原件。</w:t>
            </w:r>
          </w:p>
        </w:tc>
      </w:tr>
      <w:tr w14:paraId="465AF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7" w:hRule="atLeast"/>
        </w:trPr>
        <w:tc>
          <w:tcPr>
            <w:tcW w:w="952" w:type="dxa"/>
            <w:tcBorders>
              <w:left w:val="single" w:color="000000" w:sz="6" w:space="0"/>
            </w:tcBorders>
            <w:vAlign w:val="top"/>
          </w:tcPr>
          <w:p w14:paraId="7668EBAF">
            <w:pPr>
              <w:keepNext w:val="0"/>
              <w:keepLines w:val="0"/>
              <w:pageBreakBefore w:val="0"/>
              <w:widowControl w:val="0"/>
              <w:kinsoku w:val="0"/>
              <w:wordWrap/>
              <w:overflowPunct w:val="0"/>
              <w:topLinePunct w:val="0"/>
              <w:autoSpaceDE w:val="0"/>
              <w:autoSpaceDN w:val="0"/>
              <w:bidi w:val="0"/>
              <w:adjustRightInd w:val="0"/>
              <w:snapToGrid w:val="0"/>
              <w:spacing w:line="345" w:lineRule="auto"/>
              <w:textAlignment w:val="baseline"/>
              <w:rPr>
                <w:rFonts w:ascii="Arial"/>
                <w:color w:val="auto"/>
                <w:sz w:val="21"/>
                <w:highlight w:val="none"/>
              </w:rPr>
            </w:pPr>
          </w:p>
          <w:p w14:paraId="3DC08659">
            <w:pPr>
              <w:keepNext w:val="0"/>
              <w:keepLines w:val="0"/>
              <w:pageBreakBefore w:val="0"/>
              <w:widowControl w:val="0"/>
              <w:kinsoku w:val="0"/>
              <w:wordWrap/>
              <w:overflowPunct w:val="0"/>
              <w:topLinePunct w:val="0"/>
              <w:autoSpaceDE w:val="0"/>
              <w:autoSpaceDN w:val="0"/>
              <w:bidi w:val="0"/>
              <w:adjustRightInd w:val="0"/>
              <w:snapToGrid w:val="0"/>
              <w:spacing w:line="345" w:lineRule="auto"/>
              <w:textAlignment w:val="baseline"/>
              <w:rPr>
                <w:rFonts w:ascii="Arial"/>
                <w:color w:val="auto"/>
                <w:sz w:val="21"/>
                <w:highlight w:val="none"/>
              </w:rPr>
            </w:pPr>
          </w:p>
          <w:p w14:paraId="2A592668">
            <w:pPr>
              <w:keepNext w:val="0"/>
              <w:keepLines w:val="0"/>
              <w:pageBreakBefore w:val="0"/>
              <w:widowControl w:val="0"/>
              <w:kinsoku w:val="0"/>
              <w:wordWrap/>
              <w:overflowPunct w:val="0"/>
              <w:topLinePunct w:val="0"/>
              <w:autoSpaceDE w:val="0"/>
              <w:autoSpaceDN w:val="0"/>
              <w:bidi w:val="0"/>
              <w:adjustRightInd w:val="0"/>
              <w:snapToGrid w:val="0"/>
              <w:spacing w:before="61" w:line="188" w:lineRule="auto"/>
              <w:ind w:left="259"/>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4.2.5</w:t>
            </w:r>
          </w:p>
        </w:tc>
        <w:tc>
          <w:tcPr>
            <w:tcW w:w="2238" w:type="dxa"/>
            <w:vAlign w:val="top"/>
          </w:tcPr>
          <w:p w14:paraId="7B41AFB9">
            <w:pPr>
              <w:keepNext w:val="0"/>
              <w:keepLines w:val="0"/>
              <w:pageBreakBefore w:val="0"/>
              <w:widowControl w:val="0"/>
              <w:kinsoku w:val="0"/>
              <w:wordWrap/>
              <w:overflowPunct w:val="0"/>
              <w:topLinePunct w:val="0"/>
              <w:autoSpaceDE w:val="0"/>
              <w:autoSpaceDN w:val="0"/>
              <w:bidi w:val="0"/>
              <w:adjustRightInd w:val="0"/>
              <w:snapToGrid w:val="0"/>
              <w:spacing w:line="323" w:lineRule="auto"/>
              <w:textAlignment w:val="baseline"/>
              <w:rPr>
                <w:rFonts w:ascii="Arial"/>
                <w:color w:val="auto"/>
                <w:sz w:val="21"/>
                <w:highlight w:val="none"/>
              </w:rPr>
            </w:pPr>
          </w:p>
          <w:p w14:paraId="7F020817">
            <w:pPr>
              <w:keepNext w:val="0"/>
              <w:keepLines w:val="0"/>
              <w:pageBreakBefore w:val="0"/>
              <w:widowControl w:val="0"/>
              <w:kinsoku w:val="0"/>
              <w:wordWrap/>
              <w:overflowPunct w:val="0"/>
              <w:topLinePunct w:val="0"/>
              <w:autoSpaceDE w:val="0"/>
              <w:autoSpaceDN w:val="0"/>
              <w:bidi w:val="0"/>
              <w:adjustRightInd w:val="0"/>
              <w:snapToGrid w:val="0"/>
              <w:spacing w:line="323" w:lineRule="auto"/>
              <w:textAlignment w:val="baseline"/>
              <w:rPr>
                <w:rFonts w:ascii="Arial"/>
                <w:color w:val="auto"/>
                <w:sz w:val="21"/>
                <w:highlight w:val="none"/>
              </w:rPr>
            </w:pPr>
          </w:p>
          <w:p w14:paraId="2C176EFF">
            <w:pPr>
              <w:pStyle w:val="17"/>
              <w:keepNext w:val="0"/>
              <w:keepLines w:val="0"/>
              <w:pageBreakBefore w:val="0"/>
              <w:widowControl w:val="0"/>
              <w:kinsoku w:val="0"/>
              <w:wordWrap/>
              <w:overflowPunct w:val="0"/>
              <w:topLinePunct w:val="0"/>
              <w:autoSpaceDE w:val="0"/>
              <w:autoSpaceDN w:val="0"/>
              <w:bidi w:val="0"/>
              <w:adjustRightInd w:val="0"/>
              <w:snapToGrid w:val="0"/>
              <w:spacing w:before="68" w:line="220" w:lineRule="auto"/>
              <w:ind w:left="110"/>
              <w:textAlignment w:val="baseline"/>
              <w:rPr>
                <w:color w:val="auto"/>
                <w:sz w:val="21"/>
                <w:szCs w:val="21"/>
                <w:highlight w:val="none"/>
              </w:rPr>
            </w:pPr>
            <w:r>
              <w:rPr>
                <w:color w:val="auto"/>
                <w:spacing w:val="-2"/>
                <w:sz w:val="21"/>
                <w:szCs w:val="21"/>
                <w:highlight w:val="none"/>
              </w:rPr>
              <w:t>投标文件拒收的情形</w:t>
            </w:r>
          </w:p>
        </w:tc>
        <w:tc>
          <w:tcPr>
            <w:tcW w:w="5712" w:type="dxa"/>
            <w:tcBorders>
              <w:right w:val="single" w:color="000000" w:sz="6" w:space="0"/>
            </w:tcBorders>
            <w:vAlign w:val="center"/>
          </w:tcPr>
          <w:p w14:paraId="54BB44AA">
            <w:pPr>
              <w:pStyle w:val="17"/>
              <w:keepNext w:val="0"/>
              <w:keepLines w:val="0"/>
              <w:pageBreakBefore w:val="0"/>
              <w:widowControl w:val="0"/>
              <w:kinsoku w:val="0"/>
              <w:wordWrap/>
              <w:overflowPunct w:val="0"/>
              <w:topLinePunct w:val="0"/>
              <w:autoSpaceDE w:val="0"/>
              <w:autoSpaceDN w:val="0"/>
              <w:bidi w:val="0"/>
              <w:adjustRightInd w:val="0"/>
              <w:snapToGrid w:val="0"/>
              <w:spacing w:before="37" w:line="232" w:lineRule="auto"/>
              <w:ind w:left="113" w:right="299" w:firstLine="20"/>
              <w:jc w:val="both"/>
              <w:textAlignment w:val="baseline"/>
              <w:rPr>
                <w:strike/>
                <w:dstrike w:val="0"/>
                <w:color w:val="auto"/>
                <w:sz w:val="21"/>
                <w:szCs w:val="21"/>
                <w:highlight w:val="none"/>
              </w:rPr>
            </w:pPr>
            <w:r>
              <w:rPr>
                <w:strike/>
                <w:dstrike w:val="0"/>
                <w:color w:val="auto"/>
                <w:spacing w:val="-1"/>
                <w:sz w:val="21"/>
                <w:szCs w:val="21"/>
                <w:highlight w:val="none"/>
              </w:rPr>
              <w:t>□</w:t>
            </w:r>
            <w:r>
              <w:rPr>
                <w:rFonts w:ascii="Times New Roman" w:hAnsi="Times New Roman" w:eastAsia="Times New Roman" w:cs="Times New Roman"/>
                <w:strike/>
                <w:dstrike w:val="0"/>
                <w:color w:val="auto"/>
                <w:spacing w:val="-1"/>
                <w:sz w:val="21"/>
                <w:szCs w:val="21"/>
                <w:highlight w:val="none"/>
              </w:rPr>
              <w:t>1</w:t>
            </w:r>
            <w:r>
              <w:rPr>
                <w:rFonts w:ascii="Times New Roman" w:hAnsi="Times New Roman" w:eastAsia="Times New Roman" w:cs="Times New Roman"/>
                <w:b/>
                <w:bCs/>
                <w:strike/>
                <w:dstrike w:val="0"/>
                <w:color w:val="auto"/>
                <w:spacing w:val="-1"/>
                <w:sz w:val="21"/>
                <w:szCs w:val="21"/>
                <w:highlight w:val="none"/>
              </w:rPr>
              <w:t xml:space="preserve">.  </w:t>
            </w:r>
            <w:r>
              <w:rPr>
                <w:strike/>
                <w:dstrike w:val="0"/>
                <w:color w:val="auto"/>
                <w:spacing w:val="-1"/>
                <w:sz w:val="21"/>
                <w:szCs w:val="21"/>
                <w:highlight w:val="none"/>
              </w:rPr>
              <w:t>投标文件未按招标文件要求上传或未按规</w:t>
            </w:r>
            <w:r>
              <w:rPr>
                <w:strike/>
                <w:dstrike w:val="0"/>
                <w:color w:val="auto"/>
                <w:spacing w:val="-2"/>
                <w:sz w:val="21"/>
                <w:szCs w:val="21"/>
                <w:highlight w:val="none"/>
              </w:rPr>
              <w:t>定进行加</w:t>
            </w:r>
            <w:r>
              <w:rPr>
                <w:strike/>
                <w:dstrike w:val="0"/>
                <w:color w:val="auto"/>
                <w:sz w:val="21"/>
                <w:szCs w:val="21"/>
                <w:highlight w:val="none"/>
              </w:rPr>
              <w:t xml:space="preserve"> </w:t>
            </w:r>
            <w:r>
              <w:rPr>
                <w:strike/>
                <w:dstrike w:val="0"/>
                <w:color w:val="auto"/>
                <w:spacing w:val="-10"/>
                <w:sz w:val="21"/>
                <w:szCs w:val="21"/>
                <w:highlight w:val="none"/>
              </w:rPr>
              <w:t>密。</w:t>
            </w:r>
          </w:p>
          <w:p w14:paraId="62220EF5">
            <w:pPr>
              <w:pStyle w:val="17"/>
              <w:keepNext w:val="0"/>
              <w:keepLines w:val="0"/>
              <w:pageBreakBefore w:val="0"/>
              <w:widowControl w:val="0"/>
              <w:kinsoku w:val="0"/>
              <w:wordWrap/>
              <w:overflowPunct w:val="0"/>
              <w:topLinePunct w:val="0"/>
              <w:autoSpaceDE w:val="0"/>
              <w:autoSpaceDN w:val="0"/>
              <w:bidi w:val="0"/>
              <w:adjustRightInd w:val="0"/>
              <w:snapToGrid w:val="0"/>
              <w:spacing w:before="17" w:line="230" w:lineRule="auto"/>
              <w:ind w:left="122" w:right="299" w:firstLine="10"/>
              <w:jc w:val="both"/>
              <w:textAlignment w:val="baseline"/>
              <w:rPr>
                <w:strike/>
                <w:dstrike w:val="0"/>
                <w:color w:val="auto"/>
                <w:sz w:val="21"/>
                <w:szCs w:val="21"/>
                <w:highlight w:val="none"/>
              </w:rPr>
            </w:pPr>
            <w:r>
              <w:rPr>
                <w:strike/>
                <w:dstrike w:val="0"/>
                <w:color w:val="auto"/>
                <w:spacing w:val="-1"/>
                <w:sz w:val="21"/>
                <w:szCs w:val="21"/>
                <w:highlight w:val="none"/>
              </w:rPr>
              <w:t>□</w:t>
            </w:r>
            <w:r>
              <w:rPr>
                <w:rFonts w:ascii="Times New Roman" w:hAnsi="Times New Roman" w:eastAsia="Times New Roman" w:cs="Times New Roman"/>
                <w:strike/>
                <w:dstrike w:val="0"/>
                <w:color w:val="auto"/>
                <w:spacing w:val="-1"/>
                <w:sz w:val="21"/>
                <w:szCs w:val="21"/>
                <w:highlight w:val="none"/>
              </w:rPr>
              <w:t>2</w:t>
            </w:r>
            <w:r>
              <w:rPr>
                <w:rFonts w:ascii="Times New Roman" w:hAnsi="Times New Roman" w:eastAsia="Times New Roman" w:cs="Times New Roman"/>
                <w:b/>
                <w:bCs/>
                <w:strike/>
                <w:dstrike w:val="0"/>
                <w:color w:val="auto"/>
                <w:spacing w:val="-1"/>
                <w:sz w:val="21"/>
                <w:szCs w:val="21"/>
                <w:highlight w:val="none"/>
              </w:rPr>
              <w:t xml:space="preserve">.  </w:t>
            </w:r>
            <w:r>
              <w:rPr>
                <w:strike/>
                <w:dstrike w:val="0"/>
                <w:color w:val="auto"/>
                <w:spacing w:val="-1"/>
                <w:sz w:val="21"/>
                <w:szCs w:val="21"/>
                <w:highlight w:val="none"/>
              </w:rPr>
              <w:t>未通过资格预审的申请人提交投标文件的</w:t>
            </w:r>
            <w:r>
              <w:rPr>
                <w:strike/>
                <w:dstrike w:val="0"/>
                <w:color w:val="auto"/>
                <w:spacing w:val="-2"/>
                <w:sz w:val="21"/>
                <w:szCs w:val="21"/>
                <w:highlight w:val="none"/>
              </w:rPr>
              <w:t>（资格预</w:t>
            </w:r>
            <w:r>
              <w:rPr>
                <w:strike/>
                <w:dstrike w:val="0"/>
                <w:color w:val="auto"/>
                <w:sz w:val="21"/>
                <w:szCs w:val="21"/>
                <w:highlight w:val="none"/>
              </w:rPr>
              <w:t xml:space="preserve"> </w:t>
            </w:r>
            <w:r>
              <w:rPr>
                <w:strike/>
                <w:dstrike w:val="0"/>
                <w:color w:val="auto"/>
                <w:spacing w:val="-5"/>
                <w:sz w:val="21"/>
                <w:szCs w:val="21"/>
                <w:highlight w:val="none"/>
              </w:rPr>
              <w:t>审方式招标的选用）。</w:t>
            </w:r>
          </w:p>
          <w:p w14:paraId="109EB87D">
            <w:pPr>
              <w:pStyle w:val="17"/>
              <w:keepNext w:val="0"/>
              <w:keepLines w:val="0"/>
              <w:pageBreakBefore w:val="0"/>
              <w:widowControl w:val="0"/>
              <w:kinsoku w:val="0"/>
              <w:wordWrap/>
              <w:overflowPunct w:val="0"/>
              <w:topLinePunct w:val="0"/>
              <w:autoSpaceDE w:val="0"/>
              <w:autoSpaceDN w:val="0"/>
              <w:bidi w:val="0"/>
              <w:adjustRightInd w:val="0"/>
              <w:snapToGrid w:val="0"/>
              <w:spacing w:before="21" w:line="219" w:lineRule="auto"/>
              <w:ind w:left="133"/>
              <w:jc w:val="both"/>
              <w:textAlignment w:val="baseline"/>
              <w:rPr>
                <w:color w:val="auto"/>
                <w:sz w:val="21"/>
                <w:szCs w:val="21"/>
                <w:highlight w:val="none"/>
              </w:rPr>
            </w:pPr>
            <w:r>
              <w:rPr>
                <w:strike/>
                <w:dstrike w:val="0"/>
                <w:color w:val="auto"/>
                <w:spacing w:val="-2"/>
                <w:sz w:val="21"/>
                <w:szCs w:val="21"/>
                <w:highlight w:val="none"/>
              </w:rPr>
              <w:t>□</w:t>
            </w:r>
            <w:r>
              <w:rPr>
                <w:rFonts w:ascii="Times New Roman" w:hAnsi="Times New Roman" w:eastAsia="Times New Roman" w:cs="Times New Roman"/>
                <w:strike/>
                <w:dstrike w:val="0"/>
                <w:color w:val="auto"/>
                <w:spacing w:val="-2"/>
                <w:sz w:val="21"/>
                <w:szCs w:val="21"/>
                <w:highlight w:val="none"/>
              </w:rPr>
              <w:t xml:space="preserve">3.  </w:t>
            </w:r>
            <w:r>
              <w:rPr>
                <w:strike/>
                <w:dstrike w:val="0"/>
                <w:color w:val="auto"/>
                <w:spacing w:val="-2"/>
                <w:sz w:val="21"/>
                <w:szCs w:val="21"/>
                <w:highlight w:val="none"/>
              </w:rPr>
              <w:t>未在投标截止时间前递交光盘、</w:t>
            </w:r>
            <w:r>
              <w:rPr>
                <w:strike/>
                <w:dstrike w:val="0"/>
                <w:color w:val="auto"/>
                <w:spacing w:val="-3"/>
                <w:sz w:val="21"/>
                <w:szCs w:val="21"/>
                <w:highlight w:val="none"/>
              </w:rPr>
              <w:t>样品等材料的。</w:t>
            </w:r>
          </w:p>
          <w:p w14:paraId="4DDA5B86">
            <w:pPr>
              <w:pStyle w:val="17"/>
              <w:keepNext w:val="0"/>
              <w:keepLines w:val="0"/>
              <w:pageBreakBefore w:val="0"/>
              <w:widowControl w:val="0"/>
              <w:kinsoku w:val="0"/>
              <w:wordWrap/>
              <w:overflowPunct w:val="0"/>
              <w:topLinePunct w:val="0"/>
              <w:autoSpaceDE w:val="0"/>
              <w:autoSpaceDN w:val="0"/>
              <w:bidi w:val="0"/>
              <w:adjustRightInd w:val="0"/>
              <w:snapToGrid w:val="0"/>
              <w:spacing w:line="240" w:lineRule="exact"/>
              <w:jc w:val="both"/>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rPr>
              <w:sym w:font="Wingdings" w:char="00FE"/>
            </w:r>
            <w:r>
              <w:rPr>
                <w:rFonts w:ascii="Times New Roman" w:hAnsi="Times New Roman" w:cs="Times New Roman"/>
                <w:color w:val="auto"/>
                <w:sz w:val="21"/>
                <w:szCs w:val="21"/>
                <w:highlight w:val="none"/>
                <w:lang w:eastAsia="zh-CN"/>
              </w:rPr>
              <w:t>4.未在投标截止时间前递交投标文件等材料的。</w:t>
            </w:r>
          </w:p>
          <w:p w14:paraId="7C804606">
            <w:pPr>
              <w:pStyle w:val="17"/>
              <w:keepNext w:val="0"/>
              <w:keepLines w:val="0"/>
              <w:pageBreakBefore w:val="0"/>
              <w:widowControl w:val="0"/>
              <w:kinsoku w:val="0"/>
              <w:wordWrap/>
              <w:overflowPunct w:val="0"/>
              <w:topLinePunct w:val="0"/>
              <w:autoSpaceDE w:val="0"/>
              <w:autoSpaceDN w:val="0"/>
              <w:bidi w:val="0"/>
              <w:adjustRightInd w:val="0"/>
              <w:snapToGrid w:val="0"/>
              <w:spacing w:line="240" w:lineRule="exact"/>
              <w:jc w:val="both"/>
              <w:textAlignment w:val="baseline"/>
              <w:rPr>
                <w:color w:val="auto"/>
                <w:sz w:val="22"/>
                <w:szCs w:val="22"/>
                <w:highlight w:val="none"/>
              </w:rPr>
            </w:pPr>
            <w:r>
              <w:rPr>
                <w:rFonts w:hint="eastAsia" w:ascii="Times New Roman" w:hAnsi="Times New Roman" w:cs="Times New Roman"/>
                <w:color w:val="auto"/>
                <w:sz w:val="21"/>
                <w:szCs w:val="21"/>
                <w:highlight w:val="none"/>
                <w:lang w:eastAsia="zh-CN"/>
              </w:rPr>
              <w:t xml:space="preserve"> 5.</w:t>
            </w:r>
            <w:r>
              <w:rPr>
                <w:rFonts w:ascii="Times New Roman" w:hAnsi="Times New Roman" w:cs="Times New Roman"/>
                <w:color w:val="auto"/>
                <w:sz w:val="21"/>
                <w:szCs w:val="21"/>
                <w:highlight w:val="none"/>
                <w:lang w:eastAsia="zh-CN"/>
              </w:rPr>
              <w:t>投标文件文本未按规定标志、密封的</w:t>
            </w:r>
            <w:r>
              <w:rPr>
                <w:rFonts w:hint="eastAsia" w:ascii="Times New Roman" w:hAnsi="Times New Roman" w:cs="Times New Roman"/>
                <w:color w:val="auto"/>
                <w:sz w:val="21"/>
                <w:szCs w:val="21"/>
                <w:highlight w:val="none"/>
                <w:lang w:eastAsia="zh-CN"/>
              </w:rPr>
              <w:t>。</w:t>
            </w:r>
          </w:p>
        </w:tc>
      </w:tr>
      <w:tr w14:paraId="39581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3" w:hRule="atLeast"/>
        </w:trPr>
        <w:tc>
          <w:tcPr>
            <w:tcW w:w="952" w:type="dxa"/>
            <w:tcBorders>
              <w:left w:val="single" w:color="000000" w:sz="6" w:space="0"/>
              <w:bottom w:val="single" w:color="000000" w:sz="6" w:space="0"/>
            </w:tcBorders>
            <w:vAlign w:val="top"/>
          </w:tcPr>
          <w:p w14:paraId="75E15D40">
            <w:pPr>
              <w:keepNext w:val="0"/>
              <w:keepLines w:val="0"/>
              <w:pageBreakBefore w:val="0"/>
              <w:widowControl w:val="0"/>
              <w:kinsoku w:val="0"/>
              <w:wordWrap/>
              <w:overflowPunct w:val="0"/>
              <w:topLinePunct w:val="0"/>
              <w:autoSpaceDE w:val="0"/>
              <w:autoSpaceDN w:val="0"/>
              <w:bidi w:val="0"/>
              <w:adjustRightInd w:val="0"/>
              <w:snapToGrid w:val="0"/>
              <w:spacing w:line="257" w:lineRule="auto"/>
              <w:textAlignment w:val="baseline"/>
              <w:rPr>
                <w:rFonts w:ascii="Arial"/>
                <w:color w:val="auto"/>
                <w:sz w:val="21"/>
                <w:highlight w:val="none"/>
              </w:rPr>
            </w:pPr>
          </w:p>
          <w:p w14:paraId="53CDB468">
            <w:pPr>
              <w:keepNext w:val="0"/>
              <w:keepLines w:val="0"/>
              <w:pageBreakBefore w:val="0"/>
              <w:widowControl w:val="0"/>
              <w:kinsoku w:val="0"/>
              <w:wordWrap/>
              <w:overflowPunct w:val="0"/>
              <w:topLinePunct w:val="0"/>
              <w:autoSpaceDE w:val="0"/>
              <w:autoSpaceDN w:val="0"/>
              <w:bidi w:val="0"/>
              <w:adjustRightInd w:val="0"/>
              <w:snapToGrid w:val="0"/>
              <w:spacing w:line="257" w:lineRule="auto"/>
              <w:textAlignment w:val="baseline"/>
              <w:rPr>
                <w:rFonts w:ascii="Arial"/>
                <w:color w:val="auto"/>
                <w:sz w:val="21"/>
                <w:highlight w:val="none"/>
              </w:rPr>
            </w:pPr>
          </w:p>
          <w:p w14:paraId="367D10C5">
            <w:pPr>
              <w:keepNext w:val="0"/>
              <w:keepLines w:val="0"/>
              <w:pageBreakBefore w:val="0"/>
              <w:widowControl w:val="0"/>
              <w:kinsoku w:val="0"/>
              <w:wordWrap/>
              <w:overflowPunct w:val="0"/>
              <w:topLinePunct w:val="0"/>
              <w:autoSpaceDE w:val="0"/>
              <w:autoSpaceDN w:val="0"/>
              <w:bidi w:val="0"/>
              <w:adjustRightInd w:val="0"/>
              <w:snapToGrid w:val="0"/>
              <w:spacing w:line="257" w:lineRule="auto"/>
              <w:textAlignment w:val="baseline"/>
              <w:rPr>
                <w:rFonts w:ascii="Arial"/>
                <w:color w:val="auto"/>
                <w:sz w:val="21"/>
                <w:highlight w:val="none"/>
              </w:rPr>
            </w:pPr>
          </w:p>
          <w:p w14:paraId="09E0B0E7">
            <w:pPr>
              <w:keepNext w:val="0"/>
              <w:keepLines w:val="0"/>
              <w:pageBreakBefore w:val="0"/>
              <w:widowControl w:val="0"/>
              <w:kinsoku w:val="0"/>
              <w:wordWrap/>
              <w:overflowPunct w:val="0"/>
              <w:topLinePunct w:val="0"/>
              <w:autoSpaceDE w:val="0"/>
              <w:autoSpaceDN w:val="0"/>
              <w:bidi w:val="0"/>
              <w:adjustRightInd w:val="0"/>
              <w:snapToGrid w:val="0"/>
              <w:spacing w:line="257" w:lineRule="auto"/>
              <w:textAlignment w:val="baseline"/>
              <w:rPr>
                <w:rFonts w:ascii="Arial"/>
                <w:color w:val="auto"/>
                <w:sz w:val="21"/>
                <w:highlight w:val="none"/>
              </w:rPr>
            </w:pPr>
          </w:p>
          <w:p w14:paraId="0433FE29">
            <w:pPr>
              <w:keepNext w:val="0"/>
              <w:keepLines w:val="0"/>
              <w:pageBreakBefore w:val="0"/>
              <w:widowControl w:val="0"/>
              <w:kinsoku w:val="0"/>
              <w:wordWrap/>
              <w:overflowPunct w:val="0"/>
              <w:topLinePunct w:val="0"/>
              <w:autoSpaceDE w:val="0"/>
              <w:autoSpaceDN w:val="0"/>
              <w:bidi w:val="0"/>
              <w:adjustRightInd w:val="0"/>
              <w:snapToGrid w:val="0"/>
              <w:spacing w:line="257" w:lineRule="auto"/>
              <w:textAlignment w:val="baseline"/>
              <w:rPr>
                <w:rFonts w:ascii="Arial"/>
                <w:color w:val="auto"/>
                <w:sz w:val="21"/>
                <w:highlight w:val="none"/>
              </w:rPr>
            </w:pPr>
          </w:p>
          <w:p w14:paraId="080B13F0">
            <w:pPr>
              <w:keepNext w:val="0"/>
              <w:keepLines w:val="0"/>
              <w:pageBreakBefore w:val="0"/>
              <w:widowControl w:val="0"/>
              <w:kinsoku w:val="0"/>
              <w:wordWrap/>
              <w:overflowPunct w:val="0"/>
              <w:topLinePunct w:val="0"/>
              <w:autoSpaceDE w:val="0"/>
              <w:autoSpaceDN w:val="0"/>
              <w:bidi w:val="0"/>
              <w:adjustRightInd w:val="0"/>
              <w:snapToGrid w:val="0"/>
              <w:spacing w:line="258" w:lineRule="auto"/>
              <w:textAlignment w:val="baseline"/>
              <w:rPr>
                <w:rFonts w:ascii="Arial"/>
                <w:color w:val="auto"/>
                <w:sz w:val="21"/>
                <w:highlight w:val="none"/>
              </w:rPr>
            </w:pPr>
          </w:p>
          <w:p w14:paraId="430B3746">
            <w:pPr>
              <w:keepNext w:val="0"/>
              <w:keepLines w:val="0"/>
              <w:pageBreakBefore w:val="0"/>
              <w:widowControl w:val="0"/>
              <w:kinsoku w:val="0"/>
              <w:wordWrap/>
              <w:overflowPunct w:val="0"/>
              <w:topLinePunct w:val="0"/>
              <w:autoSpaceDE w:val="0"/>
              <w:autoSpaceDN w:val="0"/>
              <w:bidi w:val="0"/>
              <w:adjustRightInd w:val="0"/>
              <w:snapToGrid w:val="0"/>
              <w:spacing w:line="258" w:lineRule="auto"/>
              <w:textAlignment w:val="baseline"/>
              <w:rPr>
                <w:rFonts w:ascii="Arial"/>
                <w:color w:val="auto"/>
                <w:sz w:val="21"/>
                <w:highlight w:val="none"/>
              </w:rPr>
            </w:pPr>
          </w:p>
          <w:p w14:paraId="6C7629DE">
            <w:pPr>
              <w:keepNext w:val="0"/>
              <w:keepLines w:val="0"/>
              <w:pageBreakBefore w:val="0"/>
              <w:widowControl w:val="0"/>
              <w:kinsoku w:val="0"/>
              <w:wordWrap/>
              <w:overflowPunct w:val="0"/>
              <w:topLinePunct w:val="0"/>
              <w:autoSpaceDE w:val="0"/>
              <w:autoSpaceDN w:val="0"/>
              <w:bidi w:val="0"/>
              <w:adjustRightInd w:val="0"/>
              <w:snapToGrid w:val="0"/>
              <w:spacing w:line="258" w:lineRule="auto"/>
              <w:textAlignment w:val="baseline"/>
              <w:rPr>
                <w:rFonts w:ascii="Arial"/>
                <w:color w:val="auto"/>
                <w:sz w:val="21"/>
                <w:highlight w:val="none"/>
              </w:rPr>
            </w:pPr>
          </w:p>
          <w:p w14:paraId="5C6BE819">
            <w:pPr>
              <w:keepNext w:val="0"/>
              <w:keepLines w:val="0"/>
              <w:pageBreakBefore w:val="0"/>
              <w:widowControl w:val="0"/>
              <w:kinsoku w:val="0"/>
              <w:wordWrap/>
              <w:overflowPunct w:val="0"/>
              <w:topLinePunct w:val="0"/>
              <w:autoSpaceDE w:val="0"/>
              <w:autoSpaceDN w:val="0"/>
              <w:bidi w:val="0"/>
              <w:adjustRightInd w:val="0"/>
              <w:snapToGrid w:val="0"/>
              <w:spacing w:line="258" w:lineRule="auto"/>
              <w:textAlignment w:val="baseline"/>
              <w:rPr>
                <w:rFonts w:ascii="Arial"/>
                <w:color w:val="auto"/>
                <w:sz w:val="21"/>
                <w:highlight w:val="none"/>
              </w:rPr>
            </w:pPr>
          </w:p>
          <w:p w14:paraId="474D78E6">
            <w:pPr>
              <w:keepNext w:val="0"/>
              <w:keepLines w:val="0"/>
              <w:pageBreakBefore w:val="0"/>
              <w:widowControl w:val="0"/>
              <w:kinsoku w:val="0"/>
              <w:wordWrap/>
              <w:overflowPunct w:val="0"/>
              <w:topLinePunct w:val="0"/>
              <w:autoSpaceDE w:val="0"/>
              <w:autoSpaceDN w:val="0"/>
              <w:bidi w:val="0"/>
              <w:adjustRightInd w:val="0"/>
              <w:snapToGrid w:val="0"/>
              <w:spacing w:before="60" w:line="188" w:lineRule="auto"/>
              <w:ind w:left="322"/>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5.1</w:t>
            </w:r>
          </w:p>
        </w:tc>
        <w:tc>
          <w:tcPr>
            <w:tcW w:w="2238" w:type="dxa"/>
            <w:tcBorders>
              <w:bottom w:val="single" w:color="000000" w:sz="6" w:space="0"/>
            </w:tcBorders>
            <w:vAlign w:val="top"/>
          </w:tcPr>
          <w:p w14:paraId="70FC1D5A">
            <w:pPr>
              <w:keepNext w:val="0"/>
              <w:keepLines w:val="0"/>
              <w:pageBreakBefore w:val="0"/>
              <w:widowControl w:val="0"/>
              <w:kinsoku w:val="0"/>
              <w:wordWrap/>
              <w:overflowPunct w:val="0"/>
              <w:topLinePunct w:val="0"/>
              <w:autoSpaceDE w:val="0"/>
              <w:autoSpaceDN w:val="0"/>
              <w:bidi w:val="0"/>
              <w:adjustRightInd w:val="0"/>
              <w:snapToGrid w:val="0"/>
              <w:spacing w:line="252" w:lineRule="auto"/>
              <w:textAlignment w:val="baseline"/>
              <w:rPr>
                <w:rFonts w:ascii="Arial"/>
                <w:color w:val="auto"/>
                <w:sz w:val="21"/>
                <w:highlight w:val="none"/>
              </w:rPr>
            </w:pPr>
          </w:p>
          <w:p w14:paraId="6C63A66C">
            <w:pPr>
              <w:keepNext w:val="0"/>
              <w:keepLines w:val="0"/>
              <w:pageBreakBefore w:val="0"/>
              <w:widowControl w:val="0"/>
              <w:kinsoku w:val="0"/>
              <w:wordWrap/>
              <w:overflowPunct w:val="0"/>
              <w:topLinePunct w:val="0"/>
              <w:autoSpaceDE w:val="0"/>
              <w:autoSpaceDN w:val="0"/>
              <w:bidi w:val="0"/>
              <w:adjustRightInd w:val="0"/>
              <w:snapToGrid w:val="0"/>
              <w:spacing w:line="252" w:lineRule="auto"/>
              <w:textAlignment w:val="baseline"/>
              <w:rPr>
                <w:rFonts w:ascii="Arial"/>
                <w:color w:val="auto"/>
                <w:sz w:val="21"/>
                <w:highlight w:val="none"/>
              </w:rPr>
            </w:pPr>
          </w:p>
          <w:p w14:paraId="1D9FEAA1">
            <w:pPr>
              <w:keepNext w:val="0"/>
              <w:keepLines w:val="0"/>
              <w:pageBreakBefore w:val="0"/>
              <w:widowControl w:val="0"/>
              <w:kinsoku w:val="0"/>
              <w:wordWrap/>
              <w:overflowPunct w:val="0"/>
              <w:topLinePunct w:val="0"/>
              <w:autoSpaceDE w:val="0"/>
              <w:autoSpaceDN w:val="0"/>
              <w:bidi w:val="0"/>
              <w:adjustRightInd w:val="0"/>
              <w:snapToGrid w:val="0"/>
              <w:spacing w:line="252" w:lineRule="auto"/>
              <w:textAlignment w:val="baseline"/>
              <w:rPr>
                <w:rFonts w:ascii="Arial"/>
                <w:color w:val="auto"/>
                <w:sz w:val="21"/>
                <w:highlight w:val="none"/>
              </w:rPr>
            </w:pPr>
          </w:p>
          <w:p w14:paraId="34BE4B45">
            <w:pPr>
              <w:keepNext w:val="0"/>
              <w:keepLines w:val="0"/>
              <w:pageBreakBefore w:val="0"/>
              <w:widowControl w:val="0"/>
              <w:kinsoku w:val="0"/>
              <w:wordWrap/>
              <w:overflowPunct w:val="0"/>
              <w:topLinePunct w:val="0"/>
              <w:autoSpaceDE w:val="0"/>
              <w:autoSpaceDN w:val="0"/>
              <w:bidi w:val="0"/>
              <w:adjustRightInd w:val="0"/>
              <w:snapToGrid w:val="0"/>
              <w:spacing w:line="252" w:lineRule="auto"/>
              <w:textAlignment w:val="baseline"/>
              <w:rPr>
                <w:rFonts w:ascii="Arial"/>
                <w:color w:val="auto"/>
                <w:sz w:val="21"/>
                <w:highlight w:val="none"/>
              </w:rPr>
            </w:pPr>
          </w:p>
          <w:p w14:paraId="27ABE1B8">
            <w:pPr>
              <w:keepNext w:val="0"/>
              <w:keepLines w:val="0"/>
              <w:pageBreakBefore w:val="0"/>
              <w:widowControl w:val="0"/>
              <w:kinsoku w:val="0"/>
              <w:wordWrap/>
              <w:overflowPunct w:val="0"/>
              <w:topLinePunct w:val="0"/>
              <w:autoSpaceDE w:val="0"/>
              <w:autoSpaceDN w:val="0"/>
              <w:bidi w:val="0"/>
              <w:adjustRightInd w:val="0"/>
              <w:snapToGrid w:val="0"/>
              <w:spacing w:line="253" w:lineRule="auto"/>
              <w:textAlignment w:val="baseline"/>
              <w:rPr>
                <w:rFonts w:ascii="Arial"/>
                <w:color w:val="auto"/>
                <w:sz w:val="21"/>
                <w:highlight w:val="none"/>
              </w:rPr>
            </w:pPr>
          </w:p>
          <w:p w14:paraId="0A4B56C8">
            <w:pPr>
              <w:keepNext w:val="0"/>
              <w:keepLines w:val="0"/>
              <w:pageBreakBefore w:val="0"/>
              <w:widowControl w:val="0"/>
              <w:kinsoku w:val="0"/>
              <w:wordWrap/>
              <w:overflowPunct w:val="0"/>
              <w:topLinePunct w:val="0"/>
              <w:autoSpaceDE w:val="0"/>
              <w:autoSpaceDN w:val="0"/>
              <w:bidi w:val="0"/>
              <w:adjustRightInd w:val="0"/>
              <w:snapToGrid w:val="0"/>
              <w:spacing w:line="253" w:lineRule="auto"/>
              <w:textAlignment w:val="baseline"/>
              <w:rPr>
                <w:rFonts w:ascii="Arial"/>
                <w:color w:val="auto"/>
                <w:sz w:val="21"/>
                <w:highlight w:val="none"/>
              </w:rPr>
            </w:pPr>
          </w:p>
          <w:p w14:paraId="1F0CB552">
            <w:pPr>
              <w:keepNext w:val="0"/>
              <w:keepLines w:val="0"/>
              <w:pageBreakBefore w:val="0"/>
              <w:widowControl w:val="0"/>
              <w:kinsoku w:val="0"/>
              <w:wordWrap/>
              <w:overflowPunct w:val="0"/>
              <w:topLinePunct w:val="0"/>
              <w:autoSpaceDE w:val="0"/>
              <w:autoSpaceDN w:val="0"/>
              <w:bidi w:val="0"/>
              <w:adjustRightInd w:val="0"/>
              <w:snapToGrid w:val="0"/>
              <w:spacing w:line="253" w:lineRule="auto"/>
              <w:textAlignment w:val="baseline"/>
              <w:rPr>
                <w:rFonts w:ascii="Arial"/>
                <w:color w:val="auto"/>
                <w:sz w:val="21"/>
                <w:highlight w:val="none"/>
              </w:rPr>
            </w:pPr>
          </w:p>
          <w:p w14:paraId="243DDE5C">
            <w:pPr>
              <w:keepNext w:val="0"/>
              <w:keepLines w:val="0"/>
              <w:pageBreakBefore w:val="0"/>
              <w:widowControl w:val="0"/>
              <w:kinsoku w:val="0"/>
              <w:wordWrap/>
              <w:overflowPunct w:val="0"/>
              <w:topLinePunct w:val="0"/>
              <w:autoSpaceDE w:val="0"/>
              <w:autoSpaceDN w:val="0"/>
              <w:bidi w:val="0"/>
              <w:adjustRightInd w:val="0"/>
              <w:snapToGrid w:val="0"/>
              <w:spacing w:line="253" w:lineRule="auto"/>
              <w:textAlignment w:val="baseline"/>
              <w:rPr>
                <w:rFonts w:ascii="Arial"/>
                <w:color w:val="auto"/>
                <w:sz w:val="21"/>
                <w:highlight w:val="none"/>
              </w:rPr>
            </w:pPr>
          </w:p>
          <w:p w14:paraId="43787BD5">
            <w:pPr>
              <w:keepNext w:val="0"/>
              <w:keepLines w:val="0"/>
              <w:pageBreakBefore w:val="0"/>
              <w:widowControl w:val="0"/>
              <w:kinsoku w:val="0"/>
              <w:wordWrap/>
              <w:overflowPunct w:val="0"/>
              <w:topLinePunct w:val="0"/>
              <w:autoSpaceDE w:val="0"/>
              <w:autoSpaceDN w:val="0"/>
              <w:bidi w:val="0"/>
              <w:adjustRightInd w:val="0"/>
              <w:snapToGrid w:val="0"/>
              <w:spacing w:line="253" w:lineRule="auto"/>
              <w:textAlignment w:val="baseline"/>
              <w:rPr>
                <w:rFonts w:ascii="Arial"/>
                <w:color w:val="auto"/>
                <w:sz w:val="21"/>
                <w:highlight w:val="none"/>
              </w:rPr>
            </w:pPr>
          </w:p>
          <w:p w14:paraId="07484B46">
            <w:pPr>
              <w:pStyle w:val="17"/>
              <w:keepNext w:val="0"/>
              <w:keepLines w:val="0"/>
              <w:pageBreakBefore w:val="0"/>
              <w:widowControl w:val="0"/>
              <w:kinsoku w:val="0"/>
              <w:wordWrap/>
              <w:overflowPunct w:val="0"/>
              <w:topLinePunct w:val="0"/>
              <w:autoSpaceDE w:val="0"/>
              <w:autoSpaceDN w:val="0"/>
              <w:bidi w:val="0"/>
              <w:adjustRightInd w:val="0"/>
              <w:snapToGrid w:val="0"/>
              <w:spacing w:before="68" w:line="220" w:lineRule="auto"/>
              <w:ind w:left="109"/>
              <w:textAlignment w:val="baseline"/>
              <w:rPr>
                <w:color w:val="auto"/>
                <w:sz w:val="21"/>
                <w:szCs w:val="21"/>
                <w:highlight w:val="none"/>
              </w:rPr>
            </w:pPr>
            <w:r>
              <w:rPr>
                <w:color w:val="auto"/>
                <w:spacing w:val="-2"/>
                <w:sz w:val="21"/>
                <w:szCs w:val="21"/>
                <w:highlight w:val="none"/>
              </w:rPr>
              <w:t>开标时间和地点</w:t>
            </w:r>
          </w:p>
        </w:tc>
        <w:tc>
          <w:tcPr>
            <w:tcW w:w="5712" w:type="dxa"/>
            <w:tcBorders>
              <w:bottom w:val="single" w:color="000000" w:sz="6" w:space="0"/>
              <w:right w:val="single" w:color="000000" w:sz="6" w:space="0"/>
            </w:tcBorders>
            <w:vAlign w:val="top"/>
          </w:tcPr>
          <w:p w14:paraId="6A6203D2">
            <w:pPr>
              <w:pStyle w:val="17"/>
              <w:keepNext w:val="0"/>
              <w:keepLines w:val="0"/>
              <w:pageBreakBefore w:val="0"/>
              <w:widowControl w:val="0"/>
              <w:kinsoku w:val="0"/>
              <w:wordWrap/>
              <w:overflowPunct w:val="0"/>
              <w:topLinePunct w:val="0"/>
              <w:autoSpaceDE w:val="0"/>
              <w:autoSpaceDN w:val="0"/>
              <w:bidi w:val="0"/>
              <w:adjustRightInd w:val="0"/>
              <w:snapToGrid w:val="0"/>
              <w:spacing w:before="40" w:line="220" w:lineRule="auto"/>
              <w:ind w:left="133"/>
              <w:textAlignment w:val="baseline"/>
              <w:rPr>
                <w:color w:val="auto"/>
                <w:sz w:val="21"/>
                <w:szCs w:val="21"/>
                <w:highlight w:val="none"/>
              </w:rPr>
            </w:pPr>
            <w:r>
              <w:rPr>
                <w:rFonts w:hint="eastAsia"/>
                <w:color w:val="auto"/>
                <w:spacing w:val="-4"/>
                <w:sz w:val="21"/>
                <w:szCs w:val="21"/>
                <w:highlight w:val="none"/>
                <w:lang w:eastAsia="zh-CN"/>
              </w:rPr>
              <w:t>☑</w:t>
            </w:r>
            <w:r>
              <w:rPr>
                <w:color w:val="auto"/>
                <w:spacing w:val="-4"/>
                <w:sz w:val="21"/>
                <w:szCs w:val="21"/>
                <w:highlight w:val="none"/>
              </w:rPr>
              <w:t>一、开标时间：同投标截止时间。</w:t>
            </w:r>
          </w:p>
          <w:p w14:paraId="47ADFACD">
            <w:pPr>
              <w:pStyle w:val="17"/>
              <w:keepNext w:val="0"/>
              <w:keepLines w:val="0"/>
              <w:pageBreakBefore w:val="0"/>
              <w:widowControl w:val="0"/>
              <w:kinsoku w:val="0"/>
              <w:wordWrap/>
              <w:overflowPunct w:val="0"/>
              <w:topLinePunct w:val="0"/>
              <w:autoSpaceDE w:val="0"/>
              <w:autoSpaceDN w:val="0"/>
              <w:bidi w:val="0"/>
              <w:adjustRightInd w:val="0"/>
              <w:snapToGrid w:val="0"/>
              <w:spacing w:before="21" w:line="230" w:lineRule="auto"/>
              <w:ind w:left="117" w:right="103" w:firstLine="207"/>
              <w:textAlignment w:val="baseline"/>
              <w:rPr>
                <w:color w:val="auto"/>
                <w:sz w:val="21"/>
                <w:szCs w:val="21"/>
                <w:highlight w:val="none"/>
              </w:rPr>
            </w:pPr>
            <w:r>
              <w:rPr>
                <w:color w:val="auto"/>
                <w:spacing w:val="1"/>
                <w:sz w:val="21"/>
                <w:szCs w:val="21"/>
                <w:highlight w:val="none"/>
              </w:rPr>
              <w:t>二、开标</w:t>
            </w:r>
            <w:r>
              <w:rPr>
                <w:rFonts w:ascii="Times New Roman" w:hAnsi="Times New Roman" w:cs="Times New Roman"/>
                <w:color w:val="auto"/>
                <w:sz w:val="21"/>
                <w:szCs w:val="21"/>
                <w:highlight w:val="none"/>
                <w:lang w:eastAsia="zh-CN"/>
              </w:rPr>
              <w:t>地点：绍兴市公共资源交易中心越城区分中心三楼指定开标室（延安东路660号）</w:t>
            </w:r>
          </w:p>
          <w:p w14:paraId="14C2B068">
            <w:pPr>
              <w:pStyle w:val="17"/>
              <w:keepNext w:val="0"/>
              <w:keepLines w:val="0"/>
              <w:pageBreakBefore w:val="0"/>
              <w:widowControl w:val="0"/>
              <w:kinsoku w:val="0"/>
              <w:wordWrap/>
              <w:overflowPunct w:val="0"/>
              <w:topLinePunct w:val="0"/>
              <w:autoSpaceDE w:val="0"/>
              <w:autoSpaceDN w:val="0"/>
              <w:bidi w:val="0"/>
              <w:adjustRightInd w:val="0"/>
              <w:snapToGrid w:val="0"/>
              <w:spacing w:before="21" w:line="219" w:lineRule="auto"/>
              <w:ind w:left="322"/>
              <w:textAlignment w:val="baseline"/>
              <w:rPr>
                <w:strike/>
                <w:dstrike w:val="0"/>
                <w:color w:val="auto"/>
                <w:sz w:val="21"/>
                <w:szCs w:val="21"/>
                <w:highlight w:val="none"/>
              </w:rPr>
            </w:pPr>
            <w:r>
              <w:rPr>
                <w:strike/>
                <w:dstrike w:val="0"/>
                <w:color w:val="auto"/>
                <w:spacing w:val="-1"/>
                <w:sz w:val="21"/>
                <w:szCs w:val="21"/>
                <w:highlight w:val="none"/>
              </w:rPr>
              <w:t>三、参加开标会议的要求</w:t>
            </w:r>
          </w:p>
          <w:p w14:paraId="273C1E9D">
            <w:pPr>
              <w:pStyle w:val="17"/>
              <w:keepNext w:val="0"/>
              <w:keepLines w:val="0"/>
              <w:pageBreakBefore w:val="0"/>
              <w:widowControl w:val="0"/>
              <w:kinsoku w:val="0"/>
              <w:wordWrap/>
              <w:overflowPunct w:val="0"/>
              <w:topLinePunct w:val="0"/>
              <w:autoSpaceDE w:val="0"/>
              <w:autoSpaceDN w:val="0"/>
              <w:bidi w:val="0"/>
              <w:adjustRightInd w:val="0"/>
              <w:snapToGrid w:val="0"/>
              <w:spacing w:before="23" w:line="219" w:lineRule="auto"/>
              <w:ind w:left="640"/>
              <w:textAlignment w:val="baseline"/>
              <w:rPr>
                <w:strike/>
                <w:dstrike w:val="0"/>
                <w:color w:val="auto"/>
                <w:sz w:val="21"/>
                <w:szCs w:val="21"/>
                <w:highlight w:val="none"/>
              </w:rPr>
            </w:pPr>
            <w:r>
              <w:rPr>
                <w:strike/>
                <w:dstrike w:val="0"/>
                <w:color w:val="auto"/>
                <w:spacing w:val="-1"/>
                <w:sz w:val="21"/>
                <w:szCs w:val="21"/>
                <w:highlight w:val="none"/>
              </w:rPr>
              <w:t>投标人应在投标截止时间之前使用数字证书</w:t>
            </w:r>
          </w:p>
          <w:p w14:paraId="5C85C171">
            <w:pPr>
              <w:pStyle w:val="17"/>
              <w:keepNext w:val="0"/>
              <w:keepLines w:val="0"/>
              <w:pageBreakBefore w:val="0"/>
              <w:widowControl w:val="0"/>
              <w:kinsoku w:val="0"/>
              <w:wordWrap/>
              <w:overflowPunct w:val="0"/>
              <w:topLinePunct w:val="0"/>
              <w:autoSpaceDE w:val="0"/>
              <w:autoSpaceDN w:val="0"/>
              <w:bidi w:val="0"/>
              <w:adjustRightInd w:val="0"/>
              <w:snapToGrid w:val="0"/>
              <w:spacing w:before="25" w:line="239" w:lineRule="auto"/>
              <w:ind w:left="216" w:right="246" w:firstLine="6"/>
              <w:textAlignment w:val="baseline"/>
              <w:rPr>
                <w:strike/>
                <w:dstrike w:val="0"/>
                <w:color w:val="auto"/>
                <w:sz w:val="21"/>
                <w:szCs w:val="21"/>
                <w:highlight w:val="none"/>
              </w:rPr>
            </w:pPr>
            <w:r>
              <w:rPr>
                <w:strike/>
                <w:dstrike w:val="0"/>
                <w:color w:val="auto"/>
                <w:spacing w:val="-1"/>
                <w:sz w:val="21"/>
                <w:szCs w:val="21"/>
                <w:highlight w:val="none"/>
              </w:rPr>
              <w:t>（</w:t>
            </w:r>
            <w:r>
              <w:rPr>
                <w:rFonts w:ascii="Times New Roman" w:hAnsi="Times New Roman" w:eastAsia="Times New Roman" w:cs="Times New Roman"/>
                <w:strike/>
                <w:dstrike w:val="0"/>
                <w:color w:val="auto"/>
                <w:spacing w:val="-1"/>
                <w:sz w:val="21"/>
                <w:szCs w:val="21"/>
                <w:highlight w:val="none"/>
              </w:rPr>
              <w:t>CA</w:t>
            </w:r>
            <w:r>
              <w:rPr>
                <w:strike/>
                <w:dstrike w:val="0"/>
                <w:color w:val="auto"/>
                <w:spacing w:val="-1"/>
                <w:sz w:val="21"/>
                <w:szCs w:val="21"/>
                <w:highlight w:val="none"/>
              </w:rPr>
              <w:t>）自行登录不见面开标大厅，在线等待开标，并</w:t>
            </w:r>
            <w:r>
              <w:rPr>
                <w:strike/>
                <w:dstrike w:val="0"/>
                <w:color w:val="auto"/>
                <w:sz w:val="21"/>
                <w:szCs w:val="21"/>
                <w:highlight w:val="none"/>
              </w:rPr>
              <w:t xml:space="preserve">  </w:t>
            </w:r>
            <w:r>
              <w:rPr>
                <w:strike/>
                <w:dstrike w:val="0"/>
                <w:color w:val="auto"/>
                <w:spacing w:val="-8"/>
                <w:sz w:val="21"/>
                <w:szCs w:val="21"/>
                <w:highlight w:val="none"/>
              </w:rPr>
              <w:t>在开标期间保持通讯畅通。请各投标人务必使用</w:t>
            </w:r>
            <w:r>
              <w:rPr>
                <w:strike/>
                <w:dstrike w:val="0"/>
                <w:color w:val="auto"/>
                <w:spacing w:val="-42"/>
                <w:sz w:val="21"/>
                <w:szCs w:val="21"/>
                <w:highlight w:val="none"/>
              </w:rPr>
              <w:t xml:space="preserve"> </w:t>
            </w:r>
            <w:r>
              <w:rPr>
                <w:rFonts w:ascii="Times New Roman" w:hAnsi="Times New Roman" w:eastAsia="Times New Roman" w:cs="Times New Roman"/>
                <w:strike/>
                <w:dstrike w:val="0"/>
                <w:color w:val="auto"/>
                <w:spacing w:val="-9"/>
                <w:sz w:val="21"/>
                <w:szCs w:val="21"/>
                <w:highlight w:val="none"/>
              </w:rPr>
              <w:t>IE11</w:t>
            </w:r>
            <w:r>
              <w:rPr>
                <w:rFonts w:ascii="Times New Roman" w:hAnsi="Times New Roman" w:eastAsia="Times New Roman" w:cs="Times New Roman"/>
                <w:strike/>
                <w:dstrike w:val="0"/>
                <w:color w:val="auto"/>
                <w:spacing w:val="42"/>
                <w:sz w:val="21"/>
                <w:szCs w:val="21"/>
                <w:highlight w:val="none"/>
              </w:rPr>
              <w:t xml:space="preserve"> </w:t>
            </w:r>
            <w:r>
              <w:rPr>
                <w:strike/>
                <w:dstrike w:val="0"/>
                <w:color w:val="auto"/>
                <w:spacing w:val="-9"/>
                <w:sz w:val="21"/>
                <w:szCs w:val="21"/>
                <w:highlight w:val="none"/>
              </w:rPr>
              <w:t>及</w:t>
            </w:r>
            <w:r>
              <w:rPr>
                <w:strike/>
                <w:dstrike w:val="0"/>
                <w:color w:val="auto"/>
                <w:sz w:val="21"/>
                <w:szCs w:val="21"/>
                <w:highlight w:val="none"/>
              </w:rPr>
              <w:t xml:space="preserve"> </w:t>
            </w:r>
            <w:r>
              <w:rPr>
                <w:strike/>
                <w:dstrike w:val="0"/>
                <w:color w:val="auto"/>
                <w:spacing w:val="-6"/>
                <w:sz w:val="21"/>
                <w:szCs w:val="21"/>
                <w:highlight w:val="none"/>
              </w:rPr>
              <w:t>以上浏览器访问</w:t>
            </w:r>
            <w:r>
              <w:rPr>
                <w:strike/>
                <w:dstrike w:val="0"/>
                <w:color w:val="auto"/>
                <w:spacing w:val="9"/>
                <w:sz w:val="21"/>
                <w:szCs w:val="21"/>
                <w:highlight w:val="none"/>
                <w:u w:val="single" w:color="auto"/>
              </w:rPr>
              <w:t xml:space="preserve">      </w:t>
            </w:r>
            <w:r>
              <w:rPr>
                <w:strike/>
                <w:dstrike w:val="0"/>
                <w:color w:val="auto"/>
                <w:spacing w:val="-6"/>
                <w:sz w:val="21"/>
                <w:szCs w:val="21"/>
                <w:highlight w:val="none"/>
              </w:rPr>
              <w:t>（电子招标投标交易平台）不见</w:t>
            </w:r>
            <w:r>
              <w:rPr>
                <w:strike/>
                <w:dstrike w:val="0"/>
                <w:color w:val="auto"/>
                <w:spacing w:val="3"/>
                <w:sz w:val="21"/>
                <w:szCs w:val="21"/>
                <w:highlight w:val="none"/>
              </w:rPr>
              <w:t xml:space="preserve"> </w:t>
            </w:r>
            <w:r>
              <w:rPr>
                <w:strike/>
                <w:dstrike w:val="0"/>
                <w:color w:val="auto"/>
                <w:spacing w:val="-1"/>
                <w:sz w:val="21"/>
                <w:szCs w:val="21"/>
                <w:highlight w:val="none"/>
              </w:rPr>
              <w:t>面开标大厅，完成远程开标。投标人可全程在线观看开</w:t>
            </w:r>
            <w:r>
              <w:rPr>
                <w:strike/>
                <w:dstrike w:val="0"/>
                <w:color w:val="auto"/>
                <w:spacing w:val="15"/>
                <w:sz w:val="21"/>
                <w:szCs w:val="21"/>
                <w:highlight w:val="none"/>
              </w:rPr>
              <w:t xml:space="preserve"> </w:t>
            </w:r>
            <w:r>
              <w:rPr>
                <w:strike/>
                <w:dstrike w:val="0"/>
                <w:color w:val="auto"/>
                <w:spacing w:val="-3"/>
                <w:sz w:val="21"/>
                <w:szCs w:val="21"/>
                <w:highlight w:val="none"/>
              </w:rPr>
              <w:t>标过程，无需到现场开标。</w:t>
            </w:r>
          </w:p>
          <w:p w14:paraId="4AA3B34B">
            <w:pPr>
              <w:pStyle w:val="17"/>
              <w:keepNext w:val="0"/>
              <w:keepLines w:val="0"/>
              <w:pageBreakBefore w:val="0"/>
              <w:widowControl w:val="0"/>
              <w:kinsoku w:val="0"/>
              <w:wordWrap/>
              <w:overflowPunct w:val="0"/>
              <w:topLinePunct w:val="0"/>
              <w:autoSpaceDE w:val="0"/>
              <w:autoSpaceDN w:val="0"/>
              <w:bidi w:val="0"/>
              <w:adjustRightInd w:val="0"/>
              <w:snapToGrid w:val="0"/>
              <w:spacing w:before="1" w:line="239" w:lineRule="auto"/>
              <w:ind w:left="220" w:right="174" w:firstLine="227"/>
              <w:jc w:val="both"/>
              <w:textAlignment w:val="baseline"/>
              <w:rPr>
                <w:strike/>
                <w:dstrike w:val="0"/>
                <w:color w:val="auto"/>
                <w:sz w:val="21"/>
                <w:szCs w:val="21"/>
                <w:highlight w:val="none"/>
              </w:rPr>
            </w:pPr>
            <w:r>
              <w:rPr>
                <w:strike/>
                <w:dstrike w:val="0"/>
                <w:color w:val="auto"/>
                <w:spacing w:val="-2"/>
                <w:sz w:val="21"/>
                <w:szCs w:val="21"/>
                <w:highlight w:val="none"/>
              </w:rPr>
              <w:t>四、开标期间，各交易主体使用数字证书（</w:t>
            </w:r>
            <w:r>
              <w:rPr>
                <w:rFonts w:ascii="Times New Roman" w:hAnsi="Times New Roman" w:eastAsia="Times New Roman" w:cs="Times New Roman"/>
                <w:strike/>
                <w:dstrike w:val="0"/>
                <w:color w:val="auto"/>
                <w:spacing w:val="-2"/>
                <w:sz w:val="21"/>
                <w:szCs w:val="21"/>
                <w:highlight w:val="none"/>
              </w:rPr>
              <w:t>CA</w:t>
            </w:r>
            <w:r>
              <w:rPr>
                <w:strike/>
                <w:dstrike w:val="0"/>
                <w:color w:val="auto"/>
                <w:spacing w:val="-2"/>
                <w:sz w:val="21"/>
                <w:szCs w:val="21"/>
                <w:highlight w:val="none"/>
              </w:rPr>
              <w:t>）在各</w:t>
            </w:r>
            <w:r>
              <w:rPr>
                <w:strike/>
                <w:dstrike w:val="0"/>
                <w:color w:val="auto"/>
                <w:spacing w:val="9"/>
                <w:sz w:val="21"/>
                <w:szCs w:val="21"/>
                <w:highlight w:val="none"/>
              </w:rPr>
              <w:t xml:space="preserve"> </w:t>
            </w:r>
            <w:r>
              <w:rPr>
                <w:strike/>
                <w:dstrike w:val="0"/>
                <w:color w:val="auto"/>
                <w:spacing w:val="-1"/>
                <w:sz w:val="21"/>
                <w:szCs w:val="21"/>
                <w:highlight w:val="none"/>
              </w:rPr>
              <w:t>自的电脑终端上的所有操作、音视频及文字交互均被视</w:t>
            </w:r>
            <w:r>
              <w:rPr>
                <w:strike/>
                <w:dstrike w:val="0"/>
                <w:color w:val="auto"/>
                <w:spacing w:val="12"/>
                <w:sz w:val="21"/>
                <w:szCs w:val="21"/>
                <w:highlight w:val="none"/>
              </w:rPr>
              <w:t xml:space="preserve"> </w:t>
            </w:r>
            <w:r>
              <w:rPr>
                <w:strike/>
                <w:dstrike w:val="0"/>
                <w:color w:val="auto"/>
                <w:spacing w:val="-2"/>
                <w:sz w:val="21"/>
                <w:szCs w:val="21"/>
                <w:highlight w:val="none"/>
              </w:rPr>
              <w:t>为各交易主体的行为，并承担相应的法律责任。</w:t>
            </w:r>
          </w:p>
          <w:p w14:paraId="225EB6BA">
            <w:pPr>
              <w:pStyle w:val="17"/>
              <w:keepNext w:val="0"/>
              <w:keepLines w:val="0"/>
              <w:pageBreakBefore w:val="0"/>
              <w:widowControl w:val="0"/>
              <w:kinsoku w:val="0"/>
              <w:wordWrap/>
              <w:overflowPunct w:val="0"/>
              <w:topLinePunct w:val="0"/>
              <w:autoSpaceDE w:val="0"/>
              <w:autoSpaceDN w:val="0"/>
              <w:bidi w:val="0"/>
              <w:adjustRightInd w:val="0"/>
              <w:snapToGrid w:val="0"/>
              <w:spacing w:before="1" w:line="220" w:lineRule="auto"/>
              <w:ind w:left="133"/>
              <w:textAlignment w:val="baseline"/>
              <w:rPr>
                <w:strike/>
                <w:dstrike w:val="0"/>
                <w:color w:val="auto"/>
                <w:sz w:val="21"/>
                <w:szCs w:val="21"/>
                <w:highlight w:val="none"/>
              </w:rPr>
            </w:pPr>
            <w:r>
              <w:rPr>
                <w:strike/>
                <w:dstrike w:val="0"/>
                <w:color w:val="auto"/>
                <w:spacing w:val="-4"/>
                <w:sz w:val="21"/>
                <w:szCs w:val="21"/>
                <w:highlight w:val="none"/>
              </w:rPr>
              <w:t>□一、开标时间：同投标截止时间。</w:t>
            </w:r>
          </w:p>
          <w:p w14:paraId="7ED03C17">
            <w:pPr>
              <w:pStyle w:val="17"/>
              <w:keepNext w:val="0"/>
              <w:keepLines w:val="0"/>
              <w:pageBreakBefore w:val="0"/>
              <w:widowControl w:val="0"/>
              <w:kinsoku w:val="0"/>
              <w:wordWrap/>
              <w:overflowPunct w:val="0"/>
              <w:topLinePunct w:val="0"/>
              <w:autoSpaceDE w:val="0"/>
              <w:autoSpaceDN w:val="0"/>
              <w:bidi w:val="0"/>
              <w:adjustRightInd w:val="0"/>
              <w:snapToGrid w:val="0"/>
              <w:spacing w:before="21" w:line="219" w:lineRule="auto"/>
              <w:ind w:left="325"/>
              <w:textAlignment w:val="baseline"/>
              <w:rPr>
                <w:strike/>
                <w:dstrike w:val="0"/>
                <w:color w:val="auto"/>
                <w:sz w:val="21"/>
                <w:szCs w:val="21"/>
                <w:highlight w:val="none"/>
              </w:rPr>
            </w:pPr>
            <w:r>
              <w:rPr>
                <w:strike/>
                <w:dstrike w:val="0"/>
                <w:color w:val="auto"/>
                <w:spacing w:val="-1"/>
                <w:sz w:val="21"/>
                <w:szCs w:val="21"/>
                <w:highlight w:val="none"/>
              </w:rPr>
              <w:t>二、参加开标会议的要求</w:t>
            </w:r>
          </w:p>
          <w:p w14:paraId="575BF61F">
            <w:pPr>
              <w:pStyle w:val="17"/>
              <w:keepNext w:val="0"/>
              <w:keepLines w:val="0"/>
              <w:pageBreakBefore w:val="0"/>
              <w:widowControl w:val="0"/>
              <w:kinsoku w:val="0"/>
              <w:wordWrap/>
              <w:overflowPunct w:val="0"/>
              <w:topLinePunct w:val="0"/>
              <w:autoSpaceDE w:val="0"/>
              <w:autoSpaceDN w:val="0"/>
              <w:bidi w:val="0"/>
              <w:adjustRightInd w:val="0"/>
              <w:snapToGrid w:val="0"/>
              <w:spacing w:before="25" w:line="239" w:lineRule="auto"/>
              <w:ind w:left="113" w:right="106" w:firstLine="419"/>
              <w:textAlignment w:val="baseline"/>
              <w:rPr>
                <w:color w:val="auto"/>
                <w:sz w:val="22"/>
                <w:szCs w:val="22"/>
                <w:highlight w:val="none"/>
              </w:rPr>
            </w:pPr>
            <w:r>
              <w:rPr>
                <w:strike/>
                <w:dstrike w:val="0"/>
                <w:color w:val="auto"/>
                <w:spacing w:val="1"/>
                <w:sz w:val="21"/>
                <w:szCs w:val="21"/>
                <w:highlight w:val="none"/>
              </w:rPr>
              <w:t>通过电子招标投标交易平台公开开标，并邀请所有投</w:t>
            </w:r>
            <w:r>
              <w:rPr>
                <w:strike/>
                <w:dstrike w:val="0"/>
                <w:color w:val="auto"/>
                <w:spacing w:val="3"/>
                <w:sz w:val="21"/>
                <w:szCs w:val="21"/>
                <w:highlight w:val="none"/>
              </w:rPr>
              <w:t xml:space="preserve"> </w:t>
            </w:r>
            <w:r>
              <w:rPr>
                <w:strike/>
                <w:dstrike w:val="0"/>
                <w:color w:val="auto"/>
                <w:spacing w:val="-2"/>
                <w:sz w:val="21"/>
                <w:szCs w:val="21"/>
                <w:highlight w:val="none"/>
              </w:rPr>
              <w:t>标人代表准时参加，投标人自行决定是否参加。</w:t>
            </w:r>
          </w:p>
        </w:tc>
      </w:tr>
    </w:tbl>
    <w:p w14:paraId="054BF32D">
      <w:pPr>
        <w:keepNext w:val="0"/>
        <w:keepLines w:val="0"/>
        <w:pageBreakBefore w:val="0"/>
        <w:widowControl w:val="0"/>
        <w:kinsoku w:val="0"/>
        <w:wordWrap/>
        <w:overflowPunct w:val="0"/>
        <w:topLinePunct w:val="0"/>
        <w:autoSpaceDE w:val="0"/>
        <w:autoSpaceDN w:val="0"/>
        <w:bidi w:val="0"/>
        <w:adjustRightInd w:val="0"/>
        <w:snapToGrid w:val="0"/>
        <w:spacing w:line="89" w:lineRule="auto"/>
        <w:textAlignment w:val="baseline"/>
        <w:rPr>
          <w:rFonts w:ascii="Arial"/>
          <w:color w:val="auto"/>
          <w:sz w:val="2"/>
          <w:highlight w:val="none"/>
        </w:rPr>
      </w:pPr>
    </w:p>
    <w:tbl>
      <w:tblPr>
        <w:tblStyle w:val="16"/>
        <w:tblW w:w="8902"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322"/>
        <w:gridCol w:w="5628"/>
      </w:tblGrid>
      <w:tr w14:paraId="3CC2B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52" w:type="dxa"/>
            <w:tcBorders>
              <w:left w:val="single" w:color="000000" w:sz="6" w:space="0"/>
              <w:bottom w:val="single" w:color="000000" w:sz="6" w:space="0"/>
            </w:tcBorders>
            <w:vAlign w:val="top"/>
          </w:tcPr>
          <w:p w14:paraId="43810277">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7B956FD1">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6F788B70">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53ABB6F3">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2E876F75">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0BD2A59F">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66F67F4A">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4DB177F4">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6478BD2B">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4D653723">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35484780">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4D1CF142">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3997D74D">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113D43FB">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11D906D0">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08CEF0C3">
            <w:pPr>
              <w:keepNext w:val="0"/>
              <w:keepLines w:val="0"/>
              <w:pageBreakBefore/>
              <w:widowControl w:val="0"/>
              <w:kinsoku w:val="0"/>
              <w:wordWrap/>
              <w:overflowPunct w:val="0"/>
              <w:topLinePunct w:val="0"/>
              <w:autoSpaceDE w:val="0"/>
              <w:autoSpaceDN w:val="0"/>
              <w:bidi w:val="0"/>
              <w:adjustRightInd w:val="0"/>
              <w:snapToGrid w:val="0"/>
              <w:ind w:firstLine="0"/>
              <w:textAlignment w:val="auto"/>
              <w:rPr>
                <w:rFonts w:ascii="Arial"/>
                <w:color w:val="auto"/>
                <w:sz w:val="21"/>
                <w:highlight w:val="none"/>
              </w:rPr>
            </w:pPr>
          </w:p>
          <w:p w14:paraId="037C57C7">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36CFE4ED">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297BD6A9">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7F8C7346">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468C51BF">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447B9724">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070D9DA5">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05995ADE">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27EF54D4">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2B87D6FA">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2D0256AD">
            <w:pPr>
              <w:keepNext w:val="0"/>
              <w:keepLines w:val="0"/>
              <w:pageBreakBefore/>
              <w:widowControl w:val="0"/>
              <w:kinsoku w:val="0"/>
              <w:wordWrap/>
              <w:overflowPunct w:val="0"/>
              <w:topLinePunct w:val="0"/>
              <w:autoSpaceDE w:val="0"/>
              <w:autoSpaceDN w:val="0"/>
              <w:bidi w:val="0"/>
              <w:adjustRightInd w:val="0"/>
              <w:snapToGrid w:val="0"/>
              <w:spacing w:line="241" w:lineRule="auto"/>
              <w:ind w:firstLine="0"/>
              <w:textAlignment w:val="auto"/>
              <w:rPr>
                <w:rFonts w:ascii="Arial"/>
                <w:color w:val="auto"/>
                <w:sz w:val="21"/>
                <w:highlight w:val="none"/>
              </w:rPr>
            </w:pPr>
          </w:p>
          <w:p w14:paraId="76B3623E">
            <w:pPr>
              <w:keepNext w:val="0"/>
              <w:keepLines w:val="0"/>
              <w:pageBreakBefore/>
              <w:widowControl w:val="0"/>
              <w:kinsoku w:val="0"/>
              <w:wordWrap/>
              <w:overflowPunct w:val="0"/>
              <w:topLinePunct w:val="0"/>
              <w:autoSpaceDE w:val="0"/>
              <w:autoSpaceDN w:val="0"/>
              <w:bidi w:val="0"/>
              <w:adjustRightInd w:val="0"/>
              <w:snapToGrid w:val="0"/>
              <w:spacing w:line="188" w:lineRule="auto"/>
              <w:ind w:left="345" w:firstLine="0"/>
              <w:textAlignment w:val="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5.2</w:t>
            </w:r>
          </w:p>
        </w:tc>
        <w:tc>
          <w:tcPr>
            <w:tcW w:w="2322" w:type="dxa"/>
            <w:tcBorders>
              <w:bottom w:val="single" w:color="000000" w:sz="6" w:space="0"/>
            </w:tcBorders>
            <w:vAlign w:val="top"/>
          </w:tcPr>
          <w:p w14:paraId="733ECEFD">
            <w:pPr>
              <w:keepNext w:val="0"/>
              <w:keepLines w:val="0"/>
              <w:pageBreakBefore/>
              <w:widowControl w:val="0"/>
              <w:kinsoku w:val="0"/>
              <w:wordWrap/>
              <w:overflowPunct w:val="0"/>
              <w:topLinePunct w:val="0"/>
              <w:autoSpaceDE w:val="0"/>
              <w:autoSpaceDN w:val="0"/>
              <w:bidi w:val="0"/>
              <w:adjustRightInd w:val="0"/>
              <w:snapToGrid w:val="0"/>
              <w:spacing w:line="247" w:lineRule="auto"/>
              <w:ind w:firstLine="0"/>
              <w:textAlignment w:val="auto"/>
              <w:rPr>
                <w:rFonts w:ascii="Arial"/>
                <w:color w:val="auto"/>
                <w:sz w:val="21"/>
                <w:highlight w:val="none"/>
              </w:rPr>
            </w:pPr>
          </w:p>
          <w:p w14:paraId="45868A90">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1ED7D4A2">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2D6A1812">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1DE5D9FA">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7E032882">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6FB75855">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680187BE">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02A032DA">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1040A57C">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3080EE93">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5E2DCC22">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565ED61C">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56C48B34">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0B312AE0">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7007B7CE">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762C51D4">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150734C5">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2E95013F">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16406C9F">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10BC8548">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27002E25">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1F7D183D">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0F2A4222">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5D4EE5AC">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7CEB8A6E">
            <w:pPr>
              <w:keepNext w:val="0"/>
              <w:keepLines w:val="0"/>
              <w:pageBreakBefore/>
              <w:widowControl w:val="0"/>
              <w:kinsoku w:val="0"/>
              <w:wordWrap/>
              <w:overflowPunct w:val="0"/>
              <w:topLinePunct w:val="0"/>
              <w:autoSpaceDE w:val="0"/>
              <w:autoSpaceDN w:val="0"/>
              <w:bidi w:val="0"/>
              <w:adjustRightInd w:val="0"/>
              <w:snapToGrid w:val="0"/>
              <w:spacing w:line="248" w:lineRule="auto"/>
              <w:ind w:firstLine="0"/>
              <w:textAlignment w:val="auto"/>
              <w:rPr>
                <w:rFonts w:ascii="Arial"/>
                <w:color w:val="auto"/>
                <w:sz w:val="21"/>
                <w:highlight w:val="none"/>
              </w:rPr>
            </w:pPr>
          </w:p>
          <w:p w14:paraId="728577D6">
            <w:pPr>
              <w:pStyle w:val="17"/>
              <w:keepNext w:val="0"/>
              <w:keepLines w:val="0"/>
              <w:pageBreakBefore/>
              <w:widowControl w:val="0"/>
              <w:kinsoku w:val="0"/>
              <w:wordWrap/>
              <w:overflowPunct w:val="0"/>
              <w:topLinePunct w:val="0"/>
              <w:autoSpaceDE w:val="0"/>
              <w:autoSpaceDN w:val="0"/>
              <w:bidi w:val="0"/>
              <w:adjustRightInd w:val="0"/>
              <w:snapToGrid w:val="0"/>
              <w:spacing w:line="220" w:lineRule="auto"/>
              <w:ind w:left="109" w:firstLine="0"/>
              <w:textAlignment w:val="auto"/>
              <w:rPr>
                <w:color w:val="auto"/>
                <w:sz w:val="21"/>
                <w:szCs w:val="21"/>
                <w:highlight w:val="none"/>
              </w:rPr>
            </w:pPr>
            <w:r>
              <w:rPr>
                <w:color w:val="auto"/>
                <w:spacing w:val="-2"/>
                <w:sz w:val="21"/>
                <w:szCs w:val="21"/>
                <w:highlight w:val="none"/>
              </w:rPr>
              <w:t>开标程序</w:t>
            </w:r>
          </w:p>
        </w:tc>
        <w:tc>
          <w:tcPr>
            <w:tcW w:w="5628" w:type="dxa"/>
            <w:tcBorders>
              <w:bottom w:val="single" w:color="000000" w:sz="6" w:space="0"/>
              <w:right w:val="single" w:color="000000" w:sz="6" w:space="0"/>
            </w:tcBorders>
            <w:vAlign w:val="top"/>
          </w:tcPr>
          <w:p w14:paraId="511226A8">
            <w:pPr>
              <w:pStyle w:val="17"/>
              <w:keepNext w:val="0"/>
              <w:keepLines w:val="0"/>
              <w:pageBreakBefore/>
              <w:widowControl w:val="0"/>
              <w:kinsoku w:val="0"/>
              <w:wordWrap/>
              <w:overflowPunct w:val="0"/>
              <w:topLinePunct w:val="0"/>
              <w:autoSpaceDE w:val="0"/>
              <w:autoSpaceDN w:val="0"/>
              <w:bidi w:val="0"/>
              <w:adjustRightInd w:val="0"/>
              <w:snapToGrid w:val="0"/>
              <w:spacing w:line="220" w:lineRule="auto"/>
              <w:ind w:left="338" w:firstLine="0"/>
              <w:textAlignment w:val="auto"/>
              <w:rPr>
                <w:strike/>
                <w:dstrike w:val="0"/>
                <w:color w:val="auto"/>
                <w:sz w:val="21"/>
                <w:szCs w:val="21"/>
                <w:highlight w:val="none"/>
              </w:rPr>
            </w:pPr>
            <w:r>
              <w:rPr>
                <w:rFonts w:ascii="Times New Roman" w:hAnsi="Times New Roman" w:eastAsia="Times New Roman" w:cs="Times New Roman"/>
                <w:strike/>
                <w:dstrike w:val="0"/>
                <w:color w:val="auto"/>
                <w:spacing w:val="-6"/>
                <w:sz w:val="21"/>
                <w:szCs w:val="21"/>
                <w:highlight w:val="none"/>
              </w:rPr>
              <w:t>1.</w:t>
            </w:r>
            <w:r>
              <w:rPr>
                <w:rFonts w:ascii="Times New Roman" w:hAnsi="Times New Roman" w:eastAsia="Times New Roman" w:cs="Times New Roman"/>
                <w:strike/>
                <w:dstrike w:val="0"/>
                <w:color w:val="auto"/>
                <w:spacing w:val="7"/>
                <w:sz w:val="21"/>
                <w:szCs w:val="21"/>
                <w:highlight w:val="none"/>
              </w:rPr>
              <w:t xml:space="preserve">  </w:t>
            </w:r>
            <w:r>
              <w:rPr>
                <w:strike/>
                <w:dstrike w:val="0"/>
                <w:color w:val="auto"/>
                <w:spacing w:val="-6"/>
                <w:sz w:val="21"/>
                <w:szCs w:val="21"/>
                <w:highlight w:val="none"/>
              </w:rPr>
              <w:t>开标程序</w:t>
            </w:r>
          </w:p>
          <w:p w14:paraId="2E804BBC">
            <w:pPr>
              <w:pStyle w:val="17"/>
              <w:keepNext w:val="0"/>
              <w:keepLines w:val="0"/>
              <w:pageBreakBefore/>
              <w:widowControl w:val="0"/>
              <w:kinsoku w:val="0"/>
              <w:wordWrap/>
              <w:overflowPunct w:val="0"/>
              <w:topLinePunct w:val="0"/>
              <w:autoSpaceDE w:val="0"/>
              <w:autoSpaceDN w:val="0"/>
              <w:bidi w:val="0"/>
              <w:adjustRightInd w:val="0"/>
              <w:snapToGrid w:val="0"/>
              <w:spacing w:line="219" w:lineRule="auto"/>
              <w:ind w:left="327" w:firstLine="0"/>
              <w:textAlignment w:val="auto"/>
              <w:rPr>
                <w:strike/>
                <w:dstrike w:val="0"/>
                <w:color w:val="auto"/>
                <w:sz w:val="21"/>
                <w:szCs w:val="21"/>
                <w:highlight w:val="none"/>
              </w:rPr>
            </w:pPr>
            <w:r>
              <w:rPr>
                <w:strike/>
                <w:dstrike w:val="0"/>
                <w:color w:val="auto"/>
                <w:spacing w:val="-4"/>
                <w:sz w:val="21"/>
                <w:szCs w:val="21"/>
                <w:highlight w:val="none"/>
              </w:rPr>
              <w:t>（一）宣布开始</w:t>
            </w:r>
          </w:p>
          <w:p w14:paraId="081896D2">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2" w:right="142" w:firstLine="0"/>
              <w:jc w:val="both"/>
              <w:textAlignment w:val="auto"/>
              <w:rPr>
                <w:strike/>
                <w:dstrike w:val="0"/>
                <w:color w:val="auto"/>
                <w:sz w:val="21"/>
                <w:szCs w:val="21"/>
                <w:highlight w:val="none"/>
              </w:rPr>
            </w:pPr>
            <w:r>
              <w:rPr>
                <w:strike/>
                <w:dstrike w:val="0"/>
                <w:color w:val="auto"/>
                <w:spacing w:val="-1"/>
                <w:sz w:val="21"/>
                <w:szCs w:val="21"/>
                <w:highlight w:val="none"/>
              </w:rPr>
              <w:t>至投标截止时间，招标人宣布开始开标，宣布开标项目</w:t>
            </w:r>
            <w:r>
              <w:rPr>
                <w:strike/>
                <w:dstrike w:val="0"/>
                <w:color w:val="auto"/>
                <w:spacing w:val="13"/>
                <w:sz w:val="21"/>
                <w:szCs w:val="21"/>
                <w:highlight w:val="none"/>
              </w:rPr>
              <w:t xml:space="preserve"> </w:t>
            </w:r>
            <w:r>
              <w:rPr>
                <w:strike/>
                <w:dstrike w:val="0"/>
                <w:color w:val="auto"/>
                <w:spacing w:val="-12"/>
                <w:sz w:val="21"/>
                <w:szCs w:val="21"/>
                <w:highlight w:val="none"/>
              </w:rPr>
              <w:t>名称、招标人代表、交易中心见证代表、监标人等有关人员</w:t>
            </w:r>
            <w:r>
              <w:rPr>
                <w:strike/>
                <w:dstrike w:val="0"/>
                <w:color w:val="auto"/>
                <w:spacing w:val="15"/>
                <w:sz w:val="21"/>
                <w:szCs w:val="21"/>
                <w:highlight w:val="none"/>
              </w:rPr>
              <w:t xml:space="preserve"> </w:t>
            </w:r>
            <w:r>
              <w:rPr>
                <w:strike/>
                <w:dstrike w:val="0"/>
                <w:color w:val="auto"/>
                <w:spacing w:val="-14"/>
                <w:sz w:val="21"/>
                <w:szCs w:val="21"/>
                <w:highlight w:val="none"/>
              </w:rPr>
              <w:t>姓名。</w:t>
            </w:r>
          </w:p>
          <w:p w14:paraId="2DEA4712">
            <w:pPr>
              <w:pStyle w:val="17"/>
              <w:keepNext w:val="0"/>
              <w:keepLines w:val="0"/>
              <w:pageBreakBefore/>
              <w:widowControl w:val="0"/>
              <w:kinsoku w:val="0"/>
              <w:wordWrap/>
              <w:overflowPunct w:val="0"/>
              <w:topLinePunct w:val="0"/>
              <w:autoSpaceDE w:val="0"/>
              <w:autoSpaceDN w:val="0"/>
              <w:bidi w:val="0"/>
              <w:adjustRightInd w:val="0"/>
              <w:snapToGrid w:val="0"/>
              <w:spacing w:line="218" w:lineRule="auto"/>
              <w:ind w:left="327" w:firstLine="0"/>
              <w:textAlignment w:val="auto"/>
              <w:rPr>
                <w:strike/>
                <w:dstrike w:val="0"/>
                <w:color w:val="auto"/>
                <w:sz w:val="21"/>
                <w:szCs w:val="21"/>
                <w:highlight w:val="none"/>
              </w:rPr>
            </w:pPr>
            <w:r>
              <w:rPr>
                <w:strike/>
                <w:dstrike w:val="0"/>
                <w:color w:val="auto"/>
                <w:spacing w:val="-2"/>
                <w:sz w:val="21"/>
                <w:szCs w:val="21"/>
                <w:highlight w:val="none"/>
              </w:rPr>
              <w:t>（二）公布投标人数量</w:t>
            </w:r>
          </w:p>
          <w:p w14:paraId="1B11A4E3">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6" w:right="98" w:firstLine="0"/>
              <w:textAlignment w:val="auto"/>
              <w:rPr>
                <w:strike/>
                <w:dstrike w:val="0"/>
                <w:color w:val="auto"/>
                <w:sz w:val="21"/>
                <w:szCs w:val="21"/>
                <w:highlight w:val="none"/>
              </w:rPr>
            </w:pPr>
            <w:r>
              <w:rPr>
                <w:strike/>
                <w:dstrike w:val="0"/>
                <w:color w:val="auto"/>
                <w:spacing w:val="-3"/>
                <w:sz w:val="21"/>
                <w:szCs w:val="21"/>
                <w:highlight w:val="none"/>
              </w:rPr>
              <w:t>招标人公布投标人数量及投标保证金缴纳情况。若开标</w:t>
            </w:r>
            <w:r>
              <w:rPr>
                <w:strike/>
                <w:dstrike w:val="0"/>
                <w:color w:val="auto"/>
                <w:spacing w:val="4"/>
                <w:sz w:val="21"/>
                <w:szCs w:val="21"/>
                <w:highlight w:val="none"/>
              </w:rPr>
              <w:t xml:space="preserve">  </w:t>
            </w:r>
            <w:r>
              <w:rPr>
                <w:strike/>
                <w:dstrike w:val="0"/>
                <w:color w:val="auto"/>
                <w:spacing w:val="-10"/>
                <w:sz w:val="21"/>
                <w:szCs w:val="21"/>
                <w:highlight w:val="none"/>
              </w:rPr>
              <w:t xml:space="preserve">系统显示已递交投标文件的单位数量少于 </w:t>
            </w:r>
            <w:r>
              <w:rPr>
                <w:rFonts w:ascii="Times New Roman" w:hAnsi="Times New Roman" w:eastAsia="Times New Roman" w:cs="Times New Roman"/>
                <w:strike/>
                <w:dstrike w:val="0"/>
                <w:color w:val="auto"/>
                <w:spacing w:val="-11"/>
                <w:sz w:val="21"/>
                <w:szCs w:val="21"/>
                <w:highlight w:val="none"/>
              </w:rPr>
              <w:t>3</w:t>
            </w:r>
            <w:r>
              <w:rPr>
                <w:rFonts w:ascii="Times New Roman" w:hAnsi="Times New Roman" w:eastAsia="Times New Roman" w:cs="Times New Roman"/>
                <w:strike/>
                <w:dstrike w:val="0"/>
                <w:color w:val="auto"/>
                <w:spacing w:val="45"/>
                <w:sz w:val="21"/>
                <w:szCs w:val="21"/>
                <w:highlight w:val="none"/>
              </w:rPr>
              <w:t xml:space="preserve"> </w:t>
            </w:r>
            <w:r>
              <w:rPr>
                <w:strike/>
                <w:dstrike w:val="0"/>
                <w:color w:val="auto"/>
                <w:spacing w:val="-11"/>
                <w:sz w:val="21"/>
                <w:szCs w:val="21"/>
                <w:highlight w:val="none"/>
              </w:rPr>
              <w:t>家，招标人公布</w:t>
            </w:r>
            <w:r>
              <w:rPr>
                <w:strike/>
                <w:dstrike w:val="0"/>
                <w:color w:val="auto"/>
                <w:sz w:val="21"/>
                <w:szCs w:val="21"/>
                <w:highlight w:val="none"/>
              </w:rPr>
              <w:t xml:space="preserve"> </w:t>
            </w:r>
            <w:r>
              <w:rPr>
                <w:strike/>
                <w:dstrike w:val="0"/>
                <w:color w:val="auto"/>
                <w:spacing w:val="-2"/>
                <w:sz w:val="21"/>
                <w:szCs w:val="21"/>
                <w:highlight w:val="none"/>
              </w:rPr>
              <w:t>已递交投标文件单位名称，当场宣布招标失败，结</w:t>
            </w:r>
            <w:r>
              <w:rPr>
                <w:strike/>
                <w:dstrike w:val="0"/>
                <w:color w:val="auto"/>
                <w:spacing w:val="-3"/>
                <w:sz w:val="21"/>
                <w:szCs w:val="21"/>
                <w:highlight w:val="none"/>
              </w:rPr>
              <w:t>束开</w:t>
            </w:r>
          </w:p>
          <w:p w14:paraId="08D02996">
            <w:pPr>
              <w:pStyle w:val="17"/>
              <w:keepNext w:val="0"/>
              <w:keepLines w:val="0"/>
              <w:pageBreakBefore/>
              <w:widowControl w:val="0"/>
              <w:kinsoku w:val="0"/>
              <w:wordWrap/>
              <w:overflowPunct w:val="0"/>
              <w:topLinePunct w:val="0"/>
              <w:autoSpaceDE w:val="0"/>
              <w:autoSpaceDN w:val="0"/>
              <w:bidi w:val="0"/>
              <w:adjustRightInd w:val="0"/>
              <w:snapToGrid w:val="0"/>
              <w:spacing w:line="220" w:lineRule="auto"/>
              <w:ind w:left="113" w:firstLine="0"/>
              <w:textAlignment w:val="auto"/>
              <w:rPr>
                <w:strike/>
                <w:dstrike w:val="0"/>
                <w:color w:val="auto"/>
                <w:sz w:val="21"/>
                <w:szCs w:val="21"/>
                <w:highlight w:val="none"/>
              </w:rPr>
            </w:pPr>
            <w:r>
              <w:rPr>
                <w:strike/>
                <w:dstrike w:val="0"/>
                <w:color w:val="auto"/>
                <w:spacing w:val="-10"/>
                <w:sz w:val="21"/>
                <w:szCs w:val="21"/>
                <w:highlight w:val="none"/>
              </w:rPr>
              <w:t>标。</w:t>
            </w:r>
          </w:p>
          <w:p w14:paraId="4A2DDD34">
            <w:pPr>
              <w:pStyle w:val="17"/>
              <w:keepNext w:val="0"/>
              <w:keepLines w:val="0"/>
              <w:pageBreakBefore/>
              <w:widowControl w:val="0"/>
              <w:kinsoku w:val="0"/>
              <w:wordWrap/>
              <w:overflowPunct w:val="0"/>
              <w:topLinePunct w:val="0"/>
              <w:autoSpaceDE w:val="0"/>
              <w:autoSpaceDN w:val="0"/>
              <w:bidi w:val="0"/>
              <w:adjustRightInd w:val="0"/>
              <w:snapToGrid w:val="0"/>
              <w:spacing w:line="220" w:lineRule="auto"/>
              <w:ind w:left="327" w:firstLine="0"/>
              <w:textAlignment w:val="auto"/>
              <w:rPr>
                <w:strike/>
                <w:dstrike w:val="0"/>
                <w:color w:val="auto"/>
                <w:sz w:val="21"/>
                <w:szCs w:val="21"/>
                <w:highlight w:val="none"/>
              </w:rPr>
            </w:pPr>
            <w:r>
              <w:rPr>
                <w:strike/>
                <w:dstrike w:val="0"/>
                <w:color w:val="auto"/>
                <w:spacing w:val="-3"/>
                <w:sz w:val="21"/>
                <w:szCs w:val="21"/>
                <w:highlight w:val="none"/>
              </w:rPr>
              <w:t>（三）投标人解密</w:t>
            </w:r>
          </w:p>
          <w:p w14:paraId="36BFDB87">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1" w:right="193" w:firstLine="0"/>
              <w:textAlignment w:val="auto"/>
              <w:rPr>
                <w:strike/>
                <w:dstrike w:val="0"/>
                <w:color w:val="auto"/>
                <w:sz w:val="21"/>
                <w:szCs w:val="21"/>
                <w:highlight w:val="none"/>
              </w:rPr>
            </w:pPr>
            <w:r>
              <w:rPr>
                <w:strike/>
                <w:dstrike w:val="0"/>
                <w:color w:val="auto"/>
                <w:spacing w:val="-14"/>
                <w:sz w:val="21"/>
                <w:szCs w:val="21"/>
                <w:highlight w:val="none"/>
              </w:rPr>
              <w:t xml:space="preserve">投标人数量大于等于 </w:t>
            </w:r>
            <w:r>
              <w:rPr>
                <w:rFonts w:ascii="Times New Roman" w:hAnsi="Times New Roman" w:eastAsia="Times New Roman" w:cs="Times New Roman"/>
                <w:strike/>
                <w:dstrike w:val="0"/>
                <w:color w:val="auto"/>
                <w:spacing w:val="-14"/>
                <w:sz w:val="21"/>
                <w:szCs w:val="21"/>
                <w:highlight w:val="none"/>
              </w:rPr>
              <w:t>3</w:t>
            </w:r>
            <w:r>
              <w:rPr>
                <w:rFonts w:ascii="Times New Roman" w:hAnsi="Times New Roman" w:eastAsia="Times New Roman" w:cs="Times New Roman"/>
                <w:strike/>
                <w:dstrike w:val="0"/>
                <w:color w:val="auto"/>
                <w:spacing w:val="50"/>
                <w:sz w:val="21"/>
                <w:szCs w:val="21"/>
                <w:highlight w:val="none"/>
              </w:rPr>
              <w:t xml:space="preserve"> </w:t>
            </w:r>
            <w:r>
              <w:rPr>
                <w:strike/>
                <w:dstrike w:val="0"/>
                <w:color w:val="auto"/>
                <w:spacing w:val="-14"/>
                <w:sz w:val="21"/>
                <w:szCs w:val="21"/>
                <w:highlight w:val="none"/>
              </w:rPr>
              <w:t>家，进入投标人解密环节。投标人</w:t>
            </w:r>
            <w:r>
              <w:rPr>
                <w:strike/>
                <w:dstrike w:val="0"/>
                <w:color w:val="auto"/>
                <w:sz w:val="21"/>
                <w:szCs w:val="21"/>
                <w:highlight w:val="none"/>
              </w:rPr>
              <w:t xml:space="preserve"> </w:t>
            </w:r>
            <w:r>
              <w:rPr>
                <w:strike/>
                <w:dstrike w:val="0"/>
                <w:color w:val="auto"/>
                <w:spacing w:val="-3"/>
                <w:sz w:val="21"/>
                <w:szCs w:val="21"/>
                <w:highlight w:val="none"/>
              </w:rPr>
              <w:t>解密时间：</w:t>
            </w:r>
            <w:r>
              <w:rPr>
                <w:rFonts w:ascii="Times New Roman" w:hAnsi="Times New Roman" w:eastAsia="Times New Roman" w:cs="Times New Roman"/>
                <w:strike/>
                <w:dstrike w:val="0"/>
                <w:color w:val="auto"/>
                <w:spacing w:val="-3"/>
                <w:sz w:val="21"/>
                <w:szCs w:val="21"/>
                <w:highlight w:val="none"/>
              </w:rPr>
              <w:t xml:space="preserve">30  </w:t>
            </w:r>
            <w:r>
              <w:rPr>
                <w:strike/>
                <w:dstrike w:val="0"/>
                <w:color w:val="auto"/>
                <w:spacing w:val="-3"/>
                <w:sz w:val="21"/>
                <w:szCs w:val="21"/>
                <w:highlight w:val="none"/>
              </w:rPr>
              <w:t>分钟。投标人解密方式：</w:t>
            </w:r>
          </w:p>
          <w:p w14:paraId="44634FB9">
            <w:pPr>
              <w:pStyle w:val="17"/>
              <w:keepNext w:val="0"/>
              <w:keepLines w:val="0"/>
              <w:pageBreakBefore/>
              <w:widowControl w:val="0"/>
              <w:kinsoku w:val="0"/>
              <w:wordWrap/>
              <w:overflowPunct w:val="0"/>
              <w:topLinePunct w:val="0"/>
              <w:autoSpaceDE w:val="0"/>
              <w:autoSpaceDN w:val="0"/>
              <w:bidi w:val="0"/>
              <w:adjustRightInd w:val="0"/>
              <w:snapToGrid w:val="0"/>
              <w:spacing w:line="313" w:lineRule="auto"/>
              <w:ind w:left="113" w:right="214" w:firstLine="0"/>
              <w:jc w:val="both"/>
              <w:textAlignment w:val="auto"/>
              <w:rPr>
                <w:strike/>
                <w:dstrike w:val="0"/>
                <w:color w:val="auto"/>
                <w:sz w:val="21"/>
                <w:szCs w:val="21"/>
                <w:highlight w:val="none"/>
              </w:rPr>
            </w:pPr>
            <w:r>
              <w:rPr>
                <w:strike/>
                <w:dstrike w:val="0"/>
                <w:color w:val="auto"/>
                <w:spacing w:val="-1"/>
                <w:sz w:val="21"/>
                <w:szCs w:val="21"/>
                <w:highlight w:val="none"/>
              </w:rPr>
              <w:t xml:space="preserve">投标人使用 </w:t>
            </w:r>
            <w:r>
              <w:rPr>
                <w:rFonts w:ascii="Times New Roman" w:hAnsi="Times New Roman" w:eastAsia="Times New Roman" w:cs="Times New Roman"/>
                <w:strike/>
                <w:dstrike w:val="0"/>
                <w:color w:val="auto"/>
                <w:spacing w:val="-1"/>
                <w:sz w:val="21"/>
                <w:szCs w:val="21"/>
                <w:highlight w:val="none"/>
              </w:rPr>
              <w:t>IE11</w:t>
            </w:r>
            <w:r>
              <w:rPr>
                <w:strike/>
                <w:dstrike w:val="0"/>
                <w:color w:val="auto"/>
                <w:spacing w:val="-1"/>
                <w:sz w:val="21"/>
                <w:szCs w:val="21"/>
                <w:highlight w:val="none"/>
              </w:rPr>
              <w:t>及以上浏览器自行登录</w:t>
            </w:r>
            <w:r>
              <w:rPr>
                <w:strike/>
                <w:dstrike w:val="0"/>
                <w:color w:val="auto"/>
                <w:spacing w:val="-2"/>
                <w:sz w:val="21"/>
                <w:szCs w:val="21"/>
                <w:highlight w:val="none"/>
              </w:rPr>
              <w:t>不见面开标大</w:t>
            </w:r>
            <w:r>
              <w:rPr>
                <w:strike/>
                <w:dstrike w:val="0"/>
                <w:color w:val="auto"/>
                <w:sz w:val="21"/>
                <w:szCs w:val="21"/>
                <w:highlight w:val="none"/>
              </w:rPr>
              <w:t xml:space="preserve"> </w:t>
            </w:r>
            <w:r>
              <w:rPr>
                <w:strike/>
                <w:dstrike w:val="0"/>
                <w:color w:val="auto"/>
                <w:spacing w:val="-1"/>
                <w:sz w:val="21"/>
                <w:szCs w:val="21"/>
                <w:highlight w:val="none"/>
              </w:rPr>
              <w:t>厅：</w:t>
            </w:r>
            <w:r>
              <w:rPr>
                <w:strike/>
                <w:dstrike w:val="0"/>
                <w:color w:val="auto"/>
                <w:spacing w:val="-1"/>
                <w:sz w:val="21"/>
                <w:szCs w:val="21"/>
                <w:highlight w:val="none"/>
                <w:u w:val="single" w:color="auto"/>
              </w:rPr>
              <w:t xml:space="preserve">             </w:t>
            </w:r>
            <w:r>
              <w:rPr>
                <w:strike/>
                <w:dstrike w:val="0"/>
                <w:color w:val="auto"/>
                <w:spacing w:val="-85"/>
                <w:sz w:val="21"/>
                <w:szCs w:val="21"/>
                <w:highlight w:val="none"/>
              </w:rPr>
              <w:t xml:space="preserve"> </w:t>
            </w:r>
            <w:r>
              <w:rPr>
                <w:rFonts w:ascii="Times New Roman" w:hAnsi="Times New Roman" w:eastAsia="Times New Roman" w:cs="Times New Roman"/>
                <w:strike/>
                <w:dstrike w:val="0"/>
                <w:color w:val="auto"/>
                <w:spacing w:val="-1"/>
                <w:sz w:val="21"/>
                <w:szCs w:val="21"/>
                <w:highlight w:val="none"/>
              </w:rPr>
              <w:t>(</w:t>
            </w:r>
            <w:r>
              <w:rPr>
                <w:strike/>
                <w:dstrike w:val="0"/>
                <w:color w:val="auto"/>
                <w:spacing w:val="-1"/>
                <w:sz w:val="21"/>
                <w:szCs w:val="21"/>
                <w:highlight w:val="none"/>
              </w:rPr>
              <w:t>电子招标投标交易平台首页点击</w:t>
            </w:r>
            <w:r>
              <w:rPr>
                <w:rFonts w:ascii="Times New Roman" w:hAnsi="Times New Roman" w:eastAsia="Times New Roman" w:cs="Times New Roman"/>
                <w:strike/>
                <w:dstrike w:val="0"/>
                <w:color w:val="auto"/>
                <w:spacing w:val="-1"/>
                <w:sz w:val="21"/>
                <w:szCs w:val="21"/>
                <w:highlight w:val="none"/>
              </w:rPr>
              <w:t>“</w:t>
            </w:r>
            <w:r>
              <w:rPr>
                <w:strike/>
                <w:dstrike w:val="0"/>
                <w:color w:val="auto"/>
                <w:spacing w:val="-1"/>
                <w:sz w:val="21"/>
                <w:szCs w:val="21"/>
                <w:highlight w:val="none"/>
              </w:rPr>
              <w:t>不</w:t>
            </w:r>
            <w:r>
              <w:rPr>
                <w:strike/>
                <w:dstrike w:val="0"/>
                <w:color w:val="auto"/>
                <w:sz w:val="21"/>
                <w:szCs w:val="21"/>
                <w:highlight w:val="none"/>
              </w:rPr>
              <w:t xml:space="preserve"> </w:t>
            </w:r>
            <w:r>
              <w:rPr>
                <w:strike/>
                <w:dstrike w:val="0"/>
                <w:color w:val="auto"/>
                <w:spacing w:val="-2"/>
                <w:sz w:val="21"/>
                <w:szCs w:val="21"/>
                <w:highlight w:val="none"/>
              </w:rPr>
              <w:t>见面开标大厅</w:t>
            </w:r>
            <w:r>
              <w:rPr>
                <w:rFonts w:ascii="Times New Roman" w:hAnsi="Times New Roman" w:eastAsia="Times New Roman" w:cs="Times New Roman"/>
                <w:strike/>
                <w:dstrike w:val="0"/>
                <w:color w:val="auto"/>
                <w:spacing w:val="-2"/>
                <w:sz w:val="21"/>
                <w:szCs w:val="21"/>
                <w:highlight w:val="none"/>
              </w:rPr>
              <w:t>”)</w:t>
            </w:r>
            <w:r>
              <w:rPr>
                <w:strike/>
                <w:dstrike w:val="0"/>
                <w:color w:val="auto"/>
                <w:spacing w:val="-2"/>
                <w:sz w:val="21"/>
                <w:szCs w:val="21"/>
                <w:highlight w:val="none"/>
              </w:rPr>
              <w:t>。待招标人点击解密指令后，投标人使用</w:t>
            </w:r>
            <w:r>
              <w:rPr>
                <w:strike/>
                <w:dstrike w:val="0"/>
                <w:color w:val="auto"/>
                <w:spacing w:val="15"/>
                <w:sz w:val="21"/>
                <w:szCs w:val="21"/>
                <w:highlight w:val="none"/>
              </w:rPr>
              <w:t xml:space="preserve"> </w:t>
            </w:r>
            <w:r>
              <w:rPr>
                <w:strike/>
                <w:dstrike w:val="0"/>
                <w:color w:val="auto"/>
                <w:spacing w:val="-3"/>
                <w:sz w:val="21"/>
                <w:szCs w:val="21"/>
                <w:highlight w:val="none"/>
              </w:rPr>
              <w:t>生成投标文件的</w:t>
            </w:r>
            <w:r>
              <w:rPr>
                <w:rFonts w:ascii="Times New Roman" w:hAnsi="Times New Roman" w:eastAsia="Times New Roman" w:cs="Times New Roman"/>
                <w:strike/>
                <w:dstrike w:val="0"/>
                <w:color w:val="auto"/>
                <w:spacing w:val="-3"/>
                <w:sz w:val="21"/>
                <w:szCs w:val="21"/>
                <w:highlight w:val="none"/>
              </w:rPr>
              <w:t>CA</w:t>
            </w:r>
            <w:r>
              <w:rPr>
                <w:strike/>
                <w:dstrike w:val="0"/>
                <w:color w:val="auto"/>
                <w:spacing w:val="-3"/>
                <w:sz w:val="21"/>
                <w:szCs w:val="21"/>
                <w:highlight w:val="none"/>
              </w:rPr>
              <w:t>数字证书在线解密。</w:t>
            </w:r>
          </w:p>
          <w:p w14:paraId="6B392257">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2" w:right="430" w:firstLine="0"/>
              <w:textAlignment w:val="auto"/>
              <w:rPr>
                <w:strike/>
                <w:dstrike w:val="0"/>
                <w:color w:val="auto"/>
                <w:sz w:val="21"/>
                <w:szCs w:val="21"/>
                <w:highlight w:val="none"/>
              </w:rPr>
            </w:pPr>
            <w:r>
              <w:rPr>
                <w:strike/>
                <w:dstrike w:val="0"/>
                <w:color w:val="auto"/>
                <w:spacing w:val="-16"/>
                <w:sz w:val="21"/>
                <w:szCs w:val="21"/>
                <w:highlight w:val="none"/>
              </w:rPr>
              <w:t xml:space="preserve">若成功解密的投标人少于 </w:t>
            </w:r>
            <w:r>
              <w:rPr>
                <w:rFonts w:ascii="Times New Roman" w:hAnsi="Times New Roman" w:eastAsia="Times New Roman" w:cs="Times New Roman"/>
                <w:strike/>
                <w:dstrike w:val="0"/>
                <w:color w:val="auto"/>
                <w:spacing w:val="-16"/>
                <w:sz w:val="21"/>
                <w:szCs w:val="21"/>
                <w:highlight w:val="none"/>
              </w:rPr>
              <w:t>3</w:t>
            </w:r>
            <w:r>
              <w:rPr>
                <w:rFonts w:ascii="Times New Roman" w:hAnsi="Times New Roman" w:eastAsia="Times New Roman" w:cs="Times New Roman"/>
                <w:strike/>
                <w:dstrike w:val="0"/>
                <w:color w:val="auto"/>
                <w:spacing w:val="58"/>
                <w:w w:val="101"/>
                <w:sz w:val="21"/>
                <w:szCs w:val="21"/>
                <w:highlight w:val="none"/>
              </w:rPr>
              <w:t xml:space="preserve"> </w:t>
            </w:r>
            <w:r>
              <w:rPr>
                <w:strike/>
                <w:dstrike w:val="0"/>
                <w:color w:val="auto"/>
                <w:spacing w:val="-16"/>
                <w:sz w:val="21"/>
                <w:szCs w:val="21"/>
                <w:highlight w:val="none"/>
              </w:rPr>
              <w:t>家，招标人宣布本次招标失</w:t>
            </w:r>
            <w:r>
              <w:rPr>
                <w:strike/>
                <w:dstrike w:val="0"/>
                <w:color w:val="auto"/>
                <w:sz w:val="21"/>
                <w:szCs w:val="21"/>
                <w:highlight w:val="none"/>
              </w:rPr>
              <w:t xml:space="preserve"> </w:t>
            </w:r>
            <w:r>
              <w:rPr>
                <w:strike/>
                <w:dstrike w:val="0"/>
                <w:color w:val="auto"/>
                <w:spacing w:val="-16"/>
                <w:sz w:val="21"/>
                <w:szCs w:val="21"/>
                <w:highlight w:val="none"/>
              </w:rPr>
              <w:t>败。</w:t>
            </w:r>
          </w:p>
          <w:p w14:paraId="72073A3E">
            <w:pPr>
              <w:pStyle w:val="17"/>
              <w:keepNext w:val="0"/>
              <w:keepLines w:val="0"/>
              <w:pageBreakBefore/>
              <w:widowControl w:val="0"/>
              <w:kinsoku w:val="0"/>
              <w:wordWrap/>
              <w:overflowPunct w:val="0"/>
              <w:topLinePunct w:val="0"/>
              <w:autoSpaceDE w:val="0"/>
              <w:autoSpaceDN w:val="0"/>
              <w:bidi w:val="0"/>
              <w:adjustRightInd w:val="0"/>
              <w:snapToGrid w:val="0"/>
              <w:spacing w:line="220" w:lineRule="auto"/>
              <w:ind w:left="327" w:firstLine="0"/>
              <w:textAlignment w:val="auto"/>
              <w:rPr>
                <w:strike/>
                <w:dstrike w:val="0"/>
                <w:color w:val="auto"/>
                <w:sz w:val="21"/>
                <w:szCs w:val="21"/>
                <w:highlight w:val="none"/>
              </w:rPr>
            </w:pPr>
            <w:r>
              <w:rPr>
                <w:strike/>
                <w:dstrike w:val="0"/>
                <w:color w:val="auto"/>
                <w:spacing w:val="-3"/>
                <w:sz w:val="21"/>
                <w:szCs w:val="21"/>
                <w:highlight w:val="none"/>
              </w:rPr>
              <w:t>（四）招标人解密</w:t>
            </w:r>
          </w:p>
          <w:p w14:paraId="6F64C1DA">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3" w:right="142" w:firstLine="0"/>
              <w:textAlignment w:val="auto"/>
              <w:rPr>
                <w:strike/>
                <w:dstrike w:val="0"/>
                <w:color w:val="auto"/>
                <w:sz w:val="21"/>
                <w:szCs w:val="21"/>
                <w:highlight w:val="none"/>
              </w:rPr>
            </w:pPr>
            <w:r>
              <w:rPr>
                <w:strike/>
                <w:dstrike w:val="0"/>
                <w:color w:val="auto"/>
                <w:spacing w:val="-1"/>
                <w:sz w:val="21"/>
                <w:szCs w:val="21"/>
                <w:highlight w:val="none"/>
              </w:rPr>
              <w:t>全部投标人解密完成后或投标人解密时间结束，招标人</w:t>
            </w:r>
            <w:r>
              <w:rPr>
                <w:strike/>
                <w:dstrike w:val="0"/>
                <w:color w:val="auto"/>
                <w:spacing w:val="14"/>
                <w:sz w:val="21"/>
                <w:szCs w:val="21"/>
                <w:highlight w:val="none"/>
              </w:rPr>
              <w:t xml:space="preserve"> </w:t>
            </w:r>
            <w:r>
              <w:rPr>
                <w:strike/>
                <w:dstrike w:val="0"/>
                <w:color w:val="auto"/>
                <w:spacing w:val="-2"/>
                <w:sz w:val="21"/>
                <w:szCs w:val="21"/>
                <w:highlight w:val="none"/>
              </w:rPr>
              <w:t>使用生成招标文件的</w:t>
            </w:r>
            <w:r>
              <w:rPr>
                <w:rFonts w:ascii="Times New Roman" w:hAnsi="Times New Roman" w:eastAsia="Times New Roman" w:cs="Times New Roman"/>
                <w:strike/>
                <w:dstrike w:val="0"/>
                <w:color w:val="auto"/>
                <w:spacing w:val="-2"/>
                <w:sz w:val="21"/>
                <w:szCs w:val="21"/>
                <w:highlight w:val="none"/>
              </w:rPr>
              <w:t>CA</w:t>
            </w:r>
            <w:r>
              <w:rPr>
                <w:strike/>
                <w:dstrike w:val="0"/>
                <w:color w:val="auto"/>
                <w:spacing w:val="-2"/>
                <w:sz w:val="21"/>
                <w:szCs w:val="21"/>
                <w:highlight w:val="none"/>
              </w:rPr>
              <w:t>数字证书解密投标文件。</w:t>
            </w:r>
          </w:p>
          <w:p w14:paraId="2D5F508D">
            <w:pPr>
              <w:pStyle w:val="17"/>
              <w:keepNext w:val="0"/>
              <w:keepLines w:val="0"/>
              <w:pageBreakBefore/>
              <w:widowControl w:val="0"/>
              <w:kinsoku w:val="0"/>
              <w:wordWrap/>
              <w:overflowPunct w:val="0"/>
              <w:topLinePunct w:val="0"/>
              <w:autoSpaceDE w:val="0"/>
              <w:autoSpaceDN w:val="0"/>
              <w:bidi w:val="0"/>
              <w:adjustRightInd w:val="0"/>
              <w:snapToGrid w:val="0"/>
              <w:spacing w:line="219" w:lineRule="auto"/>
              <w:ind w:left="327" w:firstLine="0"/>
              <w:textAlignment w:val="auto"/>
              <w:rPr>
                <w:strike/>
                <w:dstrike w:val="0"/>
                <w:color w:val="auto"/>
                <w:sz w:val="21"/>
                <w:szCs w:val="21"/>
                <w:highlight w:val="none"/>
              </w:rPr>
            </w:pPr>
            <w:r>
              <w:rPr>
                <w:strike/>
                <w:dstrike w:val="0"/>
                <w:color w:val="auto"/>
                <w:spacing w:val="-3"/>
                <w:sz w:val="21"/>
                <w:szCs w:val="21"/>
                <w:highlight w:val="none"/>
              </w:rPr>
              <w:t>（五）抽取系数（若有）</w:t>
            </w:r>
          </w:p>
          <w:p w14:paraId="60EE89CF">
            <w:pPr>
              <w:pStyle w:val="17"/>
              <w:keepNext w:val="0"/>
              <w:keepLines w:val="0"/>
              <w:pageBreakBefore/>
              <w:widowControl w:val="0"/>
              <w:kinsoku w:val="0"/>
              <w:wordWrap/>
              <w:overflowPunct w:val="0"/>
              <w:topLinePunct w:val="0"/>
              <w:autoSpaceDE w:val="0"/>
              <w:autoSpaceDN w:val="0"/>
              <w:bidi w:val="0"/>
              <w:adjustRightInd w:val="0"/>
              <w:snapToGrid w:val="0"/>
              <w:spacing w:line="219" w:lineRule="auto"/>
              <w:ind w:left="327" w:firstLine="0"/>
              <w:textAlignment w:val="auto"/>
              <w:rPr>
                <w:strike/>
                <w:dstrike w:val="0"/>
                <w:color w:val="auto"/>
                <w:sz w:val="21"/>
                <w:szCs w:val="21"/>
                <w:highlight w:val="none"/>
              </w:rPr>
            </w:pPr>
            <w:r>
              <w:rPr>
                <w:strike/>
                <w:dstrike w:val="0"/>
                <w:color w:val="auto"/>
                <w:spacing w:val="-3"/>
                <w:sz w:val="21"/>
                <w:szCs w:val="21"/>
                <w:highlight w:val="none"/>
              </w:rPr>
              <w:t>（六）公布开标结果</w:t>
            </w:r>
          </w:p>
          <w:p w14:paraId="2D6D09E4">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3" w:right="351" w:firstLine="0"/>
              <w:textAlignment w:val="auto"/>
              <w:rPr>
                <w:strike/>
                <w:dstrike w:val="0"/>
                <w:color w:val="auto"/>
                <w:sz w:val="21"/>
                <w:szCs w:val="21"/>
                <w:highlight w:val="none"/>
              </w:rPr>
            </w:pPr>
            <w:r>
              <w:rPr>
                <w:strike/>
                <w:dstrike w:val="0"/>
                <w:color w:val="auto"/>
                <w:spacing w:val="-1"/>
                <w:sz w:val="21"/>
                <w:szCs w:val="21"/>
                <w:highlight w:val="none"/>
              </w:rPr>
              <w:t>招标解密完成后，开标系统公布投标单位、项目负责</w:t>
            </w:r>
            <w:r>
              <w:rPr>
                <w:strike/>
                <w:dstrike w:val="0"/>
                <w:color w:val="auto"/>
                <w:spacing w:val="12"/>
                <w:sz w:val="21"/>
                <w:szCs w:val="21"/>
                <w:highlight w:val="none"/>
              </w:rPr>
              <w:t xml:space="preserve"> </w:t>
            </w:r>
            <w:r>
              <w:rPr>
                <w:strike/>
                <w:dstrike w:val="0"/>
                <w:color w:val="auto"/>
                <w:spacing w:val="-3"/>
                <w:sz w:val="21"/>
                <w:szCs w:val="21"/>
                <w:highlight w:val="none"/>
              </w:rPr>
              <w:t>人、投标报价、工期、质量目标等内容。</w:t>
            </w:r>
          </w:p>
          <w:p w14:paraId="1E7C759F">
            <w:pPr>
              <w:pStyle w:val="17"/>
              <w:keepNext w:val="0"/>
              <w:keepLines w:val="0"/>
              <w:pageBreakBefore/>
              <w:widowControl w:val="0"/>
              <w:kinsoku w:val="0"/>
              <w:wordWrap/>
              <w:overflowPunct w:val="0"/>
              <w:topLinePunct w:val="0"/>
              <w:autoSpaceDE w:val="0"/>
              <w:autoSpaceDN w:val="0"/>
              <w:bidi w:val="0"/>
              <w:adjustRightInd w:val="0"/>
              <w:snapToGrid w:val="0"/>
              <w:spacing w:line="220" w:lineRule="auto"/>
              <w:ind w:left="327" w:firstLine="0"/>
              <w:textAlignment w:val="auto"/>
              <w:rPr>
                <w:strike/>
                <w:dstrike w:val="0"/>
                <w:color w:val="auto"/>
                <w:sz w:val="21"/>
                <w:szCs w:val="21"/>
                <w:highlight w:val="none"/>
              </w:rPr>
            </w:pPr>
            <w:r>
              <w:rPr>
                <w:strike/>
                <w:dstrike w:val="0"/>
                <w:color w:val="auto"/>
                <w:spacing w:val="-3"/>
                <w:sz w:val="21"/>
                <w:szCs w:val="21"/>
                <w:highlight w:val="none"/>
              </w:rPr>
              <w:t>（七）投标人确认</w:t>
            </w:r>
          </w:p>
          <w:p w14:paraId="1C5B31CD">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2" w:right="174" w:firstLine="0"/>
              <w:textAlignment w:val="auto"/>
              <w:rPr>
                <w:strike/>
                <w:dstrike w:val="0"/>
                <w:color w:val="auto"/>
                <w:sz w:val="21"/>
                <w:szCs w:val="21"/>
                <w:highlight w:val="none"/>
              </w:rPr>
            </w:pPr>
            <w:r>
              <w:rPr>
                <w:strike/>
                <w:dstrike w:val="0"/>
                <w:color w:val="auto"/>
                <w:spacing w:val="-13"/>
                <w:sz w:val="21"/>
                <w:szCs w:val="21"/>
                <w:highlight w:val="none"/>
              </w:rPr>
              <w:t xml:space="preserve">开标结果公布后，投标人应在 </w:t>
            </w:r>
            <w:r>
              <w:rPr>
                <w:rFonts w:ascii="Times New Roman" w:hAnsi="Times New Roman" w:eastAsia="Times New Roman" w:cs="Times New Roman"/>
                <w:strike/>
                <w:dstrike w:val="0"/>
                <w:color w:val="auto"/>
                <w:spacing w:val="-13"/>
                <w:sz w:val="21"/>
                <w:szCs w:val="21"/>
                <w:highlight w:val="none"/>
              </w:rPr>
              <w:t>5</w:t>
            </w:r>
            <w:r>
              <w:rPr>
                <w:rFonts w:ascii="Times New Roman" w:hAnsi="Times New Roman" w:eastAsia="Times New Roman" w:cs="Times New Roman"/>
                <w:strike/>
                <w:dstrike w:val="0"/>
                <w:color w:val="auto"/>
                <w:spacing w:val="45"/>
                <w:w w:val="101"/>
                <w:sz w:val="21"/>
                <w:szCs w:val="21"/>
                <w:highlight w:val="none"/>
              </w:rPr>
              <w:t xml:space="preserve"> </w:t>
            </w:r>
            <w:r>
              <w:rPr>
                <w:strike/>
                <w:dstrike w:val="0"/>
                <w:color w:val="auto"/>
                <w:spacing w:val="-13"/>
                <w:sz w:val="21"/>
                <w:szCs w:val="21"/>
                <w:highlight w:val="none"/>
              </w:rPr>
              <w:t>分钟内对开标结果</w:t>
            </w:r>
            <w:r>
              <w:rPr>
                <w:strike/>
                <w:dstrike w:val="0"/>
                <w:color w:val="auto"/>
                <w:spacing w:val="-14"/>
                <w:sz w:val="21"/>
                <w:szCs w:val="21"/>
                <w:highlight w:val="none"/>
              </w:rPr>
              <w:t>进行确</w:t>
            </w:r>
            <w:r>
              <w:rPr>
                <w:strike/>
                <w:dstrike w:val="0"/>
                <w:color w:val="auto"/>
                <w:sz w:val="21"/>
                <w:szCs w:val="21"/>
                <w:highlight w:val="none"/>
              </w:rPr>
              <w:t xml:space="preserve"> </w:t>
            </w:r>
            <w:r>
              <w:rPr>
                <w:strike/>
                <w:dstrike w:val="0"/>
                <w:color w:val="auto"/>
                <w:spacing w:val="-2"/>
                <w:sz w:val="21"/>
                <w:szCs w:val="21"/>
                <w:highlight w:val="none"/>
              </w:rPr>
              <w:t>认，未在规定时间内完成在线确认的视为自动确认。</w:t>
            </w:r>
          </w:p>
          <w:p w14:paraId="2E3F5ABC">
            <w:pPr>
              <w:pStyle w:val="17"/>
              <w:keepNext w:val="0"/>
              <w:keepLines w:val="0"/>
              <w:pageBreakBefore/>
              <w:widowControl w:val="0"/>
              <w:kinsoku w:val="0"/>
              <w:wordWrap/>
              <w:overflowPunct w:val="0"/>
              <w:topLinePunct w:val="0"/>
              <w:autoSpaceDE w:val="0"/>
              <w:autoSpaceDN w:val="0"/>
              <w:bidi w:val="0"/>
              <w:adjustRightInd w:val="0"/>
              <w:snapToGrid w:val="0"/>
              <w:spacing w:line="219" w:lineRule="auto"/>
              <w:ind w:left="327" w:firstLine="0"/>
              <w:textAlignment w:val="auto"/>
              <w:rPr>
                <w:strike/>
                <w:dstrike w:val="0"/>
                <w:color w:val="auto"/>
                <w:sz w:val="21"/>
                <w:szCs w:val="21"/>
                <w:highlight w:val="none"/>
              </w:rPr>
            </w:pPr>
            <w:r>
              <w:rPr>
                <w:strike/>
                <w:dstrike w:val="0"/>
                <w:color w:val="auto"/>
                <w:spacing w:val="-3"/>
                <w:sz w:val="21"/>
                <w:szCs w:val="21"/>
                <w:highlight w:val="none"/>
              </w:rPr>
              <w:t>（八）异议及回复</w:t>
            </w:r>
          </w:p>
          <w:p w14:paraId="3C0245A9">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3" w:right="86" w:firstLine="0"/>
              <w:textAlignment w:val="auto"/>
              <w:rPr>
                <w:strike/>
                <w:dstrike w:val="0"/>
                <w:color w:val="auto"/>
                <w:sz w:val="21"/>
                <w:szCs w:val="21"/>
                <w:highlight w:val="none"/>
              </w:rPr>
            </w:pPr>
            <w:r>
              <w:rPr>
                <w:strike/>
                <w:dstrike w:val="0"/>
                <w:color w:val="auto"/>
                <w:spacing w:val="-10"/>
                <w:sz w:val="21"/>
                <w:szCs w:val="21"/>
                <w:highlight w:val="none"/>
              </w:rPr>
              <w:t xml:space="preserve">投标人对开标有异议的，应在开标结果公布后 </w:t>
            </w:r>
            <w:r>
              <w:rPr>
                <w:rFonts w:ascii="Times New Roman" w:hAnsi="Times New Roman" w:eastAsia="Times New Roman" w:cs="Times New Roman"/>
                <w:strike/>
                <w:dstrike w:val="0"/>
                <w:color w:val="auto"/>
                <w:spacing w:val="-10"/>
                <w:sz w:val="21"/>
                <w:szCs w:val="21"/>
                <w:highlight w:val="none"/>
              </w:rPr>
              <w:t>5</w:t>
            </w:r>
            <w:r>
              <w:rPr>
                <w:rFonts w:ascii="Times New Roman" w:hAnsi="Times New Roman" w:eastAsia="Times New Roman" w:cs="Times New Roman"/>
                <w:strike/>
                <w:dstrike w:val="0"/>
                <w:color w:val="auto"/>
                <w:spacing w:val="46"/>
                <w:w w:val="101"/>
                <w:sz w:val="21"/>
                <w:szCs w:val="21"/>
                <w:highlight w:val="none"/>
              </w:rPr>
              <w:t xml:space="preserve"> </w:t>
            </w:r>
            <w:r>
              <w:rPr>
                <w:strike/>
                <w:dstrike w:val="0"/>
                <w:color w:val="auto"/>
                <w:spacing w:val="-10"/>
                <w:sz w:val="21"/>
                <w:szCs w:val="21"/>
                <w:highlight w:val="none"/>
              </w:rPr>
              <w:t>分钟内通</w:t>
            </w:r>
            <w:r>
              <w:rPr>
                <w:strike/>
                <w:dstrike w:val="0"/>
                <w:color w:val="auto"/>
                <w:sz w:val="21"/>
                <w:szCs w:val="21"/>
                <w:highlight w:val="none"/>
              </w:rPr>
              <w:t xml:space="preserve"> </w:t>
            </w:r>
            <w:r>
              <w:rPr>
                <w:strike/>
                <w:dstrike w:val="0"/>
                <w:color w:val="auto"/>
                <w:spacing w:val="-3"/>
                <w:sz w:val="21"/>
                <w:szCs w:val="21"/>
                <w:highlight w:val="none"/>
              </w:rPr>
              <w:t>过不见面开标大厅的</w:t>
            </w:r>
            <w:r>
              <w:rPr>
                <w:rFonts w:ascii="Times New Roman" w:hAnsi="Times New Roman" w:eastAsia="Times New Roman" w:cs="Times New Roman"/>
                <w:strike/>
                <w:dstrike w:val="0"/>
                <w:color w:val="auto"/>
                <w:spacing w:val="-3"/>
                <w:sz w:val="21"/>
                <w:szCs w:val="21"/>
                <w:highlight w:val="none"/>
              </w:rPr>
              <w:t>“</w:t>
            </w:r>
            <w:r>
              <w:rPr>
                <w:strike/>
                <w:dstrike w:val="0"/>
                <w:color w:val="auto"/>
                <w:spacing w:val="-3"/>
                <w:sz w:val="21"/>
                <w:szCs w:val="21"/>
                <w:highlight w:val="none"/>
              </w:rPr>
              <w:t>我有异议</w:t>
            </w:r>
            <w:r>
              <w:rPr>
                <w:rFonts w:ascii="Times New Roman" w:hAnsi="Times New Roman" w:eastAsia="Times New Roman" w:cs="Times New Roman"/>
                <w:strike/>
                <w:dstrike w:val="0"/>
                <w:color w:val="auto"/>
                <w:spacing w:val="-3"/>
                <w:sz w:val="21"/>
                <w:szCs w:val="21"/>
                <w:highlight w:val="none"/>
              </w:rPr>
              <w:t>”</w:t>
            </w:r>
            <w:r>
              <w:rPr>
                <w:strike/>
                <w:dstrike w:val="0"/>
                <w:color w:val="auto"/>
                <w:spacing w:val="-3"/>
                <w:sz w:val="21"/>
                <w:szCs w:val="21"/>
                <w:highlight w:val="none"/>
              </w:rPr>
              <w:t>按钮进行异议，招标人通</w:t>
            </w:r>
            <w:r>
              <w:rPr>
                <w:strike/>
                <w:dstrike w:val="0"/>
                <w:color w:val="auto"/>
                <w:spacing w:val="9"/>
                <w:sz w:val="21"/>
                <w:szCs w:val="21"/>
                <w:highlight w:val="none"/>
              </w:rPr>
              <w:t xml:space="preserve">  </w:t>
            </w:r>
            <w:r>
              <w:rPr>
                <w:strike/>
                <w:dstrike w:val="0"/>
                <w:color w:val="auto"/>
                <w:spacing w:val="-3"/>
                <w:sz w:val="21"/>
                <w:szCs w:val="21"/>
                <w:highlight w:val="none"/>
              </w:rPr>
              <w:t>过不见面开标大厅在线文字答复。</w:t>
            </w:r>
          </w:p>
          <w:p w14:paraId="2C13F7EC">
            <w:pPr>
              <w:pStyle w:val="17"/>
              <w:keepNext w:val="0"/>
              <w:keepLines w:val="0"/>
              <w:pageBreakBefore/>
              <w:widowControl w:val="0"/>
              <w:kinsoku w:val="0"/>
              <w:wordWrap/>
              <w:overflowPunct w:val="0"/>
              <w:topLinePunct w:val="0"/>
              <w:autoSpaceDE w:val="0"/>
              <w:autoSpaceDN w:val="0"/>
              <w:bidi w:val="0"/>
              <w:adjustRightInd w:val="0"/>
              <w:snapToGrid w:val="0"/>
              <w:spacing w:line="219" w:lineRule="auto"/>
              <w:ind w:left="327" w:firstLine="0"/>
              <w:textAlignment w:val="auto"/>
              <w:rPr>
                <w:strike/>
                <w:dstrike w:val="0"/>
                <w:color w:val="auto"/>
                <w:sz w:val="21"/>
                <w:szCs w:val="21"/>
                <w:highlight w:val="none"/>
              </w:rPr>
            </w:pPr>
            <w:r>
              <w:rPr>
                <w:strike/>
                <w:dstrike w:val="0"/>
                <w:color w:val="auto"/>
                <w:spacing w:val="-4"/>
                <w:sz w:val="21"/>
                <w:szCs w:val="21"/>
                <w:highlight w:val="none"/>
              </w:rPr>
              <w:t>（九）开标结束</w:t>
            </w:r>
          </w:p>
          <w:p w14:paraId="5A158E42">
            <w:pPr>
              <w:pStyle w:val="17"/>
              <w:keepNext w:val="0"/>
              <w:keepLines w:val="0"/>
              <w:pageBreakBefore/>
              <w:widowControl w:val="0"/>
              <w:kinsoku w:val="0"/>
              <w:wordWrap/>
              <w:overflowPunct w:val="0"/>
              <w:topLinePunct w:val="0"/>
              <w:autoSpaceDE w:val="0"/>
              <w:autoSpaceDN w:val="0"/>
              <w:bidi w:val="0"/>
              <w:adjustRightInd w:val="0"/>
              <w:snapToGrid w:val="0"/>
              <w:spacing w:line="219" w:lineRule="auto"/>
              <w:ind w:left="323" w:firstLine="0"/>
              <w:textAlignment w:val="auto"/>
              <w:rPr>
                <w:strike/>
                <w:dstrike w:val="0"/>
                <w:color w:val="auto"/>
                <w:sz w:val="21"/>
                <w:szCs w:val="21"/>
                <w:highlight w:val="none"/>
              </w:rPr>
            </w:pPr>
            <w:r>
              <w:rPr>
                <w:strike/>
                <w:dstrike w:val="0"/>
                <w:color w:val="auto"/>
                <w:spacing w:val="-4"/>
                <w:sz w:val="21"/>
                <w:szCs w:val="21"/>
                <w:highlight w:val="none"/>
              </w:rPr>
              <w:t>招标人宣布本次开标结束。</w:t>
            </w:r>
          </w:p>
          <w:p w14:paraId="30E25222">
            <w:pPr>
              <w:pStyle w:val="17"/>
              <w:keepNext w:val="0"/>
              <w:keepLines w:val="0"/>
              <w:pageBreakBefore/>
              <w:widowControl w:val="0"/>
              <w:kinsoku w:val="0"/>
              <w:wordWrap/>
              <w:overflowPunct w:val="0"/>
              <w:topLinePunct w:val="0"/>
              <w:autoSpaceDE w:val="0"/>
              <w:autoSpaceDN w:val="0"/>
              <w:bidi w:val="0"/>
              <w:adjustRightInd w:val="0"/>
              <w:snapToGrid w:val="0"/>
              <w:spacing w:line="220" w:lineRule="auto"/>
              <w:ind w:left="318" w:firstLine="0"/>
              <w:textAlignment w:val="auto"/>
              <w:rPr>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2</w:t>
            </w:r>
            <w:r>
              <w:rPr>
                <w:rFonts w:ascii="Times New Roman" w:hAnsi="Times New Roman" w:eastAsia="Times New Roman" w:cs="Times New Roman"/>
                <w:strike/>
                <w:dstrike w:val="0"/>
                <w:color w:val="auto"/>
                <w:spacing w:val="-20"/>
                <w:sz w:val="21"/>
                <w:szCs w:val="21"/>
                <w:highlight w:val="none"/>
              </w:rPr>
              <w:t xml:space="preserve"> </w:t>
            </w:r>
            <w:r>
              <w:rPr>
                <w:strike/>
                <w:dstrike w:val="0"/>
                <w:color w:val="auto"/>
                <w:spacing w:val="-3"/>
                <w:sz w:val="21"/>
                <w:szCs w:val="21"/>
                <w:highlight w:val="none"/>
              </w:rPr>
              <w:t>．不见面开标软硬件要求：</w:t>
            </w:r>
            <w:r>
              <w:rPr>
                <w:strike/>
                <w:dstrike w:val="0"/>
                <w:color w:val="auto"/>
                <w:sz w:val="21"/>
                <w:szCs w:val="21"/>
                <w:highlight w:val="none"/>
                <w:u w:val="single" w:color="auto"/>
              </w:rPr>
              <w:t xml:space="preserve">              </w:t>
            </w:r>
          </w:p>
          <w:p w14:paraId="6A91FEA7">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3" w:right="86" w:firstLine="0"/>
              <w:textAlignment w:val="auto"/>
              <w:rPr>
                <w:b/>
                <w:bCs/>
                <w:color w:val="auto"/>
                <w:spacing w:val="-3"/>
                <w:sz w:val="21"/>
                <w:szCs w:val="21"/>
                <w:highlight w:val="none"/>
                <w:lang w:eastAsia="zh-CN"/>
              </w:rPr>
            </w:pPr>
            <w:r>
              <w:rPr>
                <w:b/>
                <w:bCs/>
                <w:color w:val="auto"/>
                <w:spacing w:val="-3"/>
                <w:sz w:val="21"/>
                <w:szCs w:val="21"/>
                <w:highlight w:val="none"/>
                <w:lang w:eastAsia="zh-CN"/>
              </w:rPr>
              <w:t>本项目采用投标人现场递交投标文件。</w:t>
            </w:r>
          </w:p>
          <w:p w14:paraId="37D450F6">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3" w:right="86" w:firstLine="0"/>
              <w:textAlignment w:val="auto"/>
              <w:rPr>
                <w:b/>
                <w:bCs/>
                <w:color w:val="auto"/>
                <w:spacing w:val="-3"/>
                <w:sz w:val="21"/>
                <w:szCs w:val="21"/>
                <w:highlight w:val="none"/>
                <w:lang w:eastAsia="zh-CN"/>
              </w:rPr>
            </w:pPr>
            <w:r>
              <w:rPr>
                <w:b/>
                <w:bCs/>
                <w:color w:val="auto"/>
                <w:spacing w:val="-3"/>
                <w:sz w:val="21"/>
                <w:szCs w:val="21"/>
                <w:highlight w:val="none"/>
                <w:lang w:eastAsia="zh-CN"/>
              </w:rPr>
              <w:t>将密封的投标文件在开标当日09:00时至09:30时递交至绍兴市公共资源交易中心越城区分中心三楼指定开标室（延安东路660号）。</w:t>
            </w:r>
          </w:p>
          <w:p w14:paraId="4ADE62B4">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3" w:right="86" w:firstLine="0"/>
              <w:textAlignment w:val="auto"/>
              <w:rPr>
                <w:b/>
                <w:bCs/>
                <w:color w:val="auto"/>
                <w:spacing w:val="-3"/>
                <w:sz w:val="21"/>
                <w:szCs w:val="21"/>
                <w:highlight w:val="none"/>
                <w:lang w:eastAsia="zh-CN"/>
              </w:rPr>
            </w:pPr>
            <w:r>
              <w:rPr>
                <w:b/>
                <w:bCs/>
                <w:color w:val="auto"/>
                <w:spacing w:val="-3"/>
                <w:sz w:val="21"/>
                <w:szCs w:val="21"/>
                <w:highlight w:val="none"/>
                <w:lang w:eastAsia="zh-CN"/>
              </w:rPr>
              <w:t>投标人在开标现场不需要书面签字确认等有关操作。</w:t>
            </w:r>
          </w:p>
          <w:p w14:paraId="7748F235">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3" w:right="86" w:firstLine="0"/>
              <w:textAlignment w:val="auto"/>
              <w:rPr>
                <w:color w:val="auto"/>
                <w:sz w:val="22"/>
                <w:szCs w:val="22"/>
                <w:highlight w:val="none"/>
              </w:rPr>
            </w:pPr>
            <w:r>
              <w:rPr>
                <w:b/>
                <w:bCs/>
                <w:color w:val="auto"/>
                <w:spacing w:val="-3"/>
                <w:sz w:val="21"/>
                <w:szCs w:val="21"/>
                <w:highlight w:val="none"/>
                <w:lang w:eastAsia="zh-CN"/>
              </w:rPr>
              <w:t>投标人的法定代表人或授权委托人、项目负责人等均可不参加开标会议。若投标人法定代表人或授权委托人不在现场参加开标会议的，投标人需向招标代理机构人员告知联系方式，以备询标等事宜。</w:t>
            </w:r>
          </w:p>
        </w:tc>
      </w:tr>
    </w:tbl>
    <w:p w14:paraId="208B3FAB">
      <w:pPr>
        <w:spacing w:line="89" w:lineRule="auto"/>
        <w:rPr>
          <w:rFonts w:ascii="Arial"/>
          <w:color w:val="auto"/>
          <w:sz w:val="2"/>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313"/>
        <w:gridCol w:w="5637"/>
      </w:tblGrid>
      <w:tr w14:paraId="46F1E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1" w:hRule="atLeast"/>
        </w:trPr>
        <w:tc>
          <w:tcPr>
            <w:tcW w:w="952" w:type="dxa"/>
            <w:tcBorders>
              <w:left w:val="single" w:color="000000" w:sz="6" w:space="0"/>
            </w:tcBorders>
            <w:vAlign w:val="top"/>
          </w:tcPr>
          <w:p w14:paraId="20FBEFCD">
            <w:pPr>
              <w:spacing w:line="243" w:lineRule="auto"/>
              <w:rPr>
                <w:rFonts w:ascii="Arial"/>
                <w:color w:val="auto"/>
                <w:sz w:val="21"/>
                <w:highlight w:val="none"/>
              </w:rPr>
            </w:pPr>
          </w:p>
          <w:p w14:paraId="3414631B">
            <w:pPr>
              <w:spacing w:line="243" w:lineRule="auto"/>
              <w:rPr>
                <w:rFonts w:ascii="Arial"/>
                <w:color w:val="auto"/>
                <w:sz w:val="21"/>
                <w:highlight w:val="none"/>
              </w:rPr>
            </w:pPr>
          </w:p>
          <w:p w14:paraId="4BDEEC2A">
            <w:pPr>
              <w:spacing w:line="243" w:lineRule="auto"/>
              <w:rPr>
                <w:rFonts w:ascii="Arial"/>
                <w:color w:val="auto"/>
                <w:sz w:val="21"/>
                <w:highlight w:val="none"/>
              </w:rPr>
            </w:pPr>
          </w:p>
          <w:p w14:paraId="6A2AFEDD">
            <w:pPr>
              <w:spacing w:line="243" w:lineRule="auto"/>
              <w:rPr>
                <w:rFonts w:ascii="Arial"/>
                <w:color w:val="auto"/>
                <w:sz w:val="21"/>
                <w:highlight w:val="none"/>
              </w:rPr>
            </w:pPr>
          </w:p>
          <w:p w14:paraId="5D50287B">
            <w:pPr>
              <w:spacing w:line="244" w:lineRule="auto"/>
              <w:rPr>
                <w:rFonts w:ascii="Arial"/>
                <w:color w:val="auto"/>
                <w:sz w:val="21"/>
                <w:highlight w:val="none"/>
              </w:rPr>
            </w:pPr>
          </w:p>
          <w:p w14:paraId="6F2DFC2A">
            <w:pPr>
              <w:spacing w:line="244" w:lineRule="auto"/>
              <w:rPr>
                <w:rFonts w:ascii="Arial"/>
                <w:color w:val="auto"/>
                <w:sz w:val="21"/>
                <w:highlight w:val="none"/>
              </w:rPr>
            </w:pPr>
          </w:p>
          <w:p w14:paraId="57732C16">
            <w:pPr>
              <w:spacing w:line="244" w:lineRule="auto"/>
              <w:rPr>
                <w:rFonts w:ascii="Arial"/>
                <w:color w:val="auto"/>
                <w:sz w:val="21"/>
                <w:highlight w:val="none"/>
              </w:rPr>
            </w:pPr>
          </w:p>
          <w:p w14:paraId="3F409967">
            <w:pPr>
              <w:spacing w:line="244" w:lineRule="auto"/>
              <w:rPr>
                <w:rFonts w:ascii="Arial"/>
                <w:color w:val="auto"/>
                <w:sz w:val="21"/>
                <w:highlight w:val="none"/>
              </w:rPr>
            </w:pPr>
          </w:p>
          <w:p w14:paraId="190C321F">
            <w:pPr>
              <w:spacing w:line="244" w:lineRule="auto"/>
              <w:rPr>
                <w:rFonts w:ascii="Arial"/>
                <w:color w:val="auto"/>
                <w:sz w:val="21"/>
                <w:highlight w:val="none"/>
              </w:rPr>
            </w:pPr>
          </w:p>
          <w:p w14:paraId="386FA801">
            <w:pPr>
              <w:spacing w:line="244" w:lineRule="auto"/>
              <w:rPr>
                <w:rFonts w:ascii="Arial"/>
                <w:color w:val="auto"/>
                <w:sz w:val="21"/>
                <w:highlight w:val="none"/>
              </w:rPr>
            </w:pPr>
          </w:p>
          <w:p w14:paraId="47A08A98">
            <w:pPr>
              <w:spacing w:line="244" w:lineRule="auto"/>
              <w:rPr>
                <w:rFonts w:ascii="Arial"/>
                <w:color w:val="auto"/>
                <w:sz w:val="21"/>
                <w:highlight w:val="none"/>
              </w:rPr>
            </w:pPr>
          </w:p>
          <w:p w14:paraId="5CEA5B27">
            <w:pPr>
              <w:spacing w:line="244" w:lineRule="auto"/>
              <w:rPr>
                <w:rFonts w:ascii="Arial"/>
                <w:color w:val="auto"/>
                <w:sz w:val="21"/>
                <w:highlight w:val="none"/>
              </w:rPr>
            </w:pPr>
          </w:p>
          <w:p w14:paraId="23CDBED2">
            <w:pPr>
              <w:spacing w:line="244" w:lineRule="auto"/>
              <w:rPr>
                <w:rFonts w:ascii="Arial"/>
                <w:color w:val="auto"/>
                <w:sz w:val="21"/>
                <w:highlight w:val="none"/>
              </w:rPr>
            </w:pPr>
          </w:p>
          <w:p w14:paraId="1302E6B8">
            <w:pPr>
              <w:spacing w:before="61" w:line="188" w:lineRule="auto"/>
              <w:ind w:left="342"/>
              <w:rPr>
                <w:rFonts w:ascii="Times New Roman" w:hAnsi="Times New Roman" w:eastAsia="Times New Roman" w:cs="Times New Roman"/>
                <w:color w:val="auto"/>
                <w:sz w:val="21"/>
                <w:szCs w:val="21"/>
                <w:highlight w:val="none"/>
              </w:rPr>
            </w:pPr>
            <w:r>
              <w:rPr>
                <w:rFonts w:ascii="Times New Roman" w:hAnsi="Times New Roman" w:eastAsia="Times New Roman" w:cs="Times New Roman"/>
                <w:b/>
                <w:bCs/>
                <w:color w:val="auto"/>
                <w:spacing w:val="-2"/>
                <w:sz w:val="21"/>
                <w:szCs w:val="21"/>
                <w:highlight w:val="none"/>
              </w:rPr>
              <w:t>5.3</w:t>
            </w:r>
          </w:p>
        </w:tc>
        <w:tc>
          <w:tcPr>
            <w:tcW w:w="2313" w:type="dxa"/>
            <w:vAlign w:val="top"/>
          </w:tcPr>
          <w:p w14:paraId="523C6518">
            <w:pPr>
              <w:rPr>
                <w:rFonts w:ascii="Arial"/>
                <w:color w:val="auto"/>
                <w:sz w:val="21"/>
                <w:highlight w:val="none"/>
              </w:rPr>
            </w:pPr>
          </w:p>
          <w:p w14:paraId="25ADC470">
            <w:pPr>
              <w:rPr>
                <w:rFonts w:ascii="Arial"/>
                <w:color w:val="auto"/>
                <w:sz w:val="21"/>
                <w:highlight w:val="none"/>
              </w:rPr>
            </w:pPr>
          </w:p>
          <w:p w14:paraId="2A0FFF63">
            <w:pPr>
              <w:rPr>
                <w:rFonts w:ascii="Arial"/>
                <w:color w:val="auto"/>
                <w:sz w:val="21"/>
                <w:highlight w:val="none"/>
              </w:rPr>
            </w:pPr>
          </w:p>
          <w:p w14:paraId="40F0A471">
            <w:pPr>
              <w:rPr>
                <w:rFonts w:ascii="Arial"/>
                <w:color w:val="auto"/>
                <w:sz w:val="21"/>
                <w:highlight w:val="none"/>
              </w:rPr>
            </w:pPr>
          </w:p>
          <w:p w14:paraId="2A2649BA">
            <w:pPr>
              <w:rPr>
                <w:rFonts w:ascii="Arial"/>
                <w:color w:val="auto"/>
                <w:sz w:val="21"/>
                <w:highlight w:val="none"/>
              </w:rPr>
            </w:pPr>
          </w:p>
          <w:p w14:paraId="7FA61D6C">
            <w:pPr>
              <w:rPr>
                <w:rFonts w:ascii="Arial"/>
                <w:color w:val="auto"/>
                <w:sz w:val="21"/>
                <w:highlight w:val="none"/>
              </w:rPr>
            </w:pPr>
          </w:p>
          <w:p w14:paraId="500E312D">
            <w:pPr>
              <w:rPr>
                <w:rFonts w:ascii="Arial"/>
                <w:color w:val="auto"/>
                <w:sz w:val="21"/>
                <w:highlight w:val="none"/>
              </w:rPr>
            </w:pPr>
          </w:p>
          <w:p w14:paraId="51E95124">
            <w:pPr>
              <w:rPr>
                <w:rFonts w:ascii="Arial"/>
                <w:color w:val="auto"/>
                <w:sz w:val="21"/>
                <w:highlight w:val="none"/>
              </w:rPr>
            </w:pPr>
          </w:p>
          <w:p w14:paraId="354203C9">
            <w:pPr>
              <w:rPr>
                <w:rFonts w:ascii="Arial"/>
                <w:color w:val="auto"/>
                <w:sz w:val="21"/>
                <w:highlight w:val="none"/>
              </w:rPr>
            </w:pPr>
          </w:p>
          <w:p w14:paraId="4F0AAFEE">
            <w:pPr>
              <w:spacing w:line="241" w:lineRule="auto"/>
              <w:rPr>
                <w:rFonts w:ascii="Arial"/>
                <w:color w:val="auto"/>
                <w:sz w:val="21"/>
                <w:highlight w:val="none"/>
              </w:rPr>
            </w:pPr>
          </w:p>
          <w:p w14:paraId="0CF72871">
            <w:pPr>
              <w:spacing w:line="241" w:lineRule="auto"/>
              <w:rPr>
                <w:rFonts w:ascii="Arial"/>
                <w:color w:val="auto"/>
                <w:sz w:val="21"/>
                <w:highlight w:val="none"/>
              </w:rPr>
            </w:pPr>
          </w:p>
          <w:p w14:paraId="420994BF">
            <w:pPr>
              <w:spacing w:line="241" w:lineRule="auto"/>
              <w:rPr>
                <w:rFonts w:ascii="Arial"/>
                <w:color w:val="auto"/>
                <w:sz w:val="21"/>
                <w:highlight w:val="none"/>
              </w:rPr>
            </w:pPr>
          </w:p>
          <w:p w14:paraId="48F1EDD9">
            <w:pPr>
              <w:spacing w:line="241" w:lineRule="auto"/>
              <w:rPr>
                <w:rFonts w:ascii="Arial"/>
                <w:color w:val="auto"/>
                <w:sz w:val="21"/>
                <w:highlight w:val="none"/>
              </w:rPr>
            </w:pPr>
          </w:p>
          <w:p w14:paraId="21512DBE">
            <w:pPr>
              <w:pStyle w:val="17"/>
              <w:spacing w:before="68" w:line="220" w:lineRule="auto"/>
              <w:ind w:left="108"/>
              <w:rPr>
                <w:color w:val="auto"/>
                <w:sz w:val="21"/>
                <w:szCs w:val="21"/>
                <w:highlight w:val="none"/>
              </w:rPr>
            </w:pPr>
            <w:r>
              <w:rPr>
                <w:color w:val="auto"/>
                <w:spacing w:val="-2"/>
                <w:sz w:val="21"/>
                <w:szCs w:val="21"/>
                <w:highlight w:val="none"/>
              </w:rPr>
              <w:t>特殊情况处置</w:t>
            </w:r>
          </w:p>
        </w:tc>
        <w:tc>
          <w:tcPr>
            <w:tcW w:w="5637" w:type="dxa"/>
            <w:tcBorders>
              <w:right w:val="single" w:color="000000" w:sz="6" w:space="0"/>
            </w:tcBorders>
            <w:vAlign w:val="top"/>
          </w:tcPr>
          <w:p w14:paraId="3649C5FB">
            <w:pPr>
              <w:pStyle w:val="17"/>
              <w:spacing w:before="192" w:line="220" w:lineRule="auto"/>
              <w:ind w:left="338"/>
              <w:rPr>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1</w:t>
            </w:r>
            <w:r>
              <w:rPr>
                <w:rFonts w:ascii="Times New Roman" w:hAnsi="Times New Roman" w:eastAsia="Times New Roman" w:cs="Times New Roman"/>
                <w:b/>
                <w:bCs/>
                <w:strike/>
                <w:dstrike w:val="0"/>
                <w:color w:val="auto"/>
                <w:spacing w:val="-3"/>
                <w:sz w:val="21"/>
                <w:szCs w:val="21"/>
                <w:highlight w:val="none"/>
              </w:rPr>
              <w:t xml:space="preserve">.  </w:t>
            </w:r>
            <w:r>
              <w:rPr>
                <w:strike/>
                <w:dstrike w:val="0"/>
                <w:color w:val="auto"/>
                <w:spacing w:val="-3"/>
                <w:sz w:val="21"/>
                <w:szCs w:val="21"/>
                <w:highlight w:val="none"/>
              </w:rPr>
              <w:t>特殊情况的处置</w:t>
            </w:r>
          </w:p>
          <w:p w14:paraId="1D512E67">
            <w:pPr>
              <w:pStyle w:val="17"/>
              <w:spacing w:before="72" w:line="281" w:lineRule="auto"/>
              <w:ind w:left="112" w:right="117" w:firstLine="215"/>
              <w:rPr>
                <w:strike/>
                <w:dstrike w:val="0"/>
                <w:color w:val="auto"/>
                <w:sz w:val="21"/>
                <w:szCs w:val="21"/>
                <w:highlight w:val="none"/>
              </w:rPr>
            </w:pPr>
            <w:r>
              <w:rPr>
                <w:strike/>
                <w:dstrike w:val="0"/>
                <w:color w:val="auto"/>
                <w:spacing w:val="-1"/>
                <w:sz w:val="21"/>
                <w:szCs w:val="21"/>
                <w:highlight w:val="none"/>
              </w:rPr>
              <w:t>（一）如遇网络故障、网络安全问题等意外情况，</w:t>
            </w:r>
            <w:r>
              <w:rPr>
                <w:strike/>
                <w:dstrike w:val="0"/>
                <w:color w:val="auto"/>
                <w:spacing w:val="-2"/>
                <w:sz w:val="21"/>
                <w:szCs w:val="21"/>
                <w:highlight w:val="none"/>
              </w:rPr>
              <w:t>所有</w:t>
            </w:r>
            <w:r>
              <w:rPr>
                <w:strike/>
                <w:dstrike w:val="0"/>
                <w:color w:val="auto"/>
                <w:sz w:val="21"/>
                <w:szCs w:val="21"/>
                <w:highlight w:val="none"/>
              </w:rPr>
              <w:t xml:space="preserve"> </w:t>
            </w:r>
            <w:r>
              <w:rPr>
                <w:strike/>
                <w:dstrike w:val="0"/>
                <w:color w:val="auto"/>
                <w:spacing w:val="-17"/>
                <w:sz w:val="21"/>
                <w:szCs w:val="21"/>
                <w:highlight w:val="none"/>
              </w:rPr>
              <w:t>投标人均无法解密，或因招标人</w:t>
            </w:r>
            <w:r>
              <w:rPr>
                <w:strike/>
                <w:dstrike w:val="0"/>
                <w:color w:val="auto"/>
                <w:spacing w:val="-18"/>
                <w:sz w:val="21"/>
                <w:szCs w:val="21"/>
                <w:highlight w:val="none"/>
              </w:rPr>
              <w:t xml:space="preserve"> </w:t>
            </w:r>
            <w:r>
              <w:rPr>
                <w:rFonts w:ascii="Times New Roman" w:hAnsi="Times New Roman" w:eastAsia="Times New Roman" w:cs="Times New Roman"/>
                <w:strike/>
                <w:dstrike w:val="0"/>
                <w:color w:val="auto"/>
                <w:spacing w:val="-17"/>
                <w:sz w:val="21"/>
                <w:szCs w:val="21"/>
                <w:highlight w:val="none"/>
              </w:rPr>
              <w:t>CA</w:t>
            </w:r>
            <w:r>
              <w:rPr>
                <w:rFonts w:ascii="Times New Roman" w:hAnsi="Times New Roman" w:eastAsia="Times New Roman" w:cs="Times New Roman"/>
                <w:strike/>
                <w:dstrike w:val="0"/>
                <w:color w:val="auto"/>
                <w:spacing w:val="42"/>
                <w:w w:val="101"/>
                <w:sz w:val="21"/>
                <w:szCs w:val="21"/>
                <w:highlight w:val="none"/>
              </w:rPr>
              <w:t xml:space="preserve"> </w:t>
            </w:r>
            <w:r>
              <w:rPr>
                <w:strike/>
                <w:dstrike w:val="0"/>
                <w:color w:val="auto"/>
                <w:spacing w:val="-17"/>
                <w:sz w:val="21"/>
                <w:szCs w:val="21"/>
                <w:highlight w:val="none"/>
              </w:rPr>
              <w:t>锁原因导致招标人解密环</w:t>
            </w:r>
            <w:r>
              <w:rPr>
                <w:strike/>
                <w:dstrike w:val="0"/>
                <w:color w:val="auto"/>
                <w:sz w:val="21"/>
                <w:szCs w:val="21"/>
                <w:highlight w:val="none"/>
              </w:rPr>
              <w:t xml:space="preserve"> </w:t>
            </w:r>
            <w:r>
              <w:rPr>
                <w:strike/>
                <w:dstrike w:val="0"/>
                <w:color w:val="auto"/>
                <w:spacing w:val="-2"/>
                <w:sz w:val="21"/>
                <w:szCs w:val="21"/>
                <w:highlight w:val="none"/>
              </w:rPr>
              <w:t>节出现问题，招标人应向监管部门申请并征得同意后可延</w:t>
            </w:r>
            <w:r>
              <w:rPr>
                <w:strike/>
                <w:dstrike w:val="0"/>
                <w:color w:val="auto"/>
                <w:spacing w:val="4"/>
                <w:sz w:val="21"/>
                <w:szCs w:val="21"/>
                <w:highlight w:val="none"/>
              </w:rPr>
              <w:t xml:space="preserve"> </w:t>
            </w:r>
            <w:r>
              <w:rPr>
                <w:strike/>
                <w:dstrike w:val="0"/>
                <w:color w:val="auto"/>
                <w:spacing w:val="-2"/>
                <w:sz w:val="21"/>
                <w:szCs w:val="21"/>
                <w:highlight w:val="none"/>
              </w:rPr>
              <w:t>长开标时间或推迟时间重新开标，具体安排另行通知。</w:t>
            </w:r>
          </w:p>
          <w:p w14:paraId="74B21871">
            <w:pPr>
              <w:pStyle w:val="17"/>
              <w:spacing w:line="281" w:lineRule="auto"/>
              <w:ind w:left="113" w:right="142" w:firstLine="214"/>
              <w:rPr>
                <w:strike/>
                <w:dstrike w:val="0"/>
                <w:color w:val="auto"/>
                <w:sz w:val="21"/>
                <w:szCs w:val="21"/>
                <w:highlight w:val="none"/>
              </w:rPr>
            </w:pPr>
            <w:r>
              <w:rPr>
                <w:strike/>
                <w:dstrike w:val="0"/>
                <w:color w:val="auto"/>
                <w:spacing w:val="-1"/>
                <w:sz w:val="21"/>
                <w:szCs w:val="21"/>
                <w:highlight w:val="none"/>
              </w:rPr>
              <w:t>（二）因电子交易系统故障、投标人数量过多等非投标</w:t>
            </w:r>
            <w:r>
              <w:rPr>
                <w:strike/>
                <w:dstrike w:val="0"/>
                <w:color w:val="auto"/>
                <w:sz w:val="21"/>
                <w:szCs w:val="21"/>
                <w:highlight w:val="none"/>
              </w:rPr>
              <w:t xml:space="preserve"> </w:t>
            </w:r>
            <w:r>
              <w:rPr>
                <w:strike/>
                <w:dstrike w:val="0"/>
                <w:color w:val="auto"/>
                <w:spacing w:val="-1"/>
                <w:sz w:val="21"/>
                <w:szCs w:val="21"/>
                <w:highlight w:val="none"/>
              </w:rPr>
              <w:t>人原因，导致投标文件不能在规定时间内完成解密的，招</w:t>
            </w:r>
            <w:r>
              <w:rPr>
                <w:strike/>
                <w:dstrike w:val="0"/>
                <w:color w:val="auto"/>
                <w:spacing w:val="14"/>
                <w:sz w:val="21"/>
                <w:szCs w:val="21"/>
                <w:highlight w:val="none"/>
              </w:rPr>
              <w:t xml:space="preserve"> </w:t>
            </w:r>
            <w:r>
              <w:rPr>
                <w:strike/>
                <w:dstrike w:val="0"/>
                <w:color w:val="auto"/>
                <w:spacing w:val="-1"/>
                <w:sz w:val="21"/>
                <w:szCs w:val="21"/>
                <w:highlight w:val="none"/>
              </w:rPr>
              <w:t>标人可向监管部门申请并征得同意后延长解密时间，并告</w:t>
            </w:r>
            <w:r>
              <w:rPr>
                <w:strike/>
                <w:dstrike w:val="0"/>
                <w:color w:val="auto"/>
                <w:spacing w:val="14"/>
                <w:sz w:val="21"/>
                <w:szCs w:val="21"/>
                <w:highlight w:val="none"/>
              </w:rPr>
              <w:t xml:space="preserve"> </w:t>
            </w:r>
            <w:r>
              <w:rPr>
                <w:strike/>
                <w:dstrike w:val="0"/>
                <w:color w:val="auto"/>
                <w:spacing w:val="-5"/>
                <w:sz w:val="21"/>
                <w:szCs w:val="21"/>
                <w:highlight w:val="none"/>
              </w:rPr>
              <w:t>知在线的投标人。</w:t>
            </w:r>
          </w:p>
          <w:p w14:paraId="71AD4A86">
            <w:pPr>
              <w:pStyle w:val="17"/>
              <w:spacing w:line="219" w:lineRule="auto"/>
              <w:ind w:left="318"/>
              <w:rPr>
                <w:strike/>
                <w:dstrike w:val="0"/>
                <w:color w:val="auto"/>
                <w:sz w:val="21"/>
                <w:szCs w:val="21"/>
                <w:highlight w:val="none"/>
              </w:rPr>
            </w:pPr>
            <w:r>
              <w:rPr>
                <w:rFonts w:ascii="Times New Roman" w:hAnsi="Times New Roman" w:eastAsia="Times New Roman" w:cs="Times New Roman"/>
                <w:strike/>
                <w:dstrike w:val="0"/>
                <w:color w:val="auto"/>
                <w:spacing w:val="-1"/>
                <w:sz w:val="21"/>
                <w:szCs w:val="21"/>
                <w:highlight w:val="none"/>
              </w:rPr>
              <w:t>2</w:t>
            </w:r>
            <w:r>
              <w:rPr>
                <w:rFonts w:ascii="Times New Roman" w:hAnsi="Times New Roman" w:eastAsia="Times New Roman" w:cs="Times New Roman"/>
                <w:b/>
                <w:bCs/>
                <w:strike/>
                <w:dstrike w:val="0"/>
                <w:color w:val="auto"/>
                <w:spacing w:val="-1"/>
                <w:sz w:val="21"/>
                <w:szCs w:val="21"/>
                <w:highlight w:val="none"/>
              </w:rPr>
              <w:t xml:space="preserve">.  </w:t>
            </w:r>
            <w:r>
              <w:rPr>
                <w:strike/>
                <w:dstrike w:val="0"/>
                <w:color w:val="auto"/>
                <w:spacing w:val="-1"/>
                <w:sz w:val="21"/>
                <w:szCs w:val="21"/>
                <w:highlight w:val="none"/>
              </w:rPr>
              <w:t>开标特别说明</w:t>
            </w:r>
          </w:p>
          <w:p w14:paraId="23081F41">
            <w:pPr>
              <w:pStyle w:val="17"/>
              <w:spacing w:before="70" w:line="219" w:lineRule="auto"/>
              <w:ind w:left="327"/>
              <w:rPr>
                <w:strike/>
                <w:dstrike w:val="0"/>
                <w:color w:val="auto"/>
                <w:sz w:val="21"/>
                <w:szCs w:val="21"/>
                <w:highlight w:val="none"/>
              </w:rPr>
            </w:pPr>
            <w:r>
              <w:rPr>
                <w:strike/>
                <w:dstrike w:val="0"/>
                <w:color w:val="auto"/>
                <w:spacing w:val="-2"/>
                <w:sz w:val="21"/>
                <w:szCs w:val="21"/>
                <w:highlight w:val="none"/>
              </w:rPr>
              <w:t>（一）开标解密使用投标人上传的电子投标文件。</w:t>
            </w:r>
          </w:p>
          <w:p w14:paraId="6F1429F1">
            <w:pPr>
              <w:pStyle w:val="17"/>
              <w:spacing w:before="71" w:line="261" w:lineRule="auto"/>
              <w:ind w:left="111" w:right="141" w:firstLine="216"/>
              <w:rPr>
                <w:strike/>
                <w:dstrike w:val="0"/>
                <w:color w:val="auto"/>
                <w:sz w:val="21"/>
                <w:szCs w:val="21"/>
                <w:highlight w:val="none"/>
              </w:rPr>
            </w:pPr>
            <w:r>
              <w:rPr>
                <w:strike/>
                <w:dstrike w:val="0"/>
                <w:color w:val="auto"/>
                <w:spacing w:val="-1"/>
                <w:sz w:val="21"/>
                <w:szCs w:val="21"/>
                <w:highlight w:val="none"/>
              </w:rPr>
              <w:t>（二）因投标人原因造成其电子投标文件未解密的，视</w:t>
            </w:r>
            <w:r>
              <w:rPr>
                <w:strike/>
                <w:dstrike w:val="0"/>
                <w:color w:val="auto"/>
                <w:sz w:val="21"/>
                <w:szCs w:val="21"/>
                <w:highlight w:val="none"/>
              </w:rPr>
              <w:t xml:space="preserve"> </w:t>
            </w:r>
            <w:r>
              <w:rPr>
                <w:strike/>
                <w:dstrike w:val="0"/>
                <w:color w:val="auto"/>
                <w:spacing w:val="-1"/>
                <w:sz w:val="21"/>
                <w:szCs w:val="21"/>
                <w:highlight w:val="none"/>
              </w:rPr>
              <w:t>为撤销其投标文件；因投标人之外的原因造成电子投标文</w:t>
            </w:r>
            <w:r>
              <w:rPr>
                <w:strike/>
                <w:dstrike w:val="0"/>
                <w:color w:val="auto"/>
                <w:spacing w:val="16"/>
                <w:sz w:val="21"/>
                <w:szCs w:val="21"/>
                <w:highlight w:val="none"/>
              </w:rPr>
              <w:t xml:space="preserve"> </w:t>
            </w:r>
            <w:r>
              <w:rPr>
                <w:strike/>
                <w:dstrike w:val="0"/>
                <w:color w:val="auto"/>
                <w:spacing w:val="-3"/>
                <w:sz w:val="21"/>
                <w:szCs w:val="21"/>
                <w:highlight w:val="none"/>
              </w:rPr>
              <w:t>件未解密的，视为撤回其投标文件。</w:t>
            </w:r>
          </w:p>
          <w:p w14:paraId="34AC7783">
            <w:pPr>
              <w:pStyle w:val="17"/>
              <w:spacing w:before="70" w:line="250" w:lineRule="auto"/>
              <w:ind w:left="113" w:right="151" w:firstLine="214"/>
              <w:rPr>
                <w:strike/>
                <w:dstrike w:val="0"/>
                <w:color w:val="auto"/>
                <w:sz w:val="21"/>
                <w:szCs w:val="21"/>
                <w:highlight w:val="none"/>
              </w:rPr>
            </w:pPr>
            <w:r>
              <w:rPr>
                <w:strike/>
                <w:dstrike w:val="0"/>
                <w:color w:val="auto"/>
                <w:spacing w:val="-1"/>
                <w:sz w:val="21"/>
                <w:szCs w:val="21"/>
                <w:highlight w:val="none"/>
              </w:rPr>
              <w:t>（三）部分投标人的电子投标文件无法解密的，其他投</w:t>
            </w:r>
            <w:r>
              <w:rPr>
                <w:strike/>
                <w:dstrike w:val="0"/>
                <w:color w:val="auto"/>
                <w:sz w:val="21"/>
                <w:szCs w:val="21"/>
                <w:highlight w:val="none"/>
              </w:rPr>
              <w:t xml:space="preserve"> </w:t>
            </w:r>
            <w:r>
              <w:rPr>
                <w:strike/>
                <w:dstrike w:val="0"/>
                <w:color w:val="auto"/>
                <w:spacing w:val="-3"/>
                <w:sz w:val="21"/>
                <w:szCs w:val="21"/>
                <w:highlight w:val="none"/>
              </w:rPr>
              <w:t>标文件的开标可以继续进行。</w:t>
            </w:r>
          </w:p>
          <w:p w14:paraId="764EC82A">
            <w:pPr>
              <w:pStyle w:val="17"/>
              <w:spacing w:before="70" w:line="251" w:lineRule="auto"/>
              <w:ind w:left="111" w:right="171" w:firstLine="216"/>
              <w:rPr>
                <w:strike/>
                <w:dstrike w:val="0"/>
                <w:color w:val="auto"/>
                <w:sz w:val="21"/>
                <w:szCs w:val="21"/>
                <w:highlight w:val="none"/>
              </w:rPr>
            </w:pPr>
            <w:r>
              <w:rPr>
                <w:strike/>
                <w:dstrike w:val="0"/>
                <w:color w:val="auto"/>
                <w:spacing w:val="-13"/>
                <w:sz w:val="21"/>
                <w:szCs w:val="21"/>
                <w:highlight w:val="none"/>
              </w:rPr>
              <w:t xml:space="preserve">（四）投标人必须使用生成电子投标文件的 </w:t>
            </w:r>
            <w:r>
              <w:rPr>
                <w:rFonts w:ascii="Times New Roman" w:hAnsi="Times New Roman" w:eastAsia="Times New Roman" w:cs="Times New Roman"/>
                <w:strike/>
                <w:dstrike w:val="0"/>
                <w:color w:val="auto"/>
                <w:spacing w:val="-13"/>
                <w:sz w:val="21"/>
                <w:szCs w:val="21"/>
                <w:highlight w:val="none"/>
              </w:rPr>
              <w:t>CA</w:t>
            </w:r>
            <w:r>
              <w:rPr>
                <w:rFonts w:ascii="Times New Roman" w:hAnsi="Times New Roman" w:eastAsia="Times New Roman" w:cs="Times New Roman"/>
                <w:strike/>
                <w:dstrike w:val="0"/>
                <w:color w:val="auto"/>
                <w:spacing w:val="53"/>
                <w:w w:val="101"/>
                <w:sz w:val="21"/>
                <w:szCs w:val="21"/>
                <w:highlight w:val="none"/>
              </w:rPr>
              <w:t xml:space="preserve"> </w:t>
            </w:r>
            <w:r>
              <w:rPr>
                <w:strike/>
                <w:dstrike w:val="0"/>
                <w:color w:val="auto"/>
                <w:spacing w:val="-13"/>
                <w:sz w:val="21"/>
                <w:szCs w:val="21"/>
                <w:highlight w:val="none"/>
              </w:rPr>
              <w:t>数字证书</w:t>
            </w:r>
            <w:r>
              <w:rPr>
                <w:strike/>
                <w:dstrike w:val="0"/>
                <w:color w:val="auto"/>
                <w:sz w:val="21"/>
                <w:szCs w:val="21"/>
                <w:highlight w:val="none"/>
              </w:rPr>
              <w:t xml:space="preserve"> </w:t>
            </w:r>
            <w:r>
              <w:rPr>
                <w:strike/>
                <w:dstrike w:val="0"/>
                <w:color w:val="auto"/>
                <w:spacing w:val="-7"/>
                <w:sz w:val="21"/>
                <w:szCs w:val="21"/>
                <w:highlight w:val="none"/>
              </w:rPr>
              <w:t>解密电子投标文件。</w:t>
            </w:r>
          </w:p>
          <w:p w14:paraId="28B77203">
            <w:pPr>
              <w:pStyle w:val="17"/>
              <w:spacing w:before="69" w:line="221" w:lineRule="auto"/>
              <w:ind w:left="327"/>
              <w:rPr>
                <w:rFonts w:ascii="等线" w:hAnsi="等线" w:eastAsia="等线" w:cs="等线"/>
                <w:strike/>
                <w:dstrike w:val="0"/>
                <w:color w:val="auto"/>
                <w:sz w:val="22"/>
                <w:szCs w:val="22"/>
                <w:highlight w:val="none"/>
              </w:rPr>
            </w:pPr>
            <w:r>
              <w:rPr>
                <w:strike/>
                <w:dstrike w:val="0"/>
                <w:color w:val="auto"/>
                <w:spacing w:val="-1"/>
                <w:sz w:val="21"/>
                <w:szCs w:val="21"/>
                <w:highlight w:val="none"/>
              </w:rPr>
              <w:t>（五）其他：</w:t>
            </w:r>
            <w:r>
              <w:rPr>
                <w:strike/>
                <w:dstrike w:val="0"/>
                <w:color w:val="auto"/>
                <w:spacing w:val="-1"/>
                <w:sz w:val="21"/>
                <w:szCs w:val="21"/>
                <w:highlight w:val="none"/>
                <w:u w:val="single" w:color="auto"/>
              </w:rPr>
              <w:t xml:space="preserve">                </w:t>
            </w:r>
            <w:r>
              <w:rPr>
                <w:rFonts w:ascii="等线" w:hAnsi="等线" w:eastAsia="等线" w:cs="等线"/>
                <w:b/>
                <w:bCs/>
                <w:i/>
                <w:iCs/>
                <w:strike/>
                <w:dstrike w:val="0"/>
                <w:color w:val="auto"/>
                <w:spacing w:val="-1"/>
                <w:sz w:val="22"/>
                <w:szCs w:val="22"/>
                <w:highlight w:val="none"/>
              </w:rPr>
              <w:t>。</w:t>
            </w:r>
          </w:p>
          <w:p w14:paraId="744F50D7">
            <w:pPr>
              <w:pStyle w:val="17"/>
              <w:tabs>
                <w:tab w:val="left" w:pos="218"/>
              </w:tabs>
              <w:spacing w:before="47" w:line="211" w:lineRule="auto"/>
              <w:ind w:left="103"/>
              <w:rPr>
                <w:strike/>
                <w:dstrike w:val="0"/>
                <w:color w:val="auto"/>
                <w:spacing w:val="1"/>
                <w:sz w:val="22"/>
                <w:szCs w:val="22"/>
                <w:highlight w:val="none"/>
                <w:u w:val="single" w:color="auto"/>
              </w:rPr>
            </w:pPr>
            <w:r>
              <w:rPr>
                <w:strike/>
                <w:dstrike w:val="0"/>
                <w:color w:val="auto"/>
                <w:sz w:val="22"/>
                <w:szCs w:val="22"/>
                <w:highlight w:val="none"/>
                <w:u w:val="single" w:color="auto"/>
              </w:rPr>
              <w:tab/>
            </w:r>
            <w:r>
              <w:rPr>
                <w:i/>
                <w:iCs/>
                <w:strike/>
                <w:dstrike w:val="0"/>
                <w:color w:val="auto"/>
                <w:spacing w:val="-17"/>
                <w:sz w:val="22"/>
                <w:szCs w:val="22"/>
                <w:highlight w:val="none"/>
                <w:u w:val="single" w:color="auto"/>
              </w:rPr>
              <w:t>当地结合地方电子评标系统相关条款可进行更改。</w:t>
            </w:r>
            <w:r>
              <w:rPr>
                <w:strike/>
                <w:dstrike w:val="0"/>
                <w:color w:val="auto"/>
                <w:spacing w:val="1"/>
                <w:sz w:val="22"/>
                <w:szCs w:val="22"/>
                <w:highlight w:val="none"/>
                <w:u w:val="single" w:color="auto"/>
              </w:rPr>
              <w:t xml:space="preserve"> </w:t>
            </w:r>
          </w:p>
          <w:p w14:paraId="160AF23C">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2" w:right="142" w:firstLine="0"/>
              <w:jc w:val="both"/>
              <w:textAlignment w:val="auto"/>
              <w:rPr>
                <w:color w:val="auto"/>
                <w:spacing w:val="-1"/>
                <w:sz w:val="21"/>
                <w:szCs w:val="21"/>
                <w:highlight w:val="none"/>
                <w:lang w:eastAsia="zh-CN"/>
              </w:rPr>
            </w:pPr>
            <w:r>
              <w:rPr>
                <w:rFonts w:hint="eastAsia"/>
                <w:color w:val="auto"/>
                <w:spacing w:val="-1"/>
                <w:sz w:val="21"/>
                <w:szCs w:val="21"/>
                <w:highlight w:val="none"/>
                <w:lang w:eastAsia="zh-CN"/>
              </w:rPr>
              <w:t>投标文件的澄清、质询：</w:t>
            </w:r>
          </w:p>
          <w:p w14:paraId="0A907470">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2" w:right="142" w:firstLine="0"/>
              <w:jc w:val="both"/>
              <w:textAlignment w:val="auto"/>
              <w:rPr>
                <w:color w:val="auto"/>
                <w:spacing w:val="-1"/>
                <w:sz w:val="21"/>
                <w:szCs w:val="21"/>
                <w:highlight w:val="none"/>
                <w:lang w:eastAsia="zh-CN"/>
              </w:rPr>
            </w:pPr>
            <w:r>
              <w:rPr>
                <w:rFonts w:hint="eastAsia"/>
                <w:color w:val="auto"/>
                <w:spacing w:val="-1"/>
                <w:sz w:val="21"/>
                <w:szCs w:val="21"/>
                <w:highlight w:val="none"/>
                <w:lang w:eastAsia="zh-CN"/>
              </w:rPr>
              <w:t>1.澄清回复时间不得超过在发出通知后30分钟，投标人逾期或未按要求澄清回复的，将视为不予回复或确认，评标委员会有权否决其投标。投标人通讯不畅通，导致不能及时联系的，视作为投标人不予回复或确认。</w:t>
            </w:r>
          </w:p>
          <w:p w14:paraId="0FCEFDBD">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2" w:right="142" w:firstLine="0"/>
              <w:jc w:val="both"/>
              <w:textAlignment w:val="auto"/>
              <w:rPr>
                <w:color w:val="auto"/>
                <w:spacing w:val="-1"/>
                <w:sz w:val="21"/>
                <w:szCs w:val="21"/>
                <w:highlight w:val="none"/>
                <w:lang w:eastAsia="zh-CN"/>
              </w:rPr>
            </w:pPr>
            <w:r>
              <w:rPr>
                <w:rFonts w:hint="eastAsia"/>
                <w:color w:val="auto"/>
                <w:spacing w:val="-1"/>
                <w:sz w:val="21"/>
                <w:szCs w:val="21"/>
                <w:highlight w:val="none"/>
                <w:lang w:eastAsia="zh-CN"/>
              </w:rPr>
              <w:t>2.评标委员会对投标人提交的澄清、说明或补正有疑问的，可以要求投标人进一步澄清、说明或补正，直至满足评标委员会的要求。</w:t>
            </w:r>
          </w:p>
          <w:p w14:paraId="1042DEBD">
            <w:pPr>
              <w:pStyle w:val="17"/>
              <w:keepNext w:val="0"/>
              <w:keepLines w:val="0"/>
              <w:pageBreakBefore/>
              <w:widowControl w:val="0"/>
              <w:kinsoku w:val="0"/>
              <w:wordWrap/>
              <w:overflowPunct w:val="0"/>
              <w:topLinePunct w:val="0"/>
              <w:autoSpaceDE w:val="0"/>
              <w:autoSpaceDN w:val="0"/>
              <w:bidi w:val="0"/>
              <w:adjustRightInd w:val="0"/>
              <w:snapToGrid w:val="0"/>
              <w:spacing w:line="316" w:lineRule="auto"/>
              <w:ind w:left="112" w:right="142" w:firstLine="0"/>
              <w:jc w:val="both"/>
              <w:textAlignment w:val="auto"/>
              <w:rPr>
                <w:strike/>
                <w:dstrike w:val="0"/>
                <w:color w:val="auto"/>
                <w:spacing w:val="1"/>
                <w:sz w:val="22"/>
                <w:szCs w:val="22"/>
                <w:highlight w:val="none"/>
                <w:u w:val="single" w:color="auto"/>
              </w:rPr>
            </w:pPr>
            <w:r>
              <w:rPr>
                <w:rFonts w:hint="eastAsia"/>
                <w:color w:val="auto"/>
                <w:spacing w:val="-1"/>
                <w:sz w:val="21"/>
                <w:szCs w:val="21"/>
                <w:highlight w:val="none"/>
                <w:lang w:eastAsia="zh-CN"/>
              </w:rPr>
              <w:t>3.投标人拒不按照要求对投标文件进行澄清、说明或者补正的，评标委员会可以否决其投标。</w:t>
            </w:r>
          </w:p>
        </w:tc>
      </w:tr>
      <w:tr w14:paraId="6488B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2" w:hRule="atLeast"/>
        </w:trPr>
        <w:tc>
          <w:tcPr>
            <w:tcW w:w="952" w:type="dxa"/>
            <w:tcBorders>
              <w:left w:val="single" w:color="000000" w:sz="6" w:space="0"/>
            </w:tcBorders>
            <w:vAlign w:val="top"/>
          </w:tcPr>
          <w:p w14:paraId="5CA6207A">
            <w:pPr>
              <w:spacing w:line="287" w:lineRule="auto"/>
              <w:rPr>
                <w:rFonts w:ascii="Arial"/>
                <w:color w:val="auto"/>
                <w:sz w:val="21"/>
                <w:highlight w:val="none"/>
              </w:rPr>
            </w:pPr>
          </w:p>
          <w:p w14:paraId="180F54C6">
            <w:pPr>
              <w:spacing w:line="288" w:lineRule="auto"/>
              <w:rPr>
                <w:rFonts w:ascii="Arial"/>
                <w:color w:val="auto"/>
                <w:sz w:val="21"/>
                <w:highlight w:val="none"/>
              </w:rPr>
            </w:pPr>
          </w:p>
          <w:p w14:paraId="0EF69415">
            <w:pPr>
              <w:spacing w:line="288" w:lineRule="auto"/>
              <w:rPr>
                <w:rFonts w:ascii="Arial"/>
                <w:color w:val="auto"/>
                <w:sz w:val="21"/>
                <w:highlight w:val="none"/>
              </w:rPr>
            </w:pPr>
          </w:p>
          <w:p w14:paraId="5B82C467">
            <w:pPr>
              <w:spacing w:line="288" w:lineRule="auto"/>
              <w:rPr>
                <w:rFonts w:ascii="Arial"/>
                <w:color w:val="auto"/>
                <w:sz w:val="21"/>
                <w:highlight w:val="none"/>
              </w:rPr>
            </w:pPr>
          </w:p>
          <w:p w14:paraId="438EFC0D">
            <w:pPr>
              <w:spacing w:before="60" w:line="188" w:lineRule="auto"/>
              <w:ind w:left="26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6.1.1</w:t>
            </w:r>
          </w:p>
        </w:tc>
        <w:tc>
          <w:tcPr>
            <w:tcW w:w="2313" w:type="dxa"/>
            <w:vAlign w:val="top"/>
          </w:tcPr>
          <w:p w14:paraId="7035A542">
            <w:pPr>
              <w:spacing w:line="276" w:lineRule="auto"/>
              <w:rPr>
                <w:rFonts w:ascii="Arial"/>
                <w:color w:val="auto"/>
                <w:sz w:val="21"/>
                <w:highlight w:val="none"/>
              </w:rPr>
            </w:pPr>
          </w:p>
          <w:p w14:paraId="575F6F83">
            <w:pPr>
              <w:spacing w:line="276" w:lineRule="auto"/>
              <w:rPr>
                <w:rFonts w:ascii="Arial"/>
                <w:color w:val="auto"/>
                <w:sz w:val="21"/>
                <w:highlight w:val="none"/>
              </w:rPr>
            </w:pPr>
          </w:p>
          <w:p w14:paraId="44F87A87">
            <w:pPr>
              <w:spacing w:line="277" w:lineRule="auto"/>
              <w:rPr>
                <w:rFonts w:ascii="Arial"/>
                <w:color w:val="auto"/>
                <w:sz w:val="21"/>
                <w:highlight w:val="none"/>
              </w:rPr>
            </w:pPr>
          </w:p>
          <w:p w14:paraId="327F4E0C">
            <w:pPr>
              <w:spacing w:line="277" w:lineRule="auto"/>
              <w:rPr>
                <w:rFonts w:ascii="Arial"/>
                <w:color w:val="auto"/>
                <w:sz w:val="21"/>
                <w:highlight w:val="none"/>
              </w:rPr>
            </w:pPr>
          </w:p>
          <w:p w14:paraId="63112844">
            <w:pPr>
              <w:pStyle w:val="17"/>
              <w:spacing w:before="68" w:line="219" w:lineRule="auto"/>
              <w:ind w:left="107"/>
              <w:rPr>
                <w:color w:val="auto"/>
                <w:sz w:val="21"/>
                <w:szCs w:val="21"/>
                <w:highlight w:val="none"/>
              </w:rPr>
            </w:pPr>
            <w:r>
              <w:rPr>
                <w:color w:val="auto"/>
                <w:spacing w:val="-1"/>
                <w:sz w:val="21"/>
                <w:szCs w:val="21"/>
                <w:highlight w:val="none"/>
              </w:rPr>
              <w:t>评标委员会的组建</w:t>
            </w:r>
          </w:p>
        </w:tc>
        <w:tc>
          <w:tcPr>
            <w:tcW w:w="5637" w:type="dxa"/>
            <w:tcBorders>
              <w:right w:val="single" w:color="000000" w:sz="6" w:space="0"/>
            </w:tcBorders>
            <w:vAlign w:val="top"/>
          </w:tcPr>
          <w:p w14:paraId="5014809B">
            <w:pPr>
              <w:pStyle w:val="17"/>
              <w:spacing w:before="85" w:line="281" w:lineRule="auto"/>
              <w:ind w:left="111" w:right="29"/>
              <w:rPr>
                <w:color w:val="auto"/>
                <w:sz w:val="21"/>
                <w:szCs w:val="21"/>
                <w:highlight w:val="none"/>
              </w:rPr>
            </w:pPr>
            <w:r>
              <w:rPr>
                <w:color w:val="auto"/>
                <w:spacing w:val="-1"/>
                <w:sz w:val="21"/>
                <w:szCs w:val="21"/>
                <w:highlight w:val="none"/>
              </w:rPr>
              <w:t>评标委员会成员人数：</w:t>
            </w:r>
            <w:r>
              <w:rPr>
                <w:rFonts w:hint="eastAsia"/>
                <w:color w:val="auto"/>
                <w:spacing w:val="-1"/>
                <w:sz w:val="21"/>
                <w:szCs w:val="21"/>
                <w:highlight w:val="none"/>
                <w:u w:val="single" w:color="auto"/>
                <w:lang w:val="en-US" w:eastAsia="zh-CN"/>
              </w:rPr>
              <w:t>按规定</w:t>
            </w:r>
            <w:r>
              <w:rPr>
                <w:rFonts w:ascii="Times New Roman" w:hAnsi="Times New Roman" w:eastAsia="Times New Roman" w:cs="Times New Roman"/>
                <w:color w:val="auto"/>
                <w:spacing w:val="-24"/>
                <w:sz w:val="21"/>
                <w:szCs w:val="21"/>
                <w:highlight w:val="none"/>
              </w:rPr>
              <w:t xml:space="preserve"> </w:t>
            </w:r>
            <w:r>
              <w:rPr>
                <w:color w:val="auto"/>
                <w:spacing w:val="-1"/>
                <w:sz w:val="21"/>
                <w:szCs w:val="21"/>
                <w:highlight w:val="none"/>
              </w:rPr>
              <w:t>。</w:t>
            </w:r>
            <w:r>
              <w:rPr>
                <w:color w:val="auto"/>
                <w:sz w:val="21"/>
                <w:szCs w:val="21"/>
                <w:highlight w:val="none"/>
              </w:rPr>
              <w:t xml:space="preserve"> </w:t>
            </w:r>
          </w:p>
          <w:p w14:paraId="0A388970">
            <w:pPr>
              <w:pStyle w:val="17"/>
              <w:spacing w:before="85" w:line="281" w:lineRule="auto"/>
              <w:ind w:left="111" w:right="29"/>
              <w:rPr>
                <w:strike/>
                <w:dstrike w:val="0"/>
                <w:color w:val="auto"/>
                <w:sz w:val="21"/>
                <w:szCs w:val="21"/>
                <w:highlight w:val="none"/>
              </w:rPr>
            </w:pPr>
            <w:r>
              <w:rPr>
                <w:strike/>
                <w:dstrike w:val="0"/>
                <w:color w:val="auto"/>
                <w:spacing w:val="-4"/>
                <w:sz w:val="21"/>
                <w:szCs w:val="21"/>
                <w:highlight w:val="none"/>
              </w:rPr>
              <w:t>评标委员会成员确定方式：招标人代表</w:t>
            </w:r>
            <w:r>
              <w:rPr>
                <w:strike/>
                <w:dstrike w:val="0"/>
                <w:color w:val="auto"/>
                <w:spacing w:val="-4"/>
                <w:sz w:val="21"/>
                <w:szCs w:val="21"/>
                <w:highlight w:val="none"/>
                <w:u w:val="single" w:color="auto"/>
              </w:rPr>
              <w:t xml:space="preserve">    </w:t>
            </w:r>
            <w:r>
              <w:rPr>
                <w:strike/>
                <w:dstrike w:val="0"/>
                <w:color w:val="auto"/>
                <w:spacing w:val="-95"/>
                <w:sz w:val="21"/>
                <w:szCs w:val="21"/>
                <w:highlight w:val="none"/>
              </w:rPr>
              <w:t xml:space="preserve"> </w:t>
            </w:r>
            <w:r>
              <w:rPr>
                <w:strike/>
                <w:dstrike w:val="0"/>
                <w:color w:val="auto"/>
                <w:spacing w:val="-4"/>
                <w:sz w:val="21"/>
                <w:szCs w:val="21"/>
                <w:highlight w:val="none"/>
              </w:rPr>
              <w:t>人，库</w:t>
            </w:r>
            <w:r>
              <w:rPr>
                <w:strike/>
                <w:dstrike w:val="0"/>
                <w:color w:val="auto"/>
                <w:spacing w:val="-5"/>
                <w:sz w:val="21"/>
                <w:szCs w:val="21"/>
                <w:highlight w:val="none"/>
              </w:rPr>
              <w:t>选技术、</w:t>
            </w:r>
            <w:r>
              <w:rPr>
                <w:strike/>
                <w:dstrike w:val="0"/>
                <w:color w:val="auto"/>
                <w:sz w:val="21"/>
                <w:szCs w:val="21"/>
                <w:highlight w:val="none"/>
              </w:rPr>
              <w:t xml:space="preserve"> 经济专家</w:t>
            </w:r>
            <w:r>
              <w:rPr>
                <w:strike/>
                <w:dstrike w:val="0"/>
                <w:color w:val="auto"/>
                <w:spacing w:val="-89"/>
                <w:sz w:val="21"/>
                <w:szCs w:val="21"/>
                <w:highlight w:val="none"/>
              </w:rPr>
              <w:t xml:space="preserve"> </w:t>
            </w:r>
            <w:r>
              <w:rPr>
                <w:strike/>
                <w:dstrike w:val="0"/>
                <w:color w:val="auto"/>
                <w:sz w:val="21"/>
                <w:szCs w:val="21"/>
                <w:highlight w:val="none"/>
                <w:u w:val="single" w:color="auto"/>
              </w:rPr>
              <w:t xml:space="preserve">    </w:t>
            </w:r>
            <w:r>
              <w:rPr>
                <w:strike/>
                <w:dstrike w:val="0"/>
                <w:color w:val="auto"/>
                <w:spacing w:val="-94"/>
                <w:sz w:val="21"/>
                <w:szCs w:val="21"/>
                <w:highlight w:val="none"/>
              </w:rPr>
              <w:t xml:space="preserve"> </w:t>
            </w:r>
            <w:r>
              <w:rPr>
                <w:strike/>
                <w:dstrike w:val="0"/>
                <w:color w:val="auto"/>
                <w:sz w:val="21"/>
                <w:szCs w:val="21"/>
                <w:highlight w:val="none"/>
              </w:rPr>
              <w:t xml:space="preserve">人（库选经济、技术专家不得少于专家人数 </w:t>
            </w:r>
            <w:r>
              <w:rPr>
                <w:strike/>
                <w:dstrike w:val="0"/>
                <w:color w:val="auto"/>
                <w:spacing w:val="-2"/>
                <w:sz w:val="21"/>
                <w:szCs w:val="21"/>
                <w:highlight w:val="none"/>
              </w:rPr>
              <w:t>的</w:t>
            </w:r>
            <w:r>
              <w:rPr>
                <w:rFonts w:ascii="Times New Roman" w:hAnsi="Times New Roman" w:eastAsia="Times New Roman" w:cs="Times New Roman"/>
                <w:strike/>
                <w:dstrike w:val="0"/>
                <w:color w:val="auto"/>
                <w:spacing w:val="-2"/>
                <w:sz w:val="21"/>
                <w:szCs w:val="21"/>
                <w:highlight w:val="none"/>
              </w:rPr>
              <w:t>2/3</w:t>
            </w:r>
            <w:r>
              <w:rPr>
                <w:strike/>
                <w:dstrike w:val="0"/>
                <w:color w:val="auto"/>
                <w:spacing w:val="-12"/>
                <w:sz w:val="21"/>
                <w:szCs w:val="21"/>
                <w:highlight w:val="none"/>
              </w:rPr>
              <w:t>）；</w:t>
            </w:r>
          </w:p>
          <w:p w14:paraId="4D10CDBA">
            <w:pPr>
              <w:pStyle w:val="17"/>
              <w:spacing w:line="261" w:lineRule="auto"/>
              <w:ind w:left="111" w:right="103" w:firstLine="22"/>
              <w:jc w:val="both"/>
              <w:rPr>
                <w:color w:val="auto"/>
                <w:sz w:val="21"/>
                <w:szCs w:val="21"/>
                <w:highlight w:val="none"/>
              </w:rPr>
            </w:pPr>
            <w:r>
              <w:rPr>
                <w:rFonts w:hint="eastAsia"/>
                <w:color w:val="auto"/>
                <w:sz w:val="21"/>
                <w:szCs w:val="21"/>
                <w:highlight w:val="none"/>
                <w:lang w:eastAsia="zh-CN"/>
              </w:rPr>
              <w:t>□</w:t>
            </w:r>
            <w:r>
              <w:rPr>
                <w:color w:val="auto"/>
                <w:sz w:val="21"/>
                <w:szCs w:val="21"/>
                <w:highlight w:val="none"/>
              </w:rPr>
              <w:t xml:space="preserve"> 在保证评标委员会实际参与评标的成员符合</w:t>
            </w:r>
            <w:r>
              <w:rPr>
                <w:rFonts w:ascii="Times New Roman" w:hAnsi="Times New Roman" w:eastAsia="Times New Roman" w:cs="Times New Roman"/>
                <w:color w:val="auto"/>
                <w:sz w:val="21"/>
                <w:szCs w:val="21"/>
                <w:highlight w:val="none"/>
              </w:rPr>
              <w:t>5</w:t>
            </w:r>
            <w:r>
              <w:rPr>
                <w:color w:val="auto"/>
                <w:sz w:val="21"/>
                <w:szCs w:val="21"/>
                <w:highlight w:val="none"/>
              </w:rPr>
              <w:t>人及以上</w:t>
            </w:r>
            <w:r>
              <w:rPr>
                <w:color w:val="auto"/>
                <w:spacing w:val="5"/>
                <w:sz w:val="21"/>
                <w:szCs w:val="21"/>
                <w:highlight w:val="none"/>
              </w:rPr>
              <w:t xml:space="preserve"> </w:t>
            </w:r>
            <w:r>
              <w:rPr>
                <w:color w:val="auto"/>
                <w:spacing w:val="-3"/>
                <w:sz w:val="21"/>
                <w:szCs w:val="21"/>
                <w:highlight w:val="none"/>
              </w:rPr>
              <w:t>单数的前提下，如出现</w:t>
            </w:r>
            <w:r>
              <w:rPr>
                <w:rFonts w:ascii="Times New Roman" w:hAnsi="Times New Roman" w:eastAsia="Times New Roman" w:cs="Times New Roman"/>
                <w:color w:val="auto"/>
                <w:spacing w:val="-3"/>
                <w:sz w:val="21"/>
                <w:szCs w:val="21"/>
                <w:highlight w:val="none"/>
              </w:rPr>
              <w:t>1</w:t>
            </w:r>
            <w:r>
              <w:rPr>
                <w:color w:val="auto"/>
                <w:spacing w:val="-3"/>
                <w:sz w:val="21"/>
                <w:szCs w:val="21"/>
                <w:highlight w:val="none"/>
              </w:rPr>
              <w:t>位库选专家不能参与评标的，评标</w:t>
            </w:r>
            <w:r>
              <w:rPr>
                <w:color w:val="auto"/>
                <w:spacing w:val="3"/>
                <w:sz w:val="21"/>
                <w:szCs w:val="21"/>
                <w:highlight w:val="none"/>
              </w:rPr>
              <w:t xml:space="preserve"> </w:t>
            </w:r>
            <w:r>
              <w:rPr>
                <w:color w:val="auto"/>
                <w:spacing w:val="1"/>
                <w:sz w:val="21"/>
                <w:szCs w:val="21"/>
                <w:highlight w:val="none"/>
              </w:rPr>
              <w:t>委员会自动取消</w:t>
            </w:r>
            <w:r>
              <w:rPr>
                <w:rFonts w:ascii="Times New Roman" w:hAnsi="Times New Roman" w:eastAsia="Times New Roman" w:cs="Times New Roman"/>
                <w:color w:val="auto"/>
                <w:spacing w:val="1"/>
                <w:sz w:val="21"/>
                <w:szCs w:val="21"/>
                <w:highlight w:val="none"/>
              </w:rPr>
              <w:t>1</w:t>
            </w:r>
            <w:r>
              <w:rPr>
                <w:color w:val="auto"/>
                <w:spacing w:val="1"/>
                <w:sz w:val="21"/>
                <w:szCs w:val="21"/>
                <w:highlight w:val="none"/>
              </w:rPr>
              <w:t>名招标人代表；</w:t>
            </w:r>
            <w:r>
              <w:rPr>
                <w:rFonts w:ascii="Times New Roman" w:hAnsi="Times New Roman" w:eastAsia="Times New Roman" w:cs="Times New Roman"/>
                <w:color w:val="auto"/>
                <w:spacing w:val="1"/>
                <w:sz w:val="21"/>
                <w:szCs w:val="21"/>
                <w:highlight w:val="none"/>
              </w:rPr>
              <w:t>2</w:t>
            </w:r>
            <w:r>
              <w:rPr>
                <w:color w:val="auto"/>
                <w:spacing w:val="1"/>
                <w:sz w:val="21"/>
                <w:szCs w:val="21"/>
                <w:highlight w:val="none"/>
              </w:rPr>
              <w:t xml:space="preserve">位库选专家不能参与评 </w:t>
            </w:r>
            <w:r>
              <w:rPr>
                <w:color w:val="auto"/>
                <w:spacing w:val="-2"/>
                <w:sz w:val="21"/>
                <w:szCs w:val="21"/>
                <w:highlight w:val="none"/>
              </w:rPr>
              <w:t>标的，不再补抽，由其余人员组成评标委员会进行评标。</w:t>
            </w:r>
          </w:p>
        </w:tc>
      </w:tr>
      <w:tr w14:paraId="31AB5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4" w:hRule="atLeast"/>
        </w:trPr>
        <w:tc>
          <w:tcPr>
            <w:tcW w:w="952" w:type="dxa"/>
            <w:tcBorders>
              <w:left w:val="single" w:color="000000" w:sz="6" w:space="0"/>
              <w:bottom w:val="single" w:color="000000" w:sz="6" w:space="0"/>
            </w:tcBorders>
            <w:vAlign w:val="top"/>
          </w:tcPr>
          <w:p w14:paraId="20BDB694">
            <w:pPr>
              <w:spacing w:line="271" w:lineRule="auto"/>
              <w:rPr>
                <w:rFonts w:ascii="Arial"/>
                <w:color w:val="auto"/>
                <w:sz w:val="21"/>
                <w:highlight w:val="none"/>
              </w:rPr>
            </w:pPr>
          </w:p>
          <w:p w14:paraId="49D7771B">
            <w:pPr>
              <w:spacing w:line="272" w:lineRule="auto"/>
              <w:rPr>
                <w:rFonts w:ascii="Arial"/>
                <w:color w:val="auto"/>
                <w:sz w:val="21"/>
                <w:highlight w:val="none"/>
              </w:rPr>
            </w:pPr>
          </w:p>
          <w:p w14:paraId="668B09EF">
            <w:pPr>
              <w:spacing w:line="272" w:lineRule="auto"/>
              <w:rPr>
                <w:rFonts w:ascii="Arial"/>
                <w:color w:val="auto"/>
                <w:sz w:val="21"/>
                <w:highlight w:val="none"/>
              </w:rPr>
            </w:pPr>
          </w:p>
          <w:p w14:paraId="640ABDC7">
            <w:pPr>
              <w:spacing w:line="272" w:lineRule="auto"/>
              <w:rPr>
                <w:rFonts w:ascii="Arial"/>
                <w:color w:val="auto"/>
                <w:sz w:val="21"/>
                <w:highlight w:val="none"/>
              </w:rPr>
            </w:pPr>
          </w:p>
          <w:p w14:paraId="32810924">
            <w:pPr>
              <w:spacing w:line="272" w:lineRule="auto"/>
              <w:rPr>
                <w:rFonts w:ascii="Arial"/>
                <w:color w:val="auto"/>
                <w:sz w:val="21"/>
                <w:highlight w:val="none"/>
              </w:rPr>
            </w:pPr>
          </w:p>
          <w:p w14:paraId="0B79DA86">
            <w:pPr>
              <w:spacing w:line="272" w:lineRule="auto"/>
              <w:rPr>
                <w:rFonts w:ascii="Arial"/>
                <w:color w:val="auto"/>
                <w:sz w:val="21"/>
                <w:highlight w:val="none"/>
              </w:rPr>
            </w:pPr>
          </w:p>
          <w:p w14:paraId="72CDB285">
            <w:pPr>
              <w:spacing w:before="60" w:line="188" w:lineRule="auto"/>
              <w:ind w:left="34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6.3</w:t>
            </w:r>
          </w:p>
        </w:tc>
        <w:tc>
          <w:tcPr>
            <w:tcW w:w="2313" w:type="dxa"/>
            <w:tcBorders>
              <w:bottom w:val="single" w:color="000000" w:sz="6" w:space="0"/>
            </w:tcBorders>
            <w:vAlign w:val="top"/>
          </w:tcPr>
          <w:p w14:paraId="76E1B04A">
            <w:pPr>
              <w:spacing w:line="242" w:lineRule="auto"/>
              <w:rPr>
                <w:rFonts w:ascii="Arial"/>
                <w:color w:val="auto"/>
                <w:sz w:val="21"/>
                <w:highlight w:val="none"/>
              </w:rPr>
            </w:pPr>
          </w:p>
          <w:p w14:paraId="7E16184E">
            <w:pPr>
              <w:spacing w:line="242" w:lineRule="auto"/>
              <w:rPr>
                <w:rFonts w:ascii="Arial"/>
                <w:color w:val="auto"/>
                <w:sz w:val="21"/>
                <w:highlight w:val="none"/>
              </w:rPr>
            </w:pPr>
          </w:p>
          <w:p w14:paraId="31C1DB3D">
            <w:pPr>
              <w:spacing w:line="242" w:lineRule="auto"/>
              <w:rPr>
                <w:rFonts w:ascii="Arial"/>
                <w:color w:val="auto"/>
                <w:sz w:val="21"/>
                <w:highlight w:val="none"/>
              </w:rPr>
            </w:pPr>
          </w:p>
          <w:p w14:paraId="79373DED">
            <w:pPr>
              <w:spacing w:line="242" w:lineRule="auto"/>
              <w:rPr>
                <w:rFonts w:ascii="Arial"/>
                <w:color w:val="auto"/>
                <w:sz w:val="21"/>
                <w:highlight w:val="none"/>
              </w:rPr>
            </w:pPr>
          </w:p>
          <w:p w14:paraId="641513FE">
            <w:pPr>
              <w:spacing w:line="242" w:lineRule="auto"/>
              <w:rPr>
                <w:rFonts w:ascii="Arial"/>
                <w:color w:val="auto"/>
                <w:sz w:val="21"/>
                <w:highlight w:val="none"/>
              </w:rPr>
            </w:pPr>
          </w:p>
          <w:p w14:paraId="753E679C">
            <w:pPr>
              <w:spacing w:line="242" w:lineRule="auto"/>
              <w:rPr>
                <w:rFonts w:ascii="Arial"/>
                <w:color w:val="auto"/>
                <w:sz w:val="21"/>
                <w:highlight w:val="none"/>
              </w:rPr>
            </w:pPr>
          </w:p>
          <w:p w14:paraId="1AE1492F">
            <w:pPr>
              <w:pStyle w:val="17"/>
              <w:spacing w:before="69" w:line="241" w:lineRule="auto"/>
              <w:ind w:left="107" w:right="108"/>
              <w:rPr>
                <w:color w:val="auto"/>
                <w:sz w:val="21"/>
                <w:szCs w:val="21"/>
                <w:highlight w:val="none"/>
              </w:rPr>
            </w:pPr>
            <w:r>
              <w:rPr>
                <w:color w:val="auto"/>
                <w:spacing w:val="12"/>
                <w:sz w:val="21"/>
                <w:szCs w:val="21"/>
                <w:highlight w:val="none"/>
              </w:rPr>
              <w:t>评标办法与中标候选人</w:t>
            </w:r>
            <w:r>
              <w:rPr>
                <w:color w:val="auto"/>
                <w:spacing w:val="-3"/>
                <w:sz w:val="21"/>
                <w:szCs w:val="21"/>
                <w:highlight w:val="none"/>
              </w:rPr>
              <w:t>推荐</w:t>
            </w:r>
          </w:p>
        </w:tc>
        <w:tc>
          <w:tcPr>
            <w:tcW w:w="5637" w:type="dxa"/>
            <w:tcBorders>
              <w:bottom w:val="single" w:color="000000" w:sz="6" w:space="0"/>
              <w:right w:val="single" w:color="000000" w:sz="6" w:space="0"/>
            </w:tcBorders>
            <w:vAlign w:val="top"/>
          </w:tcPr>
          <w:p w14:paraId="77253BF4">
            <w:pPr>
              <w:pStyle w:val="17"/>
              <w:spacing w:before="87" w:line="218" w:lineRule="auto"/>
              <w:ind w:left="128"/>
              <w:rPr>
                <w:color w:val="auto"/>
                <w:sz w:val="21"/>
                <w:szCs w:val="21"/>
                <w:highlight w:val="none"/>
              </w:rPr>
            </w:pPr>
            <w:r>
              <w:rPr>
                <w:rFonts w:ascii="Times New Roman" w:hAnsi="Times New Roman" w:eastAsia="Times New Roman" w:cs="Times New Roman"/>
                <w:color w:val="auto"/>
                <w:spacing w:val="-5"/>
                <w:sz w:val="21"/>
                <w:szCs w:val="21"/>
                <w:highlight w:val="none"/>
              </w:rPr>
              <w:t>1.</w:t>
            </w:r>
            <w:r>
              <w:rPr>
                <w:rFonts w:ascii="Times New Roman" w:hAnsi="Times New Roman" w:eastAsia="Times New Roman" w:cs="Times New Roman"/>
                <w:color w:val="auto"/>
                <w:spacing w:val="5"/>
                <w:sz w:val="21"/>
                <w:szCs w:val="21"/>
                <w:highlight w:val="none"/>
              </w:rPr>
              <w:t xml:space="preserve">  </w:t>
            </w:r>
            <w:r>
              <w:rPr>
                <w:color w:val="auto"/>
                <w:spacing w:val="-5"/>
                <w:sz w:val="21"/>
                <w:szCs w:val="21"/>
                <w:highlight w:val="none"/>
              </w:rPr>
              <w:t>综合评估法</w:t>
            </w:r>
          </w:p>
          <w:p w14:paraId="676C0B76">
            <w:pPr>
              <w:pStyle w:val="17"/>
              <w:spacing w:before="71" w:line="218" w:lineRule="auto"/>
              <w:ind w:left="113"/>
              <w:rPr>
                <w:color w:val="auto"/>
                <w:sz w:val="21"/>
                <w:szCs w:val="21"/>
                <w:highlight w:val="none"/>
              </w:rPr>
            </w:pPr>
            <w:r>
              <w:rPr>
                <w:color w:val="auto"/>
                <w:spacing w:val="-1"/>
                <w:sz w:val="21"/>
                <w:szCs w:val="21"/>
                <w:highlight w:val="none"/>
              </w:rPr>
              <w:t>技术通过制的综合评估法：□ 全评制</w:t>
            </w:r>
          </w:p>
          <w:p w14:paraId="6090EDA5">
            <w:pPr>
              <w:pStyle w:val="17"/>
              <w:spacing w:before="72" w:line="218" w:lineRule="auto"/>
              <w:ind w:left="2653"/>
              <w:rPr>
                <w:color w:val="auto"/>
                <w:sz w:val="21"/>
                <w:szCs w:val="21"/>
                <w:highlight w:val="none"/>
              </w:rPr>
            </w:pPr>
            <w:r>
              <w:rPr>
                <w:color w:val="auto"/>
                <w:spacing w:val="-7"/>
                <w:sz w:val="21"/>
                <w:szCs w:val="21"/>
                <w:highlight w:val="none"/>
              </w:rPr>
              <w:t>□</w:t>
            </w:r>
            <w:r>
              <w:rPr>
                <w:color w:val="auto"/>
                <w:spacing w:val="11"/>
                <w:sz w:val="21"/>
                <w:szCs w:val="21"/>
                <w:highlight w:val="none"/>
              </w:rPr>
              <w:t xml:space="preserve"> </w:t>
            </w:r>
            <w:r>
              <w:rPr>
                <w:color w:val="auto"/>
                <w:spacing w:val="-7"/>
                <w:sz w:val="21"/>
                <w:szCs w:val="21"/>
                <w:highlight w:val="none"/>
              </w:rPr>
              <w:t>合理低价制</w:t>
            </w:r>
          </w:p>
          <w:p w14:paraId="09C65752">
            <w:pPr>
              <w:pStyle w:val="17"/>
              <w:spacing w:before="71" w:line="220" w:lineRule="auto"/>
              <w:ind w:left="2653"/>
              <w:rPr>
                <w:color w:val="auto"/>
                <w:sz w:val="21"/>
                <w:szCs w:val="21"/>
                <w:highlight w:val="none"/>
              </w:rPr>
            </w:pPr>
            <w:r>
              <w:rPr>
                <w:color w:val="auto"/>
                <w:spacing w:val="-7"/>
                <w:sz w:val="21"/>
                <w:szCs w:val="21"/>
                <w:highlight w:val="none"/>
              </w:rPr>
              <w:t>□</w:t>
            </w:r>
            <w:r>
              <w:rPr>
                <w:color w:val="auto"/>
                <w:spacing w:val="11"/>
                <w:sz w:val="21"/>
                <w:szCs w:val="21"/>
                <w:highlight w:val="none"/>
              </w:rPr>
              <w:t xml:space="preserve"> </w:t>
            </w:r>
            <w:r>
              <w:rPr>
                <w:color w:val="auto"/>
                <w:spacing w:val="-7"/>
                <w:sz w:val="21"/>
                <w:szCs w:val="21"/>
                <w:highlight w:val="none"/>
              </w:rPr>
              <w:t>有限数量制</w:t>
            </w:r>
          </w:p>
          <w:p w14:paraId="6F43AC37">
            <w:pPr>
              <w:pStyle w:val="17"/>
              <w:spacing w:before="69" w:line="218" w:lineRule="auto"/>
              <w:ind w:left="133"/>
              <w:rPr>
                <w:color w:val="auto"/>
                <w:sz w:val="21"/>
                <w:szCs w:val="21"/>
                <w:highlight w:val="none"/>
              </w:rPr>
            </w:pPr>
            <w:r>
              <w:rPr>
                <w:color w:val="auto"/>
                <w:spacing w:val="-3"/>
                <w:sz w:val="21"/>
                <w:szCs w:val="21"/>
                <w:highlight w:val="none"/>
              </w:rPr>
              <w:t>□ 技术打分制的综合评估法</w:t>
            </w:r>
          </w:p>
          <w:p w14:paraId="5D9F4436">
            <w:pPr>
              <w:pStyle w:val="17"/>
              <w:spacing w:before="73" w:line="220" w:lineRule="auto"/>
              <w:ind w:left="133"/>
              <w:rPr>
                <w:color w:val="auto"/>
                <w:sz w:val="21"/>
                <w:szCs w:val="21"/>
                <w:highlight w:val="none"/>
              </w:rPr>
            </w:pPr>
            <w:r>
              <w:rPr>
                <w:rFonts w:hint="eastAsia"/>
                <w:color w:val="auto"/>
                <w:spacing w:val="-2"/>
                <w:sz w:val="21"/>
                <w:szCs w:val="21"/>
                <w:highlight w:val="none"/>
                <w:lang w:eastAsia="zh-CN"/>
              </w:rPr>
              <w:t>☑</w:t>
            </w:r>
            <w:r>
              <w:rPr>
                <w:color w:val="auto"/>
                <w:spacing w:val="-2"/>
                <w:sz w:val="21"/>
                <w:szCs w:val="21"/>
                <w:highlight w:val="none"/>
              </w:rPr>
              <w:t xml:space="preserve"> 定性和定量相结合评审法（适用于评定分离）</w:t>
            </w:r>
          </w:p>
          <w:p w14:paraId="1662664D">
            <w:pPr>
              <w:pStyle w:val="17"/>
              <w:spacing w:before="70" w:line="220" w:lineRule="auto"/>
              <w:ind w:left="133"/>
              <w:rPr>
                <w:color w:val="auto"/>
                <w:sz w:val="21"/>
                <w:szCs w:val="21"/>
                <w:highlight w:val="none"/>
              </w:rPr>
            </w:pPr>
            <w:r>
              <w:rPr>
                <w:color w:val="auto"/>
                <w:spacing w:val="-3"/>
                <w:sz w:val="21"/>
                <w:szCs w:val="21"/>
                <w:highlight w:val="none"/>
              </w:rPr>
              <w:t>□ 定性评审法（适用于评定分离）</w:t>
            </w:r>
          </w:p>
          <w:p w14:paraId="427A4359">
            <w:pPr>
              <w:pStyle w:val="17"/>
              <w:spacing w:before="69" w:line="218" w:lineRule="auto"/>
              <w:ind w:left="108"/>
              <w:rPr>
                <w:color w:val="auto"/>
                <w:sz w:val="21"/>
                <w:szCs w:val="21"/>
                <w:highlight w:val="none"/>
              </w:rPr>
            </w:pPr>
            <w:r>
              <w:rPr>
                <w:rFonts w:ascii="Times New Roman" w:hAnsi="Times New Roman" w:eastAsia="Times New Roman" w:cs="Times New Roman"/>
                <w:color w:val="auto"/>
                <w:spacing w:val="-3"/>
                <w:sz w:val="21"/>
                <w:szCs w:val="21"/>
                <w:highlight w:val="none"/>
              </w:rPr>
              <w:t>2.</w:t>
            </w:r>
            <w:r>
              <w:rPr>
                <w:rFonts w:ascii="Times New Roman" w:hAnsi="Times New Roman" w:eastAsia="Times New Roman" w:cs="Times New Roman"/>
                <w:color w:val="auto"/>
                <w:spacing w:val="17"/>
                <w:sz w:val="21"/>
                <w:szCs w:val="21"/>
                <w:highlight w:val="none"/>
              </w:rPr>
              <w:t xml:space="preserve">  </w:t>
            </w:r>
            <w:r>
              <w:rPr>
                <w:color w:val="auto"/>
                <w:spacing w:val="-3"/>
                <w:sz w:val="21"/>
                <w:szCs w:val="21"/>
                <w:highlight w:val="none"/>
              </w:rPr>
              <w:t>□经评审的最低投标价法</w:t>
            </w:r>
          </w:p>
          <w:p w14:paraId="42373E17">
            <w:pPr>
              <w:pStyle w:val="17"/>
              <w:spacing w:before="72" w:line="219" w:lineRule="auto"/>
              <w:ind w:left="112"/>
              <w:rPr>
                <w:color w:val="auto"/>
                <w:sz w:val="21"/>
                <w:szCs w:val="21"/>
                <w:highlight w:val="none"/>
              </w:rPr>
            </w:pPr>
            <w:r>
              <w:rPr>
                <w:rFonts w:ascii="Times New Roman" w:hAnsi="Times New Roman" w:eastAsia="Times New Roman" w:cs="Times New Roman"/>
                <w:color w:val="auto"/>
                <w:spacing w:val="-3"/>
                <w:sz w:val="21"/>
                <w:szCs w:val="21"/>
                <w:highlight w:val="none"/>
              </w:rPr>
              <w:t xml:space="preserve">3.  </w:t>
            </w:r>
            <w:r>
              <w:rPr>
                <w:color w:val="auto"/>
                <w:spacing w:val="-3"/>
                <w:sz w:val="21"/>
                <w:szCs w:val="21"/>
                <w:highlight w:val="none"/>
              </w:rPr>
              <w:t>评标委员会推荐的中标候选人数量：</w:t>
            </w:r>
          </w:p>
          <w:p w14:paraId="01F2EA6C">
            <w:pPr>
              <w:pStyle w:val="17"/>
              <w:spacing w:before="70" w:line="245" w:lineRule="auto"/>
              <w:ind w:left="115" w:right="44" w:hanging="4"/>
              <w:rPr>
                <w:color w:val="auto"/>
                <w:sz w:val="21"/>
                <w:szCs w:val="21"/>
                <w:highlight w:val="none"/>
              </w:rPr>
            </w:pPr>
            <w:r>
              <w:rPr>
                <w:color w:val="auto"/>
                <w:spacing w:val="-5"/>
                <w:sz w:val="21"/>
                <w:szCs w:val="21"/>
                <w:highlight w:val="none"/>
              </w:rPr>
              <w:t>评标委员会推荐</w:t>
            </w:r>
            <w:r>
              <w:rPr>
                <w:color w:val="auto"/>
                <w:spacing w:val="-5"/>
                <w:sz w:val="21"/>
                <w:szCs w:val="21"/>
                <w:highlight w:val="none"/>
                <w:u w:val="single" w:color="auto"/>
              </w:rPr>
              <w:t xml:space="preserve"> </w:t>
            </w:r>
            <w:r>
              <w:rPr>
                <w:rFonts w:hint="eastAsia"/>
                <w:color w:val="auto"/>
                <w:spacing w:val="-5"/>
                <w:sz w:val="21"/>
                <w:szCs w:val="21"/>
                <w:highlight w:val="none"/>
                <w:u w:val="single" w:color="auto"/>
                <w:lang w:val="en-US" w:eastAsia="zh-CN"/>
              </w:rPr>
              <w:t>3-5</w:t>
            </w:r>
            <w:r>
              <w:rPr>
                <w:color w:val="auto"/>
                <w:spacing w:val="-5"/>
                <w:sz w:val="21"/>
                <w:szCs w:val="21"/>
                <w:highlight w:val="none"/>
                <w:u w:val="single" w:color="auto"/>
              </w:rPr>
              <w:t xml:space="preserve"> </w:t>
            </w:r>
            <w:r>
              <w:rPr>
                <w:color w:val="auto"/>
                <w:spacing w:val="-90"/>
                <w:sz w:val="21"/>
                <w:szCs w:val="21"/>
                <w:highlight w:val="none"/>
              </w:rPr>
              <w:t xml:space="preserve"> </w:t>
            </w:r>
            <w:r>
              <w:rPr>
                <w:color w:val="auto"/>
                <w:spacing w:val="-5"/>
                <w:sz w:val="21"/>
                <w:szCs w:val="21"/>
                <w:highlight w:val="none"/>
              </w:rPr>
              <w:t>名中标候选人。（评定分离推荐</w:t>
            </w:r>
            <w:r>
              <w:rPr>
                <w:rFonts w:ascii="Times New Roman" w:hAnsi="Times New Roman" w:eastAsia="Times New Roman" w:cs="Times New Roman"/>
                <w:color w:val="auto"/>
                <w:spacing w:val="-5"/>
                <w:sz w:val="21"/>
                <w:szCs w:val="21"/>
                <w:highlight w:val="none"/>
              </w:rPr>
              <w:t>3~5</w:t>
            </w:r>
            <w:r>
              <w:rPr>
                <w:color w:val="auto"/>
                <w:spacing w:val="-5"/>
                <w:sz w:val="21"/>
                <w:szCs w:val="21"/>
                <w:highlight w:val="none"/>
              </w:rPr>
              <w:t>名，</w:t>
            </w:r>
            <w:r>
              <w:rPr>
                <w:color w:val="auto"/>
                <w:sz w:val="21"/>
                <w:szCs w:val="21"/>
                <w:highlight w:val="none"/>
              </w:rPr>
              <w:t xml:space="preserve"> </w:t>
            </w:r>
            <w:r>
              <w:rPr>
                <w:color w:val="auto"/>
                <w:spacing w:val="-2"/>
                <w:sz w:val="21"/>
                <w:szCs w:val="21"/>
                <w:highlight w:val="none"/>
              </w:rPr>
              <w:t>不排名次；其余不超过</w:t>
            </w:r>
            <w:r>
              <w:rPr>
                <w:rFonts w:ascii="Times New Roman" w:hAnsi="Times New Roman" w:eastAsia="Times New Roman" w:cs="Times New Roman"/>
                <w:color w:val="auto"/>
                <w:spacing w:val="-2"/>
                <w:sz w:val="21"/>
                <w:szCs w:val="21"/>
                <w:highlight w:val="none"/>
              </w:rPr>
              <w:t>3</w:t>
            </w:r>
            <w:r>
              <w:rPr>
                <w:color w:val="auto"/>
                <w:spacing w:val="-2"/>
                <w:sz w:val="21"/>
                <w:szCs w:val="21"/>
                <w:highlight w:val="none"/>
              </w:rPr>
              <w:t>名）</w:t>
            </w:r>
          </w:p>
        </w:tc>
      </w:tr>
    </w:tbl>
    <w:p w14:paraId="1F9CAC3C">
      <w:pPr>
        <w:spacing w:line="89" w:lineRule="auto"/>
        <w:rPr>
          <w:rFonts w:ascii="Arial"/>
          <w:color w:val="auto"/>
          <w:sz w:val="2"/>
          <w:highlight w:val="none"/>
        </w:rPr>
      </w:pPr>
    </w:p>
    <w:tbl>
      <w:tblPr>
        <w:tblStyle w:val="16"/>
        <w:tblW w:w="8902"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305"/>
        <w:gridCol w:w="5645"/>
      </w:tblGrid>
      <w:tr w14:paraId="5FDFF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952" w:type="dxa"/>
            <w:tcBorders>
              <w:left w:val="single" w:color="000000" w:sz="6" w:space="0"/>
            </w:tcBorders>
            <w:vAlign w:val="top"/>
          </w:tcPr>
          <w:p w14:paraId="5F70BAC0">
            <w:pPr>
              <w:spacing w:line="413" w:lineRule="auto"/>
              <w:rPr>
                <w:rFonts w:ascii="Arial"/>
                <w:color w:val="auto"/>
                <w:sz w:val="21"/>
                <w:highlight w:val="none"/>
              </w:rPr>
            </w:pPr>
          </w:p>
          <w:p w14:paraId="12C1A68D">
            <w:pPr>
              <w:spacing w:before="61" w:line="188" w:lineRule="auto"/>
              <w:ind w:left="34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6.4</w:t>
            </w:r>
          </w:p>
        </w:tc>
        <w:tc>
          <w:tcPr>
            <w:tcW w:w="2305" w:type="dxa"/>
            <w:vAlign w:val="top"/>
          </w:tcPr>
          <w:p w14:paraId="130932C6">
            <w:pPr>
              <w:spacing w:line="369" w:lineRule="auto"/>
              <w:rPr>
                <w:rFonts w:ascii="Arial"/>
                <w:color w:val="auto"/>
                <w:sz w:val="21"/>
                <w:highlight w:val="none"/>
              </w:rPr>
            </w:pPr>
          </w:p>
          <w:p w14:paraId="0AD3E963">
            <w:pPr>
              <w:pStyle w:val="17"/>
              <w:spacing w:before="68" w:line="219" w:lineRule="auto"/>
              <w:ind w:left="127"/>
              <w:rPr>
                <w:color w:val="auto"/>
                <w:sz w:val="21"/>
                <w:szCs w:val="21"/>
                <w:highlight w:val="none"/>
              </w:rPr>
            </w:pPr>
            <w:r>
              <w:rPr>
                <w:color w:val="auto"/>
                <w:spacing w:val="-3"/>
                <w:sz w:val="21"/>
                <w:szCs w:val="21"/>
                <w:highlight w:val="none"/>
              </w:rPr>
              <w:t>中标候选人公示媒介</w:t>
            </w:r>
          </w:p>
        </w:tc>
        <w:tc>
          <w:tcPr>
            <w:tcW w:w="5645" w:type="dxa"/>
            <w:tcBorders>
              <w:right w:val="single" w:color="000000" w:sz="6" w:space="0"/>
            </w:tcBorders>
            <w:vAlign w:val="top"/>
          </w:tcPr>
          <w:p w14:paraId="6A27980B">
            <w:pPr>
              <w:pStyle w:val="17"/>
              <w:tabs>
                <w:tab w:val="left" w:pos="2727"/>
              </w:tabs>
              <w:spacing w:before="31" w:line="218" w:lineRule="auto"/>
              <w:ind w:left="209"/>
              <w:rPr>
                <w:color w:val="auto"/>
                <w:sz w:val="21"/>
                <w:szCs w:val="21"/>
                <w:highlight w:val="none"/>
              </w:rPr>
            </w:pPr>
            <w:r>
              <w:rPr>
                <w:rFonts w:ascii="Times New Roman" w:hAnsi="Times New Roman" w:cs="Times New Roman"/>
                <w:color w:val="auto"/>
                <w:sz w:val="21"/>
                <w:szCs w:val="21"/>
                <w:highlight w:val="none"/>
                <w:u w:val="single"/>
                <w:lang w:eastAsia="zh-CN"/>
              </w:rPr>
              <w:t>绍兴市越城区人民政府网</w:t>
            </w:r>
            <w:r>
              <w:rPr>
                <w:color w:val="auto"/>
                <w:spacing w:val="-2"/>
                <w:sz w:val="21"/>
                <w:szCs w:val="21"/>
                <w:highlight w:val="none"/>
              </w:rPr>
              <w:t>（发布公告的媒介名称）</w:t>
            </w:r>
          </w:p>
          <w:p w14:paraId="7FCE6171">
            <w:pPr>
              <w:pStyle w:val="17"/>
              <w:spacing w:before="25" w:line="239" w:lineRule="auto"/>
              <w:ind w:left="113" w:right="223" w:firstLine="5"/>
              <w:rPr>
                <w:color w:val="auto"/>
                <w:sz w:val="21"/>
                <w:szCs w:val="21"/>
                <w:highlight w:val="none"/>
              </w:rPr>
            </w:pPr>
            <w:r>
              <w:rPr>
                <w:color w:val="auto"/>
                <w:sz w:val="21"/>
                <w:szCs w:val="21"/>
                <w:highlight w:val="none"/>
              </w:rPr>
              <w:t>公示期限：不少于</w:t>
            </w:r>
            <w:r>
              <w:rPr>
                <w:rFonts w:ascii="Times New Roman" w:hAnsi="Times New Roman" w:eastAsia="Times New Roman" w:cs="Times New Roman"/>
                <w:b/>
                <w:bCs/>
                <w:color w:val="auto"/>
                <w:sz w:val="21"/>
                <w:szCs w:val="21"/>
                <w:highlight w:val="none"/>
              </w:rPr>
              <w:t>3</w:t>
            </w:r>
            <w:r>
              <w:rPr>
                <w:color w:val="auto"/>
                <w:sz w:val="21"/>
                <w:szCs w:val="21"/>
                <w:highlight w:val="none"/>
              </w:rPr>
              <w:t>日。如遇国家法定休假日，应顺延至</w:t>
            </w:r>
            <w:r>
              <w:rPr>
                <w:color w:val="auto"/>
                <w:spacing w:val="7"/>
                <w:sz w:val="21"/>
                <w:szCs w:val="21"/>
                <w:highlight w:val="none"/>
              </w:rPr>
              <w:t xml:space="preserve"> </w:t>
            </w:r>
            <w:r>
              <w:rPr>
                <w:color w:val="auto"/>
                <w:spacing w:val="-3"/>
                <w:sz w:val="21"/>
                <w:szCs w:val="21"/>
                <w:highlight w:val="none"/>
              </w:rPr>
              <w:t>法定休假日后第一个工作日。</w:t>
            </w:r>
          </w:p>
          <w:p w14:paraId="463EBE67">
            <w:pPr>
              <w:pStyle w:val="17"/>
              <w:spacing w:line="206" w:lineRule="auto"/>
              <w:ind w:left="112"/>
              <w:rPr>
                <w:color w:val="auto"/>
                <w:sz w:val="21"/>
                <w:szCs w:val="21"/>
                <w:highlight w:val="none"/>
              </w:rPr>
            </w:pPr>
            <w:r>
              <w:rPr>
                <w:color w:val="auto"/>
                <w:spacing w:val="-2"/>
                <w:sz w:val="21"/>
                <w:szCs w:val="21"/>
                <w:highlight w:val="none"/>
              </w:rPr>
              <w:t>注：项目有业绩要求的应公示中标候选人业绩。</w:t>
            </w:r>
          </w:p>
        </w:tc>
      </w:tr>
      <w:tr w14:paraId="6E201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52" w:type="dxa"/>
            <w:tcBorders>
              <w:left w:val="single" w:color="000000" w:sz="6" w:space="0"/>
            </w:tcBorders>
            <w:vAlign w:val="top"/>
          </w:tcPr>
          <w:p w14:paraId="564DD4BB">
            <w:pPr>
              <w:spacing w:before="274" w:line="188" w:lineRule="auto"/>
              <w:ind w:left="26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7.1.1</w:t>
            </w:r>
          </w:p>
        </w:tc>
        <w:tc>
          <w:tcPr>
            <w:tcW w:w="2305" w:type="dxa"/>
            <w:vAlign w:val="top"/>
          </w:tcPr>
          <w:p w14:paraId="549A99F2">
            <w:pPr>
              <w:pStyle w:val="17"/>
              <w:spacing w:before="101" w:line="242" w:lineRule="auto"/>
              <w:ind w:left="112" w:right="239" w:hanging="1"/>
              <w:rPr>
                <w:color w:val="auto"/>
                <w:sz w:val="21"/>
                <w:szCs w:val="21"/>
                <w:highlight w:val="none"/>
              </w:rPr>
            </w:pPr>
            <w:r>
              <w:rPr>
                <w:color w:val="auto"/>
                <w:spacing w:val="-2"/>
                <w:sz w:val="21"/>
                <w:szCs w:val="21"/>
                <w:highlight w:val="none"/>
              </w:rPr>
              <w:t>是否授权评标委员会确</w:t>
            </w:r>
            <w:r>
              <w:rPr>
                <w:color w:val="auto"/>
                <w:spacing w:val="-3"/>
                <w:sz w:val="21"/>
                <w:szCs w:val="21"/>
                <w:highlight w:val="none"/>
              </w:rPr>
              <w:t>定中标人</w:t>
            </w:r>
          </w:p>
        </w:tc>
        <w:tc>
          <w:tcPr>
            <w:tcW w:w="5645" w:type="dxa"/>
            <w:tcBorders>
              <w:right w:val="single" w:color="000000" w:sz="6" w:space="0"/>
            </w:tcBorders>
            <w:vAlign w:val="top"/>
          </w:tcPr>
          <w:p w14:paraId="7A18F16A">
            <w:pPr>
              <w:pStyle w:val="17"/>
              <w:spacing w:before="101" w:line="219" w:lineRule="auto"/>
              <w:ind w:left="115"/>
              <w:rPr>
                <w:color w:val="auto"/>
                <w:sz w:val="21"/>
                <w:szCs w:val="21"/>
                <w:highlight w:val="none"/>
              </w:rPr>
            </w:pPr>
            <w:r>
              <w:rPr>
                <w:color w:val="auto"/>
                <w:spacing w:val="-3"/>
                <w:sz w:val="21"/>
                <w:szCs w:val="21"/>
                <w:highlight w:val="none"/>
              </w:rPr>
              <w:t xml:space="preserve">是否授权评标委员会确定中标人  </w:t>
            </w:r>
            <w:r>
              <w:rPr>
                <w:b/>
                <w:bCs/>
                <w:color w:val="auto"/>
                <w:spacing w:val="-3"/>
                <w:sz w:val="21"/>
                <w:szCs w:val="21"/>
                <w:highlight w:val="none"/>
              </w:rPr>
              <w:t>□</w:t>
            </w:r>
            <w:r>
              <w:rPr>
                <w:color w:val="auto"/>
                <w:spacing w:val="-3"/>
                <w:sz w:val="21"/>
                <w:szCs w:val="21"/>
                <w:highlight w:val="none"/>
              </w:rPr>
              <w:t>是</w:t>
            </w:r>
            <w:r>
              <w:rPr>
                <w:color w:val="auto"/>
                <w:spacing w:val="46"/>
                <w:sz w:val="21"/>
                <w:szCs w:val="21"/>
                <w:highlight w:val="none"/>
              </w:rPr>
              <w:t xml:space="preserve"> </w:t>
            </w:r>
            <w:r>
              <w:rPr>
                <w:rFonts w:hint="eastAsia"/>
                <w:b/>
                <w:bCs/>
                <w:color w:val="auto"/>
                <w:spacing w:val="-3"/>
                <w:sz w:val="21"/>
                <w:szCs w:val="21"/>
                <w:highlight w:val="none"/>
                <w:lang w:eastAsia="zh-CN"/>
              </w:rPr>
              <w:t>☑</w:t>
            </w:r>
            <w:r>
              <w:rPr>
                <w:color w:val="auto"/>
                <w:spacing w:val="-3"/>
                <w:sz w:val="21"/>
                <w:szCs w:val="21"/>
                <w:highlight w:val="none"/>
              </w:rPr>
              <w:t>否</w:t>
            </w:r>
          </w:p>
          <w:p w14:paraId="64E8DC36">
            <w:pPr>
              <w:pStyle w:val="17"/>
              <w:spacing w:before="23" w:line="220" w:lineRule="auto"/>
              <w:ind w:left="115"/>
              <w:rPr>
                <w:color w:val="auto"/>
                <w:sz w:val="21"/>
                <w:szCs w:val="21"/>
                <w:highlight w:val="none"/>
              </w:rPr>
            </w:pPr>
            <w:r>
              <w:rPr>
                <w:color w:val="auto"/>
                <w:spacing w:val="-6"/>
                <w:sz w:val="21"/>
                <w:szCs w:val="21"/>
                <w:highlight w:val="none"/>
              </w:rPr>
              <w:t>是否评定分离</w:t>
            </w:r>
            <w:r>
              <w:rPr>
                <w:color w:val="auto"/>
                <w:spacing w:val="1"/>
                <w:sz w:val="21"/>
                <w:szCs w:val="21"/>
                <w:highlight w:val="none"/>
              </w:rPr>
              <w:t xml:space="preserve">                  </w:t>
            </w:r>
            <w:r>
              <w:rPr>
                <w:rFonts w:hint="eastAsia"/>
                <w:color w:val="auto"/>
                <w:spacing w:val="-6"/>
                <w:sz w:val="21"/>
                <w:szCs w:val="21"/>
                <w:highlight w:val="none"/>
                <w:lang w:eastAsia="zh-CN"/>
              </w:rPr>
              <w:t>☑</w:t>
            </w:r>
            <w:r>
              <w:rPr>
                <w:color w:val="auto"/>
                <w:spacing w:val="-6"/>
                <w:sz w:val="21"/>
                <w:szCs w:val="21"/>
                <w:highlight w:val="none"/>
              </w:rPr>
              <w:t>是</w:t>
            </w:r>
            <w:r>
              <w:rPr>
                <w:color w:val="auto"/>
                <w:spacing w:val="43"/>
                <w:sz w:val="21"/>
                <w:szCs w:val="21"/>
                <w:highlight w:val="none"/>
              </w:rPr>
              <w:t xml:space="preserve"> </w:t>
            </w:r>
            <w:r>
              <w:rPr>
                <w:color w:val="auto"/>
                <w:spacing w:val="-6"/>
                <w:sz w:val="21"/>
                <w:szCs w:val="21"/>
                <w:highlight w:val="none"/>
              </w:rPr>
              <w:t>□否</w:t>
            </w:r>
          </w:p>
        </w:tc>
      </w:tr>
      <w:tr w14:paraId="1A4C9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65" w:hRule="atLeast"/>
        </w:trPr>
        <w:tc>
          <w:tcPr>
            <w:tcW w:w="952" w:type="dxa"/>
            <w:tcBorders>
              <w:left w:val="single" w:color="000000" w:sz="6" w:space="0"/>
            </w:tcBorders>
            <w:vAlign w:val="top"/>
          </w:tcPr>
          <w:p w14:paraId="50FFCD7A">
            <w:pPr>
              <w:spacing w:line="247" w:lineRule="auto"/>
              <w:rPr>
                <w:rFonts w:ascii="Arial"/>
                <w:color w:val="auto"/>
                <w:sz w:val="21"/>
                <w:highlight w:val="none"/>
              </w:rPr>
            </w:pPr>
          </w:p>
          <w:p w14:paraId="6E122E44">
            <w:pPr>
              <w:spacing w:line="247" w:lineRule="auto"/>
              <w:rPr>
                <w:rFonts w:ascii="Arial"/>
                <w:color w:val="auto"/>
                <w:sz w:val="21"/>
                <w:highlight w:val="none"/>
              </w:rPr>
            </w:pPr>
          </w:p>
          <w:p w14:paraId="66AF1270">
            <w:pPr>
              <w:spacing w:line="248" w:lineRule="auto"/>
              <w:rPr>
                <w:rFonts w:ascii="Arial"/>
                <w:color w:val="auto"/>
                <w:sz w:val="21"/>
                <w:highlight w:val="none"/>
              </w:rPr>
            </w:pPr>
          </w:p>
          <w:p w14:paraId="6C09FA0F">
            <w:pPr>
              <w:spacing w:line="248" w:lineRule="auto"/>
              <w:rPr>
                <w:rFonts w:ascii="Arial"/>
                <w:color w:val="auto"/>
                <w:sz w:val="21"/>
                <w:highlight w:val="none"/>
              </w:rPr>
            </w:pPr>
          </w:p>
          <w:p w14:paraId="3D1E4CC9">
            <w:pPr>
              <w:spacing w:line="248" w:lineRule="auto"/>
              <w:rPr>
                <w:rFonts w:ascii="Arial"/>
                <w:color w:val="auto"/>
                <w:sz w:val="21"/>
                <w:highlight w:val="none"/>
              </w:rPr>
            </w:pPr>
          </w:p>
          <w:p w14:paraId="28DC1F3D">
            <w:pPr>
              <w:spacing w:line="248" w:lineRule="auto"/>
              <w:rPr>
                <w:rFonts w:ascii="Arial"/>
                <w:color w:val="auto"/>
                <w:sz w:val="21"/>
                <w:highlight w:val="none"/>
              </w:rPr>
            </w:pPr>
          </w:p>
          <w:p w14:paraId="23A03288">
            <w:pPr>
              <w:spacing w:line="248" w:lineRule="auto"/>
              <w:rPr>
                <w:rFonts w:ascii="Arial"/>
                <w:color w:val="auto"/>
                <w:sz w:val="21"/>
                <w:highlight w:val="none"/>
              </w:rPr>
            </w:pPr>
          </w:p>
          <w:p w14:paraId="0F550B31">
            <w:pPr>
              <w:spacing w:line="248" w:lineRule="auto"/>
              <w:rPr>
                <w:rFonts w:ascii="Arial"/>
                <w:color w:val="auto"/>
                <w:sz w:val="21"/>
                <w:highlight w:val="none"/>
              </w:rPr>
            </w:pPr>
          </w:p>
          <w:p w14:paraId="38BC436D">
            <w:pPr>
              <w:spacing w:line="248" w:lineRule="auto"/>
              <w:rPr>
                <w:rFonts w:ascii="Arial"/>
                <w:color w:val="auto"/>
                <w:sz w:val="21"/>
                <w:highlight w:val="none"/>
              </w:rPr>
            </w:pPr>
          </w:p>
          <w:p w14:paraId="0773BFF9">
            <w:pPr>
              <w:spacing w:line="248" w:lineRule="auto"/>
              <w:rPr>
                <w:rFonts w:ascii="Arial"/>
                <w:color w:val="auto"/>
                <w:sz w:val="21"/>
                <w:highlight w:val="none"/>
              </w:rPr>
            </w:pPr>
          </w:p>
          <w:p w14:paraId="2B077E3E">
            <w:pPr>
              <w:spacing w:line="248" w:lineRule="auto"/>
              <w:rPr>
                <w:rFonts w:ascii="Arial"/>
                <w:color w:val="auto"/>
                <w:sz w:val="21"/>
                <w:highlight w:val="none"/>
              </w:rPr>
            </w:pPr>
          </w:p>
          <w:p w14:paraId="0601F9BE">
            <w:pPr>
              <w:spacing w:line="248" w:lineRule="auto"/>
              <w:rPr>
                <w:rFonts w:ascii="Arial"/>
                <w:color w:val="auto"/>
                <w:sz w:val="21"/>
                <w:highlight w:val="none"/>
              </w:rPr>
            </w:pPr>
          </w:p>
          <w:p w14:paraId="6D2FD5A5">
            <w:pPr>
              <w:spacing w:line="248" w:lineRule="auto"/>
              <w:rPr>
                <w:rFonts w:ascii="Arial"/>
                <w:color w:val="auto"/>
                <w:sz w:val="21"/>
                <w:highlight w:val="none"/>
              </w:rPr>
            </w:pPr>
          </w:p>
          <w:p w14:paraId="5EEC85F8">
            <w:pPr>
              <w:spacing w:line="248" w:lineRule="auto"/>
              <w:rPr>
                <w:rFonts w:ascii="Arial"/>
                <w:color w:val="auto"/>
                <w:sz w:val="21"/>
                <w:highlight w:val="none"/>
              </w:rPr>
            </w:pPr>
          </w:p>
          <w:p w14:paraId="5EC964E8">
            <w:pPr>
              <w:spacing w:line="248" w:lineRule="auto"/>
              <w:rPr>
                <w:rFonts w:ascii="Arial"/>
                <w:color w:val="auto"/>
                <w:sz w:val="21"/>
                <w:highlight w:val="none"/>
              </w:rPr>
            </w:pPr>
          </w:p>
          <w:p w14:paraId="42F80CA0">
            <w:pPr>
              <w:spacing w:line="248" w:lineRule="auto"/>
              <w:rPr>
                <w:rFonts w:ascii="Arial"/>
                <w:color w:val="auto"/>
                <w:sz w:val="21"/>
                <w:highlight w:val="none"/>
              </w:rPr>
            </w:pPr>
          </w:p>
          <w:p w14:paraId="6A439C49">
            <w:pPr>
              <w:spacing w:line="248" w:lineRule="auto"/>
              <w:rPr>
                <w:rFonts w:ascii="Arial"/>
                <w:color w:val="auto"/>
                <w:sz w:val="21"/>
                <w:highlight w:val="none"/>
              </w:rPr>
            </w:pPr>
          </w:p>
          <w:p w14:paraId="20EDD5AD">
            <w:pPr>
              <w:spacing w:before="69" w:line="188" w:lineRule="auto"/>
              <w:ind w:left="23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
                <w:sz w:val="24"/>
                <w:szCs w:val="24"/>
                <w:highlight w:val="none"/>
              </w:rPr>
              <w:t>7.1.8</w:t>
            </w:r>
          </w:p>
        </w:tc>
        <w:tc>
          <w:tcPr>
            <w:tcW w:w="2305" w:type="dxa"/>
            <w:vAlign w:val="top"/>
          </w:tcPr>
          <w:p w14:paraId="7707ADE5">
            <w:pPr>
              <w:spacing w:line="257" w:lineRule="auto"/>
              <w:rPr>
                <w:rFonts w:ascii="Arial"/>
                <w:color w:val="auto"/>
                <w:sz w:val="21"/>
                <w:highlight w:val="none"/>
              </w:rPr>
            </w:pPr>
          </w:p>
          <w:p w14:paraId="14BFD189">
            <w:pPr>
              <w:pStyle w:val="17"/>
              <w:spacing w:before="68" w:line="219" w:lineRule="auto"/>
              <w:ind w:left="113"/>
              <w:rPr>
                <w:color w:val="auto"/>
                <w:sz w:val="21"/>
                <w:szCs w:val="21"/>
                <w:highlight w:val="none"/>
              </w:rPr>
            </w:pPr>
            <w:r>
              <w:rPr>
                <w:color w:val="auto"/>
                <w:spacing w:val="-2"/>
                <w:sz w:val="21"/>
                <w:szCs w:val="21"/>
                <w:highlight w:val="none"/>
              </w:rPr>
              <w:t>定标委员会组建</w:t>
            </w:r>
          </w:p>
          <w:p w14:paraId="47ED914F">
            <w:pPr>
              <w:rPr>
                <w:rFonts w:ascii="Arial"/>
                <w:color w:val="auto"/>
                <w:sz w:val="21"/>
                <w:highlight w:val="none"/>
              </w:rPr>
            </w:pPr>
          </w:p>
          <w:p w14:paraId="1E4DF464">
            <w:pPr>
              <w:pStyle w:val="17"/>
              <w:spacing w:before="68" w:line="219" w:lineRule="auto"/>
              <w:ind w:left="113"/>
              <w:rPr>
                <w:color w:val="auto"/>
                <w:sz w:val="21"/>
                <w:szCs w:val="21"/>
                <w:highlight w:val="none"/>
              </w:rPr>
            </w:pPr>
            <w:r>
              <w:rPr>
                <w:color w:val="auto"/>
                <w:spacing w:val="-2"/>
                <w:sz w:val="21"/>
                <w:szCs w:val="21"/>
                <w:highlight w:val="none"/>
              </w:rPr>
              <w:t>定标会议地点和时间</w:t>
            </w:r>
          </w:p>
          <w:p w14:paraId="30065DE6">
            <w:pPr>
              <w:spacing w:line="269" w:lineRule="auto"/>
              <w:rPr>
                <w:rFonts w:ascii="Arial"/>
                <w:color w:val="auto"/>
                <w:sz w:val="21"/>
                <w:highlight w:val="none"/>
              </w:rPr>
            </w:pPr>
          </w:p>
          <w:p w14:paraId="5B6140F6">
            <w:pPr>
              <w:spacing w:line="269" w:lineRule="auto"/>
              <w:rPr>
                <w:rFonts w:ascii="Arial"/>
                <w:color w:val="auto"/>
                <w:sz w:val="21"/>
                <w:highlight w:val="none"/>
              </w:rPr>
            </w:pPr>
          </w:p>
          <w:p w14:paraId="51692BF0">
            <w:pPr>
              <w:spacing w:line="269" w:lineRule="auto"/>
              <w:rPr>
                <w:rFonts w:ascii="Arial"/>
                <w:color w:val="auto"/>
                <w:sz w:val="21"/>
                <w:highlight w:val="none"/>
              </w:rPr>
            </w:pPr>
          </w:p>
          <w:p w14:paraId="4A5105E6">
            <w:pPr>
              <w:spacing w:line="269" w:lineRule="auto"/>
              <w:rPr>
                <w:rFonts w:ascii="Arial"/>
                <w:color w:val="auto"/>
                <w:sz w:val="21"/>
                <w:highlight w:val="none"/>
              </w:rPr>
            </w:pPr>
          </w:p>
          <w:p w14:paraId="0953D331">
            <w:pPr>
              <w:pStyle w:val="17"/>
              <w:spacing w:before="68" w:line="220" w:lineRule="auto"/>
              <w:ind w:left="108"/>
              <w:rPr>
                <w:color w:val="auto"/>
                <w:sz w:val="21"/>
                <w:szCs w:val="21"/>
                <w:highlight w:val="none"/>
              </w:rPr>
            </w:pPr>
            <w:r>
              <w:rPr>
                <w:color w:val="auto"/>
                <w:spacing w:val="-2"/>
                <w:sz w:val="21"/>
                <w:szCs w:val="21"/>
                <w:highlight w:val="none"/>
              </w:rPr>
              <w:t>考察、质询</w:t>
            </w:r>
          </w:p>
          <w:p w14:paraId="4807CB87">
            <w:pPr>
              <w:spacing w:line="265" w:lineRule="auto"/>
              <w:rPr>
                <w:rFonts w:ascii="Arial"/>
                <w:color w:val="auto"/>
                <w:sz w:val="21"/>
                <w:highlight w:val="none"/>
              </w:rPr>
            </w:pPr>
          </w:p>
          <w:p w14:paraId="15245449">
            <w:pPr>
              <w:spacing w:line="265" w:lineRule="auto"/>
              <w:rPr>
                <w:rFonts w:ascii="Arial"/>
                <w:color w:val="auto"/>
                <w:sz w:val="21"/>
                <w:highlight w:val="none"/>
              </w:rPr>
            </w:pPr>
          </w:p>
          <w:p w14:paraId="4BC8E467">
            <w:pPr>
              <w:spacing w:line="266" w:lineRule="auto"/>
              <w:rPr>
                <w:rFonts w:ascii="Arial"/>
                <w:color w:val="auto"/>
                <w:sz w:val="21"/>
                <w:highlight w:val="none"/>
              </w:rPr>
            </w:pPr>
          </w:p>
          <w:p w14:paraId="23BABAFD">
            <w:pPr>
              <w:pStyle w:val="17"/>
              <w:spacing w:before="69" w:line="220" w:lineRule="auto"/>
              <w:ind w:left="113"/>
              <w:rPr>
                <w:color w:val="auto"/>
                <w:sz w:val="21"/>
                <w:szCs w:val="21"/>
                <w:highlight w:val="none"/>
              </w:rPr>
            </w:pPr>
            <w:r>
              <w:rPr>
                <w:color w:val="auto"/>
                <w:spacing w:val="-2"/>
                <w:sz w:val="21"/>
                <w:szCs w:val="21"/>
                <w:highlight w:val="none"/>
              </w:rPr>
              <w:t>定标现场面试</w:t>
            </w:r>
          </w:p>
          <w:p w14:paraId="41EFC87A">
            <w:pPr>
              <w:spacing w:line="258" w:lineRule="auto"/>
              <w:rPr>
                <w:rFonts w:ascii="Arial"/>
                <w:color w:val="auto"/>
                <w:sz w:val="21"/>
                <w:highlight w:val="none"/>
              </w:rPr>
            </w:pPr>
          </w:p>
          <w:p w14:paraId="54206E33">
            <w:pPr>
              <w:spacing w:line="259" w:lineRule="auto"/>
              <w:rPr>
                <w:rFonts w:ascii="Arial"/>
                <w:color w:val="auto"/>
                <w:sz w:val="21"/>
                <w:highlight w:val="none"/>
              </w:rPr>
            </w:pPr>
          </w:p>
          <w:p w14:paraId="32E5977B">
            <w:pPr>
              <w:pStyle w:val="17"/>
              <w:spacing w:before="68" w:line="220" w:lineRule="auto"/>
              <w:ind w:left="113"/>
              <w:rPr>
                <w:color w:val="auto"/>
                <w:sz w:val="21"/>
                <w:szCs w:val="21"/>
                <w:highlight w:val="none"/>
              </w:rPr>
            </w:pPr>
            <w:r>
              <w:rPr>
                <w:color w:val="auto"/>
                <w:spacing w:val="-2"/>
                <w:sz w:val="21"/>
                <w:szCs w:val="21"/>
                <w:highlight w:val="none"/>
              </w:rPr>
              <w:t>定标要素及具体内容</w:t>
            </w:r>
          </w:p>
          <w:p w14:paraId="2DF4536D">
            <w:pPr>
              <w:spacing w:line="272" w:lineRule="auto"/>
              <w:rPr>
                <w:rFonts w:ascii="Arial"/>
                <w:color w:val="auto"/>
                <w:sz w:val="21"/>
                <w:highlight w:val="none"/>
              </w:rPr>
            </w:pPr>
          </w:p>
          <w:p w14:paraId="300F06CE">
            <w:pPr>
              <w:spacing w:line="272" w:lineRule="auto"/>
              <w:rPr>
                <w:rFonts w:ascii="Arial"/>
                <w:color w:val="auto"/>
                <w:sz w:val="21"/>
                <w:highlight w:val="none"/>
              </w:rPr>
            </w:pPr>
          </w:p>
          <w:p w14:paraId="7EBE960F">
            <w:pPr>
              <w:spacing w:line="272" w:lineRule="auto"/>
              <w:rPr>
                <w:rFonts w:ascii="Arial"/>
                <w:color w:val="auto"/>
                <w:sz w:val="21"/>
                <w:highlight w:val="none"/>
              </w:rPr>
            </w:pPr>
          </w:p>
          <w:p w14:paraId="7CB96575">
            <w:pPr>
              <w:spacing w:line="272" w:lineRule="auto"/>
              <w:rPr>
                <w:rFonts w:ascii="Arial"/>
                <w:color w:val="auto"/>
                <w:sz w:val="21"/>
                <w:highlight w:val="none"/>
              </w:rPr>
            </w:pPr>
          </w:p>
          <w:p w14:paraId="79ACE28B">
            <w:pPr>
              <w:spacing w:line="272" w:lineRule="auto"/>
              <w:rPr>
                <w:rFonts w:ascii="Arial"/>
                <w:color w:val="auto"/>
                <w:sz w:val="21"/>
                <w:highlight w:val="none"/>
              </w:rPr>
            </w:pPr>
          </w:p>
          <w:p w14:paraId="48A3C244">
            <w:pPr>
              <w:spacing w:line="273" w:lineRule="auto"/>
              <w:rPr>
                <w:rFonts w:ascii="Arial"/>
                <w:color w:val="auto"/>
                <w:sz w:val="21"/>
                <w:highlight w:val="none"/>
              </w:rPr>
            </w:pPr>
          </w:p>
          <w:p w14:paraId="34829613">
            <w:pPr>
              <w:pStyle w:val="17"/>
              <w:spacing w:before="69" w:line="220" w:lineRule="auto"/>
              <w:ind w:left="113"/>
              <w:rPr>
                <w:color w:val="auto"/>
                <w:sz w:val="21"/>
                <w:szCs w:val="21"/>
                <w:highlight w:val="none"/>
              </w:rPr>
            </w:pPr>
            <w:r>
              <w:rPr>
                <w:color w:val="auto"/>
                <w:spacing w:val="-3"/>
                <w:sz w:val="21"/>
                <w:szCs w:val="21"/>
                <w:highlight w:val="none"/>
              </w:rPr>
              <w:t>定标方法</w:t>
            </w:r>
          </w:p>
        </w:tc>
        <w:tc>
          <w:tcPr>
            <w:tcW w:w="5645" w:type="dxa"/>
            <w:tcBorders>
              <w:right w:val="single" w:color="000000" w:sz="6" w:space="0"/>
            </w:tcBorders>
            <w:vAlign w:val="top"/>
          </w:tcPr>
          <w:p w14:paraId="19C3E563">
            <w:pPr>
              <w:spacing w:line="255" w:lineRule="auto"/>
              <w:rPr>
                <w:rFonts w:ascii="Arial"/>
                <w:color w:val="auto"/>
                <w:sz w:val="21"/>
                <w:highlight w:val="none"/>
              </w:rPr>
            </w:pPr>
          </w:p>
          <w:p w14:paraId="567D821E">
            <w:pPr>
              <w:pStyle w:val="17"/>
              <w:spacing w:before="71" w:line="211" w:lineRule="auto"/>
              <w:ind w:left="117"/>
              <w:rPr>
                <w:color w:val="auto"/>
                <w:sz w:val="21"/>
                <w:szCs w:val="21"/>
                <w:highlight w:val="none"/>
              </w:rPr>
            </w:pPr>
            <w:r>
              <w:rPr>
                <w:color w:val="auto"/>
                <w:spacing w:val="-3"/>
                <w:sz w:val="21"/>
                <w:szCs w:val="21"/>
                <w:highlight w:val="none"/>
              </w:rPr>
              <w:t xml:space="preserve">定标委员会由 </w:t>
            </w:r>
            <w:r>
              <w:rPr>
                <w:color w:val="auto"/>
                <w:spacing w:val="-3"/>
                <w:sz w:val="21"/>
                <w:szCs w:val="21"/>
                <w:highlight w:val="none"/>
                <w:u w:val="single" w:color="auto"/>
              </w:rPr>
              <w:t xml:space="preserve"> </w:t>
            </w:r>
            <w:r>
              <w:rPr>
                <w:rFonts w:hint="eastAsia"/>
                <w:color w:val="auto"/>
                <w:spacing w:val="-3"/>
                <w:sz w:val="21"/>
                <w:szCs w:val="21"/>
                <w:highlight w:val="none"/>
                <w:u w:val="single" w:color="auto"/>
                <w:lang w:val="en-US" w:eastAsia="zh-CN"/>
              </w:rPr>
              <w:t>5</w:t>
            </w:r>
            <w:r>
              <w:rPr>
                <w:color w:val="auto"/>
                <w:spacing w:val="-3"/>
                <w:sz w:val="21"/>
                <w:szCs w:val="21"/>
                <w:highlight w:val="none"/>
                <w:u w:val="single" w:color="auto"/>
              </w:rPr>
              <w:t xml:space="preserve"> </w:t>
            </w:r>
            <w:r>
              <w:rPr>
                <w:color w:val="auto"/>
                <w:spacing w:val="-84"/>
                <w:sz w:val="21"/>
                <w:szCs w:val="21"/>
                <w:highlight w:val="none"/>
              </w:rPr>
              <w:t xml:space="preserve"> </w:t>
            </w:r>
            <w:r>
              <w:rPr>
                <w:color w:val="auto"/>
                <w:spacing w:val="-3"/>
                <w:sz w:val="21"/>
                <w:szCs w:val="21"/>
                <w:highlight w:val="none"/>
              </w:rPr>
              <w:t>人</w:t>
            </w:r>
            <w:r>
              <w:rPr>
                <w:i/>
                <w:iCs/>
                <w:color w:val="auto"/>
                <w:spacing w:val="-3"/>
                <w:sz w:val="22"/>
                <w:szCs w:val="22"/>
                <w:highlight w:val="none"/>
              </w:rPr>
              <w:t>（</w:t>
            </w:r>
            <w:r>
              <w:rPr>
                <w:color w:val="auto"/>
                <w:spacing w:val="-3"/>
                <w:sz w:val="21"/>
                <w:szCs w:val="21"/>
                <w:highlight w:val="none"/>
              </w:rPr>
              <w:t>不少于</w:t>
            </w:r>
            <w:r>
              <w:rPr>
                <w:rFonts w:ascii="Times New Roman" w:hAnsi="Times New Roman" w:eastAsia="Times New Roman" w:cs="Times New Roman"/>
                <w:color w:val="auto"/>
                <w:spacing w:val="-3"/>
                <w:sz w:val="21"/>
                <w:szCs w:val="21"/>
                <w:highlight w:val="none"/>
              </w:rPr>
              <w:t>5</w:t>
            </w:r>
            <w:r>
              <w:rPr>
                <w:color w:val="auto"/>
                <w:spacing w:val="-3"/>
                <w:sz w:val="21"/>
                <w:szCs w:val="21"/>
                <w:highlight w:val="none"/>
              </w:rPr>
              <w:t>人）组成。</w:t>
            </w:r>
          </w:p>
          <w:p w14:paraId="1CD78C0E">
            <w:pPr>
              <w:pStyle w:val="17"/>
              <w:spacing w:before="307" w:line="220" w:lineRule="auto"/>
              <w:ind w:left="128"/>
              <w:rPr>
                <w:color w:val="auto"/>
                <w:sz w:val="21"/>
                <w:szCs w:val="21"/>
                <w:highlight w:val="none"/>
              </w:rPr>
            </w:pPr>
            <w:r>
              <w:rPr>
                <w:rFonts w:ascii="Times New Roman" w:hAnsi="Times New Roman" w:eastAsia="Times New Roman" w:cs="Times New Roman"/>
                <w:color w:val="auto"/>
                <w:spacing w:val="-5"/>
                <w:sz w:val="21"/>
                <w:szCs w:val="21"/>
                <w:highlight w:val="none"/>
              </w:rPr>
              <w:t>1.</w:t>
            </w:r>
            <w:r>
              <w:rPr>
                <w:rFonts w:ascii="Times New Roman" w:hAnsi="Times New Roman" w:eastAsia="Times New Roman" w:cs="Times New Roman"/>
                <w:color w:val="auto"/>
                <w:spacing w:val="7"/>
                <w:sz w:val="21"/>
                <w:szCs w:val="21"/>
                <w:highlight w:val="none"/>
              </w:rPr>
              <w:t xml:space="preserve">  </w:t>
            </w:r>
            <w:r>
              <w:rPr>
                <w:color w:val="auto"/>
                <w:spacing w:val="-5"/>
                <w:sz w:val="21"/>
                <w:szCs w:val="21"/>
                <w:highlight w:val="none"/>
              </w:rPr>
              <w:t>定标时间：</w:t>
            </w:r>
            <w:r>
              <w:rPr>
                <w:rFonts w:hint="eastAsia"/>
                <w:color w:val="auto"/>
                <w:spacing w:val="-5"/>
                <w:sz w:val="21"/>
                <w:szCs w:val="21"/>
                <w:highlight w:val="none"/>
                <w:u w:val="single" w:color="auto"/>
                <w:lang w:val="en-US" w:eastAsia="zh-CN"/>
              </w:rPr>
              <w:t xml:space="preserve"> 在中标候选人公示结束后确定</w:t>
            </w:r>
            <w:r>
              <w:rPr>
                <w:color w:val="auto"/>
                <w:sz w:val="21"/>
                <w:szCs w:val="21"/>
                <w:highlight w:val="none"/>
                <w:u w:val="single" w:color="auto"/>
              </w:rPr>
              <w:t xml:space="preserve"> </w:t>
            </w:r>
            <w:r>
              <w:rPr>
                <w:color w:val="auto"/>
                <w:spacing w:val="-5"/>
                <w:sz w:val="21"/>
                <w:szCs w:val="21"/>
                <w:highlight w:val="none"/>
              </w:rPr>
              <w:t>。</w:t>
            </w:r>
          </w:p>
          <w:p w14:paraId="4721881E">
            <w:pPr>
              <w:pStyle w:val="17"/>
              <w:spacing w:before="30" w:line="220" w:lineRule="auto"/>
              <w:ind w:left="108"/>
              <w:rPr>
                <w:color w:val="auto"/>
                <w:sz w:val="21"/>
                <w:szCs w:val="21"/>
                <w:highlight w:val="none"/>
              </w:rPr>
            </w:pPr>
            <w:r>
              <w:rPr>
                <w:rFonts w:ascii="Times New Roman" w:hAnsi="Times New Roman" w:eastAsia="Times New Roman" w:cs="Times New Roman"/>
                <w:color w:val="auto"/>
                <w:spacing w:val="-1"/>
                <w:sz w:val="21"/>
                <w:szCs w:val="21"/>
                <w:highlight w:val="none"/>
              </w:rPr>
              <w:t>2.</w:t>
            </w:r>
            <w:r>
              <w:rPr>
                <w:rFonts w:ascii="Times New Roman" w:hAnsi="Times New Roman" w:eastAsia="Times New Roman" w:cs="Times New Roman"/>
                <w:color w:val="auto"/>
                <w:spacing w:val="8"/>
                <w:sz w:val="21"/>
                <w:szCs w:val="21"/>
                <w:highlight w:val="none"/>
              </w:rPr>
              <w:t xml:space="preserve">  </w:t>
            </w:r>
            <w:r>
              <w:rPr>
                <w:color w:val="auto"/>
                <w:spacing w:val="-1"/>
                <w:sz w:val="21"/>
                <w:szCs w:val="21"/>
                <w:highlight w:val="none"/>
              </w:rPr>
              <w:t>定标地点：</w:t>
            </w:r>
            <w:r>
              <w:rPr>
                <w:color w:val="auto"/>
                <w:spacing w:val="-1"/>
                <w:sz w:val="21"/>
                <w:szCs w:val="21"/>
                <w:highlight w:val="none"/>
                <w:u w:val="single" w:color="auto"/>
              </w:rPr>
              <w:t xml:space="preserve"> </w:t>
            </w:r>
            <w:r>
              <w:rPr>
                <w:rFonts w:hint="eastAsia"/>
                <w:color w:val="auto"/>
                <w:spacing w:val="-5"/>
                <w:sz w:val="21"/>
                <w:szCs w:val="21"/>
                <w:highlight w:val="none"/>
                <w:u w:val="single" w:color="auto"/>
                <w:lang w:val="en-US" w:eastAsia="zh-CN"/>
              </w:rPr>
              <w:t>在中标候选人公示结束后确定</w:t>
            </w:r>
            <w:r>
              <w:rPr>
                <w:color w:val="auto"/>
                <w:spacing w:val="-1"/>
                <w:sz w:val="21"/>
                <w:szCs w:val="21"/>
                <w:highlight w:val="none"/>
                <w:u w:val="single" w:color="auto"/>
              </w:rPr>
              <w:t xml:space="preserve"> </w:t>
            </w:r>
            <w:r>
              <w:rPr>
                <w:color w:val="auto"/>
                <w:spacing w:val="-1"/>
                <w:sz w:val="21"/>
                <w:szCs w:val="21"/>
                <w:highlight w:val="none"/>
              </w:rPr>
              <w:t>。</w:t>
            </w:r>
          </w:p>
          <w:p w14:paraId="17FE1B03">
            <w:pPr>
              <w:pStyle w:val="17"/>
              <w:spacing w:before="29" w:line="237" w:lineRule="auto"/>
              <w:ind w:left="148" w:right="83" w:hanging="31"/>
              <w:rPr>
                <w:color w:val="auto"/>
                <w:sz w:val="21"/>
                <w:szCs w:val="21"/>
                <w:highlight w:val="none"/>
              </w:rPr>
            </w:pPr>
            <w:r>
              <w:rPr>
                <w:color w:val="auto"/>
                <w:spacing w:val="-14"/>
                <w:sz w:val="21"/>
                <w:szCs w:val="21"/>
                <w:highlight w:val="none"/>
              </w:rPr>
              <w:t xml:space="preserve">（ </w:t>
            </w:r>
            <w:r>
              <w:rPr>
                <w:i/>
                <w:iCs/>
                <w:color w:val="auto"/>
                <w:spacing w:val="-14"/>
                <w:sz w:val="22"/>
                <w:szCs w:val="22"/>
                <w:highlight w:val="none"/>
              </w:rPr>
              <w:t>招标人根据相关规定在评标结果公示结束后</w:t>
            </w:r>
            <w:r>
              <w:rPr>
                <w:rFonts w:ascii="Times New Roman" w:hAnsi="Times New Roman" w:eastAsia="Times New Roman" w:cs="Times New Roman"/>
                <w:i/>
                <w:iCs/>
                <w:color w:val="auto"/>
                <w:spacing w:val="-14"/>
                <w:sz w:val="21"/>
                <w:szCs w:val="21"/>
                <w:highlight w:val="none"/>
              </w:rPr>
              <w:t>10</w:t>
            </w:r>
            <w:r>
              <w:rPr>
                <w:i/>
                <w:iCs/>
                <w:color w:val="auto"/>
                <w:spacing w:val="-14"/>
                <w:sz w:val="22"/>
                <w:szCs w:val="22"/>
                <w:highlight w:val="none"/>
              </w:rPr>
              <w:t>日内召开</w:t>
            </w:r>
            <w:r>
              <w:rPr>
                <w:color w:val="auto"/>
                <w:sz w:val="22"/>
                <w:szCs w:val="22"/>
                <w:highlight w:val="none"/>
              </w:rPr>
              <w:t xml:space="preserve"> </w:t>
            </w:r>
            <w:r>
              <w:rPr>
                <w:i/>
                <w:iCs/>
                <w:color w:val="auto"/>
                <w:spacing w:val="-14"/>
                <w:sz w:val="22"/>
                <w:szCs w:val="22"/>
                <w:highlight w:val="none"/>
              </w:rPr>
              <w:t>定标会议</w:t>
            </w:r>
            <w:r>
              <w:rPr>
                <w:color w:val="auto"/>
                <w:spacing w:val="-14"/>
                <w:sz w:val="21"/>
                <w:szCs w:val="21"/>
                <w:highlight w:val="none"/>
              </w:rPr>
              <w:t>）</w:t>
            </w:r>
          </w:p>
          <w:p w14:paraId="74D55336">
            <w:pPr>
              <w:pStyle w:val="17"/>
              <w:spacing w:before="274" w:line="220" w:lineRule="auto"/>
              <w:ind w:left="115"/>
              <w:rPr>
                <w:strike/>
                <w:dstrike w:val="0"/>
                <w:color w:val="auto"/>
                <w:sz w:val="21"/>
                <w:szCs w:val="21"/>
                <w:highlight w:val="none"/>
              </w:rPr>
            </w:pPr>
            <w:r>
              <w:rPr>
                <w:strike/>
                <w:dstrike w:val="0"/>
                <w:color w:val="auto"/>
                <w:spacing w:val="-6"/>
                <w:sz w:val="21"/>
                <w:szCs w:val="21"/>
                <w:highlight w:val="none"/>
              </w:rPr>
              <w:t>是否组织考察</w:t>
            </w:r>
            <w:r>
              <w:rPr>
                <w:strike/>
                <w:dstrike w:val="0"/>
                <w:color w:val="auto"/>
                <w:spacing w:val="16"/>
                <w:sz w:val="21"/>
                <w:szCs w:val="21"/>
                <w:highlight w:val="none"/>
              </w:rPr>
              <w:t xml:space="preserve">  </w:t>
            </w:r>
            <w:r>
              <w:rPr>
                <w:strike/>
                <w:dstrike w:val="0"/>
                <w:color w:val="auto"/>
                <w:spacing w:val="-6"/>
                <w:sz w:val="21"/>
                <w:szCs w:val="21"/>
                <w:highlight w:val="none"/>
              </w:rPr>
              <w:t>□是</w:t>
            </w:r>
            <w:r>
              <w:rPr>
                <w:strike/>
                <w:dstrike w:val="0"/>
                <w:color w:val="auto"/>
                <w:spacing w:val="30"/>
                <w:sz w:val="21"/>
                <w:szCs w:val="21"/>
                <w:highlight w:val="none"/>
              </w:rPr>
              <w:t xml:space="preserve"> </w:t>
            </w:r>
            <w:r>
              <w:rPr>
                <w:rFonts w:hint="eastAsia"/>
                <w:strike/>
                <w:dstrike w:val="0"/>
                <w:color w:val="auto"/>
                <w:spacing w:val="-6"/>
                <w:sz w:val="21"/>
                <w:szCs w:val="21"/>
                <w:highlight w:val="none"/>
                <w:lang w:eastAsia="zh-CN"/>
              </w:rPr>
              <w:t>☑</w:t>
            </w:r>
            <w:r>
              <w:rPr>
                <w:strike/>
                <w:dstrike w:val="0"/>
                <w:color w:val="auto"/>
                <w:spacing w:val="-6"/>
                <w:sz w:val="21"/>
                <w:szCs w:val="21"/>
                <w:highlight w:val="none"/>
              </w:rPr>
              <w:t>否</w:t>
            </w:r>
          </w:p>
          <w:p w14:paraId="5685C73C">
            <w:pPr>
              <w:pStyle w:val="17"/>
              <w:spacing w:before="30" w:line="220" w:lineRule="auto"/>
              <w:ind w:left="115"/>
              <w:rPr>
                <w:strike/>
                <w:dstrike w:val="0"/>
                <w:color w:val="auto"/>
                <w:sz w:val="21"/>
                <w:szCs w:val="21"/>
                <w:highlight w:val="none"/>
              </w:rPr>
            </w:pPr>
            <w:r>
              <w:rPr>
                <w:strike/>
                <w:dstrike w:val="0"/>
                <w:color w:val="auto"/>
                <w:spacing w:val="-6"/>
                <w:sz w:val="21"/>
                <w:szCs w:val="21"/>
                <w:highlight w:val="none"/>
              </w:rPr>
              <w:t>是否组织质询</w:t>
            </w:r>
            <w:r>
              <w:rPr>
                <w:strike/>
                <w:dstrike w:val="0"/>
                <w:color w:val="auto"/>
                <w:spacing w:val="16"/>
                <w:sz w:val="21"/>
                <w:szCs w:val="21"/>
                <w:highlight w:val="none"/>
              </w:rPr>
              <w:t xml:space="preserve">  </w:t>
            </w:r>
            <w:r>
              <w:rPr>
                <w:strike/>
                <w:dstrike w:val="0"/>
                <w:color w:val="auto"/>
                <w:spacing w:val="-6"/>
                <w:sz w:val="21"/>
                <w:szCs w:val="21"/>
                <w:highlight w:val="none"/>
              </w:rPr>
              <w:t>□是</w:t>
            </w:r>
            <w:r>
              <w:rPr>
                <w:strike/>
                <w:dstrike w:val="0"/>
                <w:color w:val="auto"/>
                <w:spacing w:val="30"/>
                <w:sz w:val="21"/>
                <w:szCs w:val="21"/>
                <w:highlight w:val="none"/>
              </w:rPr>
              <w:t xml:space="preserve"> </w:t>
            </w:r>
            <w:r>
              <w:rPr>
                <w:rFonts w:hint="eastAsia"/>
                <w:strike/>
                <w:dstrike w:val="0"/>
                <w:color w:val="auto"/>
                <w:spacing w:val="-6"/>
                <w:sz w:val="21"/>
                <w:szCs w:val="21"/>
                <w:highlight w:val="none"/>
                <w:lang w:eastAsia="zh-CN"/>
              </w:rPr>
              <w:t>☑</w:t>
            </w:r>
            <w:r>
              <w:rPr>
                <w:strike/>
                <w:dstrike w:val="0"/>
                <w:color w:val="auto"/>
                <w:spacing w:val="-6"/>
                <w:sz w:val="21"/>
                <w:szCs w:val="21"/>
                <w:highlight w:val="none"/>
              </w:rPr>
              <w:t>否</w:t>
            </w:r>
          </w:p>
          <w:p w14:paraId="7D206D9D">
            <w:pPr>
              <w:pStyle w:val="17"/>
              <w:spacing w:before="30" w:line="220" w:lineRule="auto"/>
              <w:ind w:left="112"/>
              <w:rPr>
                <w:strike/>
                <w:dstrike w:val="0"/>
                <w:color w:val="auto"/>
                <w:sz w:val="21"/>
                <w:szCs w:val="21"/>
                <w:highlight w:val="none"/>
              </w:rPr>
            </w:pPr>
            <w:r>
              <w:rPr>
                <w:strike/>
                <w:dstrike w:val="0"/>
                <w:color w:val="auto"/>
                <w:spacing w:val="-2"/>
                <w:sz w:val="21"/>
                <w:szCs w:val="21"/>
                <w:highlight w:val="none"/>
              </w:rPr>
              <w:t>考察、质询小组由</w:t>
            </w:r>
            <w:r>
              <w:rPr>
                <w:strike/>
                <w:dstrike w:val="0"/>
                <w:color w:val="auto"/>
                <w:spacing w:val="-2"/>
                <w:sz w:val="21"/>
                <w:szCs w:val="21"/>
                <w:highlight w:val="none"/>
                <w:u w:val="single" w:color="auto"/>
              </w:rPr>
              <w:t xml:space="preserve">      </w:t>
            </w:r>
            <w:r>
              <w:rPr>
                <w:strike/>
                <w:dstrike w:val="0"/>
                <w:color w:val="auto"/>
                <w:spacing w:val="-88"/>
                <w:sz w:val="21"/>
                <w:szCs w:val="21"/>
                <w:highlight w:val="none"/>
              </w:rPr>
              <w:t xml:space="preserve"> </w:t>
            </w:r>
            <w:r>
              <w:rPr>
                <w:strike/>
                <w:dstrike w:val="0"/>
                <w:color w:val="auto"/>
                <w:spacing w:val="-2"/>
                <w:sz w:val="21"/>
                <w:szCs w:val="21"/>
                <w:highlight w:val="none"/>
              </w:rPr>
              <w:t>人（</w:t>
            </w:r>
            <w:r>
              <w:rPr>
                <w:rFonts w:ascii="Times New Roman" w:hAnsi="Times New Roman" w:eastAsia="Times New Roman" w:cs="Times New Roman"/>
                <w:strike/>
                <w:dstrike w:val="0"/>
                <w:color w:val="auto"/>
                <w:spacing w:val="-2"/>
                <w:sz w:val="21"/>
                <w:szCs w:val="21"/>
                <w:highlight w:val="none"/>
              </w:rPr>
              <w:t>3</w:t>
            </w:r>
            <w:r>
              <w:rPr>
                <w:strike/>
                <w:dstrike w:val="0"/>
                <w:color w:val="auto"/>
                <w:spacing w:val="-2"/>
                <w:sz w:val="21"/>
                <w:szCs w:val="21"/>
                <w:highlight w:val="none"/>
              </w:rPr>
              <w:t>人及以上单数）组成。</w:t>
            </w:r>
          </w:p>
          <w:p w14:paraId="7B1FC57F">
            <w:pPr>
              <w:rPr>
                <w:rFonts w:ascii="Arial"/>
                <w:strike/>
                <w:dstrike w:val="0"/>
                <w:color w:val="auto"/>
                <w:sz w:val="21"/>
                <w:highlight w:val="none"/>
              </w:rPr>
            </w:pPr>
          </w:p>
          <w:p w14:paraId="56A8C7F4">
            <w:pPr>
              <w:pStyle w:val="17"/>
              <w:spacing w:before="68" w:line="220" w:lineRule="auto"/>
              <w:ind w:left="115"/>
              <w:rPr>
                <w:strike/>
                <w:dstrike w:val="0"/>
                <w:color w:val="auto"/>
                <w:sz w:val="21"/>
                <w:szCs w:val="21"/>
                <w:highlight w:val="none"/>
              </w:rPr>
            </w:pPr>
            <w:r>
              <w:rPr>
                <w:strike/>
                <w:dstrike w:val="0"/>
                <w:color w:val="auto"/>
                <w:spacing w:val="-5"/>
                <w:sz w:val="21"/>
                <w:szCs w:val="21"/>
                <w:highlight w:val="none"/>
              </w:rPr>
              <w:t>是否定标现场面试</w:t>
            </w:r>
            <w:r>
              <w:rPr>
                <w:strike/>
                <w:dstrike w:val="0"/>
                <w:color w:val="auto"/>
                <w:spacing w:val="16"/>
                <w:sz w:val="21"/>
                <w:szCs w:val="21"/>
                <w:highlight w:val="none"/>
              </w:rPr>
              <w:t xml:space="preserve">  </w:t>
            </w:r>
            <w:r>
              <w:rPr>
                <w:strike/>
                <w:dstrike w:val="0"/>
                <w:color w:val="auto"/>
                <w:spacing w:val="-5"/>
                <w:sz w:val="21"/>
                <w:szCs w:val="21"/>
                <w:highlight w:val="none"/>
              </w:rPr>
              <w:t>□是</w:t>
            </w:r>
            <w:r>
              <w:rPr>
                <w:strike/>
                <w:dstrike w:val="0"/>
                <w:color w:val="auto"/>
                <w:spacing w:val="30"/>
                <w:sz w:val="21"/>
                <w:szCs w:val="21"/>
                <w:highlight w:val="none"/>
              </w:rPr>
              <w:t xml:space="preserve"> </w:t>
            </w:r>
            <w:r>
              <w:rPr>
                <w:rFonts w:hint="eastAsia"/>
                <w:strike/>
                <w:dstrike w:val="0"/>
                <w:color w:val="auto"/>
                <w:spacing w:val="-5"/>
                <w:sz w:val="21"/>
                <w:szCs w:val="21"/>
                <w:highlight w:val="none"/>
                <w:lang w:eastAsia="zh-CN"/>
              </w:rPr>
              <w:t>☑</w:t>
            </w:r>
            <w:r>
              <w:rPr>
                <w:strike/>
                <w:dstrike w:val="0"/>
                <w:color w:val="auto"/>
                <w:spacing w:val="-5"/>
                <w:sz w:val="21"/>
                <w:szCs w:val="21"/>
                <w:highlight w:val="none"/>
              </w:rPr>
              <w:t>否</w:t>
            </w:r>
          </w:p>
          <w:p w14:paraId="784B95BD">
            <w:pPr>
              <w:pStyle w:val="17"/>
              <w:spacing w:before="31" w:line="219" w:lineRule="auto"/>
              <w:ind w:left="113"/>
              <w:rPr>
                <w:rFonts w:ascii="等线" w:hAnsi="等线" w:eastAsia="等线" w:cs="等线"/>
                <w:strike/>
                <w:dstrike w:val="0"/>
                <w:color w:val="auto"/>
                <w:sz w:val="21"/>
                <w:szCs w:val="21"/>
                <w:highlight w:val="none"/>
              </w:rPr>
            </w:pPr>
            <w:r>
              <w:rPr>
                <w:strike/>
                <w:dstrike w:val="0"/>
                <w:color w:val="auto"/>
                <w:spacing w:val="-1"/>
                <w:sz w:val="21"/>
                <w:szCs w:val="21"/>
                <w:highlight w:val="none"/>
              </w:rPr>
              <w:t>面试人员</w:t>
            </w:r>
            <w:r>
              <w:rPr>
                <w:strike/>
                <w:dstrike w:val="0"/>
                <w:color w:val="auto"/>
                <w:spacing w:val="-1"/>
                <w:sz w:val="21"/>
                <w:szCs w:val="21"/>
                <w:highlight w:val="none"/>
                <w:u w:val="single" w:color="auto"/>
              </w:rPr>
              <w:t xml:space="preserve">             </w:t>
            </w:r>
            <w:r>
              <w:rPr>
                <w:rFonts w:ascii="等线" w:hAnsi="等线" w:eastAsia="等线" w:cs="等线"/>
                <w:strike/>
                <w:dstrike w:val="0"/>
                <w:color w:val="auto"/>
                <w:spacing w:val="-1"/>
                <w:sz w:val="21"/>
                <w:szCs w:val="21"/>
                <w:highlight w:val="none"/>
              </w:rPr>
              <w:t>。</w:t>
            </w:r>
          </w:p>
          <w:p w14:paraId="5787D851">
            <w:pPr>
              <w:pStyle w:val="17"/>
              <w:spacing w:before="290" w:line="219" w:lineRule="auto"/>
              <w:ind w:left="133"/>
              <w:rPr>
                <w:rFonts w:ascii="等线" w:hAnsi="等线" w:eastAsia="等线" w:cs="等线"/>
                <w:color w:val="auto"/>
                <w:sz w:val="21"/>
                <w:szCs w:val="21"/>
                <w:highlight w:val="none"/>
              </w:rPr>
            </w:pPr>
            <w:r>
              <w:rPr>
                <w:rFonts w:hint="eastAsia"/>
                <w:color w:val="auto"/>
                <w:spacing w:val="-2"/>
                <w:sz w:val="21"/>
                <w:szCs w:val="21"/>
                <w:highlight w:val="none"/>
                <w:lang w:eastAsia="zh-CN"/>
              </w:rPr>
              <w:t>☑</w:t>
            </w:r>
            <w:r>
              <w:rPr>
                <w:rFonts w:ascii="Times New Roman" w:hAnsi="Times New Roman" w:eastAsia="Times New Roman" w:cs="Times New Roman"/>
                <w:color w:val="auto"/>
                <w:spacing w:val="-2"/>
                <w:sz w:val="21"/>
                <w:szCs w:val="21"/>
                <w:highlight w:val="none"/>
              </w:rPr>
              <w:t>1.</w:t>
            </w:r>
            <w:r>
              <w:rPr>
                <w:color w:val="auto"/>
                <w:spacing w:val="-2"/>
                <w:sz w:val="21"/>
                <w:szCs w:val="21"/>
                <w:highlight w:val="none"/>
              </w:rPr>
              <w:t>价格因素；</w:t>
            </w:r>
            <w:r>
              <w:rPr>
                <w:color w:val="auto"/>
                <w:spacing w:val="-2"/>
                <w:sz w:val="21"/>
                <w:szCs w:val="21"/>
                <w:highlight w:val="none"/>
                <w:u w:val="single" w:color="auto"/>
              </w:rPr>
              <w:t xml:space="preserve">             </w:t>
            </w:r>
            <w:r>
              <w:rPr>
                <w:rFonts w:ascii="等线" w:hAnsi="等线" w:eastAsia="等线" w:cs="等线"/>
                <w:color w:val="auto"/>
                <w:spacing w:val="-2"/>
                <w:sz w:val="21"/>
                <w:szCs w:val="21"/>
                <w:highlight w:val="none"/>
              </w:rPr>
              <w:t>。</w:t>
            </w:r>
          </w:p>
          <w:p w14:paraId="644D8C5B">
            <w:pPr>
              <w:pStyle w:val="17"/>
              <w:spacing w:before="13" w:line="219" w:lineRule="auto"/>
              <w:ind w:left="133"/>
              <w:rPr>
                <w:rFonts w:ascii="等线" w:hAnsi="等线" w:eastAsia="等线" w:cs="等线"/>
                <w:color w:val="auto"/>
                <w:sz w:val="21"/>
                <w:szCs w:val="21"/>
                <w:highlight w:val="none"/>
              </w:rPr>
            </w:pPr>
            <w:r>
              <w:rPr>
                <w:rFonts w:hint="eastAsia"/>
                <w:color w:val="auto"/>
                <w:spacing w:val="-2"/>
                <w:sz w:val="21"/>
                <w:szCs w:val="21"/>
                <w:highlight w:val="none"/>
                <w:lang w:eastAsia="zh-CN"/>
              </w:rPr>
              <w:t>☑</w:t>
            </w:r>
            <w:r>
              <w:rPr>
                <w:rFonts w:ascii="Times New Roman" w:hAnsi="Times New Roman" w:eastAsia="Times New Roman" w:cs="Times New Roman"/>
                <w:color w:val="auto"/>
                <w:spacing w:val="-2"/>
                <w:sz w:val="21"/>
                <w:szCs w:val="21"/>
                <w:highlight w:val="none"/>
              </w:rPr>
              <w:t>2.</w:t>
            </w:r>
            <w:r>
              <w:rPr>
                <w:color w:val="auto"/>
                <w:spacing w:val="-2"/>
                <w:sz w:val="21"/>
                <w:szCs w:val="21"/>
                <w:highlight w:val="none"/>
              </w:rPr>
              <w:t>企业实力；</w:t>
            </w:r>
            <w:r>
              <w:rPr>
                <w:color w:val="auto"/>
                <w:spacing w:val="-2"/>
                <w:sz w:val="21"/>
                <w:szCs w:val="21"/>
                <w:highlight w:val="none"/>
                <w:u w:val="single" w:color="auto"/>
              </w:rPr>
              <w:t xml:space="preserve">             </w:t>
            </w:r>
            <w:r>
              <w:rPr>
                <w:rFonts w:ascii="等线" w:hAnsi="等线" w:eastAsia="等线" w:cs="等线"/>
                <w:color w:val="auto"/>
                <w:spacing w:val="-2"/>
                <w:sz w:val="21"/>
                <w:szCs w:val="21"/>
                <w:highlight w:val="none"/>
              </w:rPr>
              <w:t>。</w:t>
            </w:r>
          </w:p>
          <w:p w14:paraId="7A9E0EF0">
            <w:pPr>
              <w:pStyle w:val="17"/>
              <w:spacing w:before="11" w:line="219" w:lineRule="auto"/>
              <w:ind w:left="133"/>
              <w:rPr>
                <w:rFonts w:ascii="等线" w:hAnsi="等线" w:eastAsia="等线" w:cs="等线"/>
                <w:color w:val="auto"/>
                <w:sz w:val="21"/>
                <w:szCs w:val="21"/>
                <w:highlight w:val="none"/>
              </w:rPr>
            </w:pPr>
            <w:r>
              <w:rPr>
                <w:rFonts w:hint="eastAsia"/>
                <w:color w:val="auto"/>
                <w:spacing w:val="-2"/>
                <w:sz w:val="21"/>
                <w:szCs w:val="21"/>
                <w:highlight w:val="none"/>
                <w:lang w:eastAsia="zh-CN"/>
              </w:rPr>
              <w:t>☑</w:t>
            </w:r>
            <w:r>
              <w:rPr>
                <w:rFonts w:ascii="Times New Roman" w:hAnsi="Times New Roman" w:eastAsia="Times New Roman" w:cs="Times New Roman"/>
                <w:color w:val="auto"/>
                <w:spacing w:val="-2"/>
                <w:sz w:val="21"/>
                <w:szCs w:val="21"/>
                <w:highlight w:val="none"/>
              </w:rPr>
              <w:t>3.</w:t>
            </w:r>
            <w:r>
              <w:rPr>
                <w:color w:val="auto"/>
                <w:spacing w:val="-2"/>
                <w:sz w:val="21"/>
                <w:szCs w:val="21"/>
                <w:highlight w:val="none"/>
              </w:rPr>
              <w:t>企业信誉；</w:t>
            </w:r>
            <w:r>
              <w:rPr>
                <w:color w:val="auto"/>
                <w:spacing w:val="-2"/>
                <w:sz w:val="21"/>
                <w:szCs w:val="21"/>
                <w:highlight w:val="none"/>
                <w:u w:val="single" w:color="auto"/>
              </w:rPr>
              <w:t xml:space="preserve">             </w:t>
            </w:r>
            <w:r>
              <w:rPr>
                <w:rFonts w:ascii="等线" w:hAnsi="等线" w:eastAsia="等线" w:cs="等线"/>
                <w:color w:val="auto"/>
                <w:spacing w:val="-2"/>
                <w:sz w:val="21"/>
                <w:szCs w:val="21"/>
                <w:highlight w:val="none"/>
              </w:rPr>
              <w:t>。</w:t>
            </w:r>
          </w:p>
          <w:p w14:paraId="32B1C313">
            <w:pPr>
              <w:pStyle w:val="17"/>
              <w:spacing w:before="11" w:line="219" w:lineRule="auto"/>
              <w:ind w:left="133"/>
              <w:rPr>
                <w:rFonts w:ascii="等线" w:hAnsi="等线" w:eastAsia="等线" w:cs="等线"/>
                <w:color w:val="auto"/>
                <w:sz w:val="21"/>
                <w:szCs w:val="21"/>
                <w:highlight w:val="none"/>
              </w:rPr>
            </w:pPr>
            <w:r>
              <w:rPr>
                <w:rFonts w:hint="eastAsia"/>
                <w:color w:val="auto"/>
                <w:spacing w:val="-2"/>
                <w:sz w:val="21"/>
                <w:szCs w:val="21"/>
                <w:highlight w:val="none"/>
                <w:lang w:eastAsia="zh-CN"/>
              </w:rPr>
              <w:t>☑</w:t>
            </w:r>
            <w:r>
              <w:rPr>
                <w:rFonts w:ascii="Times New Roman" w:hAnsi="Times New Roman" w:eastAsia="Times New Roman" w:cs="Times New Roman"/>
                <w:color w:val="auto"/>
                <w:spacing w:val="-2"/>
                <w:sz w:val="21"/>
                <w:szCs w:val="21"/>
                <w:highlight w:val="none"/>
              </w:rPr>
              <w:t>4.</w:t>
            </w:r>
            <w:r>
              <w:rPr>
                <w:color w:val="auto"/>
                <w:spacing w:val="-2"/>
                <w:sz w:val="21"/>
                <w:szCs w:val="21"/>
                <w:highlight w:val="none"/>
              </w:rPr>
              <w:t>投标方案；</w:t>
            </w:r>
            <w:r>
              <w:rPr>
                <w:color w:val="auto"/>
                <w:spacing w:val="-2"/>
                <w:sz w:val="21"/>
                <w:szCs w:val="21"/>
                <w:highlight w:val="none"/>
                <w:u w:val="single" w:color="auto"/>
              </w:rPr>
              <w:t xml:space="preserve">             </w:t>
            </w:r>
            <w:r>
              <w:rPr>
                <w:rFonts w:ascii="等线" w:hAnsi="等线" w:eastAsia="等线" w:cs="等线"/>
                <w:color w:val="auto"/>
                <w:spacing w:val="-2"/>
                <w:sz w:val="21"/>
                <w:szCs w:val="21"/>
                <w:highlight w:val="none"/>
              </w:rPr>
              <w:t>。</w:t>
            </w:r>
          </w:p>
          <w:p w14:paraId="2C890884">
            <w:pPr>
              <w:pStyle w:val="17"/>
              <w:spacing w:before="12" w:line="219" w:lineRule="auto"/>
              <w:ind w:left="133"/>
              <w:rPr>
                <w:rFonts w:ascii="等线" w:hAnsi="等线" w:eastAsia="等线" w:cs="等线"/>
                <w:color w:val="auto"/>
                <w:sz w:val="21"/>
                <w:szCs w:val="21"/>
                <w:highlight w:val="none"/>
              </w:rPr>
            </w:pPr>
            <w:r>
              <w:rPr>
                <w:rFonts w:hint="eastAsia"/>
                <w:color w:val="auto"/>
                <w:spacing w:val="-1"/>
                <w:sz w:val="21"/>
                <w:szCs w:val="21"/>
                <w:highlight w:val="none"/>
                <w:lang w:eastAsia="zh-CN"/>
              </w:rPr>
              <w:t>☑</w:t>
            </w:r>
            <w:r>
              <w:rPr>
                <w:rFonts w:ascii="Times New Roman" w:hAnsi="Times New Roman" w:eastAsia="Times New Roman" w:cs="Times New Roman"/>
                <w:color w:val="auto"/>
                <w:spacing w:val="-1"/>
                <w:sz w:val="21"/>
                <w:szCs w:val="21"/>
                <w:highlight w:val="none"/>
              </w:rPr>
              <w:t>5.</w:t>
            </w:r>
            <w:r>
              <w:rPr>
                <w:color w:val="auto"/>
                <w:spacing w:val="-1"/>
                <w:sz w:val="21"/>
                <w:szCs w:val="21"/>
                <w:highlight w:val="none"/>
              </w:rPr>
              <w:t>拟派团队能力与水平；</w:t>
            </w:r>
            <w:r>
              <w:rPr>
                <w:color w:val="auto"/>
                <w:spacing w:val="-1"/>
                <w:sz w:val="21"/>
                <w:szCs w:val="21"/>
                <w:highlight w:val="none"/>
                <w:u w:val="single" w:color="auto"/>
              </w:rPr>
              <w:t xml:space="preserve">                    </w:t>
            </w:r>
            <w:r>
              <w:rPr>
                <w:rFonts w:ascii="等线" w:hAnsi="等线" w:eastAsia="等线" w:cs="等线"/>
                <w:color w:val="auto"/>
                <w:spacing w:val="-1"/>
                <w:sz w:val="21"/>
                <w:szCs w:val="21"/>
                <w:highlight w:val="none"/>
              </w:rPr>
              <w:t>。</w:t>
            </w:r>
          </w:p>
          <w:p w14:paraId="6B3656DA">
            <w:pPr>
              <w:pStyle w:val="17"/>
              <w:spacing w:before="11" w:line="219" w:lineRule="auto"/>
              <w:ind w:left="133"/>
              <w:rPr>
                <w:rFonts w:ascii="等线" w:hAnsi="等线" w:eastAsia="等线" w:cs="等线"/>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6.</w:t>
            </w:r>
            <w:r>
              <w:rPr>
                <w:color w:val="auto"/>
                <w:spacing w:val="-1"/>
                <w:sz w:val="21"/>
                <w:szCs w:val="21"/>
                <w:highlight w:val="none"/>
              </w:rPr>
              <w:t>招标人认为需要考量的其他因素：</w:t>
            </w:r>
            <w:r>
              <w:rPr>
                <w:color w:val="auto"/>
                <w:spacing w:val="-1"/>
                <w:sz w:val="21"/>
                <w:szCs w:val="21"/>
                <w:highlight w:val="none"/>
                <w:u w:val="single" w:color="auto"/>
              </w:rPr>
              <w:t xml:space="preserve">         </w:t>
            </w:r>
            <w:r>
              <w:rPr>
                <w:color w:val="auto"/>
                <w:spacing w:val="-2"/>
                <w:sz w:val="21"/>
                <w:szCs w:val="21"/>
                <w:highlight w:val="none"/>
                <w:u w:val="single" w:color="auto"/>
              </w:rPr>
              <w:t xml:space="preserve"> </w:t>
            </w:r>
            <w:r>
              <w:rPr>
                <w:rFonts w:ascii="等线" w:hAnsi="等线" w:eastAsia="等线" w:cs="等线"/>
                <w:color w:val="auto"/>
                <w:spacing w:val="-2"/>
                <w:sz w:val="21"/>
                <w:szCs w:val="21"/>
                <w:highlight w:val="none"/>
              </w:rPr>
              <w:t>。</w:t>
            </w:r>
          </w:p>
          <w:p w14:paraId="0CAA56D2">
            <w:pPr>
              <w:pStyle w:val="17"/>
              <w:spacing w:before="291" w:line="220" w:lineRule="auto"/>
              <w:ind w:left="133"/>
              <w:rPr>
                <w:color w:val="auto"/>
                <w:sz w:val="21"/>
                <w:szCs w:val="21"/>
                <w:highlight w:val="none"/>
              </w:rPr>
            </w:pPr>
            <w:r>
              <w:rPr>
                <w:rFonts w:hint="eastAsia"/>
                <w:color w:val="auto"/>
                <w:spacing w:val="-13"/>
                <w:sz w:val="21"/>
                <w:szCs w:val="21"/>
                <w:highlight w:val="none"/>
                <w:lang w:eastAsia="zh-CN"/>
              </w:rPr>
              <w:t>☑</w:t>
            </w:r>
            <w:r>
              <w:rPr>
                <w:color w:val="auto"/>
                <w:spacing w:val="-13"/>
                <w:sz w:val="21"/>
                <w:szCs w:val="21"/>
                <w:highlight w:val="none"/>
              </w:rPr>
              <w:t>票决法：</w:t>
            </w:r>
          </w:p>
          <w:p w14:paraId="10ADA38F">
            <w:pPr>
              <w:pStyle w:val="17"/>
              <w:spacing w:before="29" w:line="220" w:lineRule="auto"/>
              <w:ind w:left="133"/>
              <w:rPr>
                <w:strike/>
                <w:dstrike w:val="0"/>
                <w:color w:val="auto"/>
                <w:sz w:val="21"/>
                <w:szCs w:val="21"/>
                <w:highlight w:val="none"/>
              </w:rPr>
            </w:pPr>
            <w:r>
              <w:rPr>
                <w:strike/>
                <w:dstrike w:val="0"/>
                <w:color w:val="auto"/>
                <w:spacing w:val="-10"/>
                <w:sz w:val="21"/>
                <w:szCs w:val="21"/>
                <w:highlight w:val="none"/>
              </w:rPr>
              <w:t>□集体议事法：</w:t>
            </w:r>
          </w:p>
          <w:p w14:paraId="5299B19C">
            <w:pPr>
              <w:pStyle w:val="17"/>
              <w:spacing w:before="30" w:line="219" w:lineRule="auto"/>
              <w:ind w:left="133"/>
              <w:rPr>
                <w:rFonts w:ascii="等线" w:hAnsi="等线" w:eastAsia="等线" w:cs="等线"/>
                <w:strike/>
                <w:dstrike w:val="0"/>
                <w:color w:val="auto"/>
                <w:sz w:val="21"/>
                <w:szCs w:val="21"/>
                <w:highlight w:val="none"/>
              </w:rPr>
            </w:pPr>
            <w:r>
              <w:rPr>
                <w:strike/>
                <w:dstrike w:val="0"/>
                <w:color w:val="auto"/>
                <w:spacing w:val="-2"/>
                <w:sz w:val="21"/>
                <w:szCs w:val="21"/>
                <w:highlight w:val="none"/>
              </w:rPr>
              <w:t>□其他定标办法：</w:t>
            </w:r>
            <w:r>
              <w:rPr>
                <w:strike/>
                <w:dstrike w:val="0"/>
                <w:color w:val="auto"/>
                <w:spacing w:val="-2"/>
                <w:sz w:val="21"/>
                <w:szCs w:val="21"/>
                <w:highlight w:val="none"/>
                <w:u w:val="single" w:color="auto"/>
              </w:rPr>
              <w:t xml:space="preserve">          </w:t>
            </w:r>
            <w:r>
              <w:rPr>
                <w:rFonts w:ascii="等线" w:hAnsi="等线" w:eastAsia="等线" w:cs="等线"/>
                <w:strike/>
                <w:dstrike w:val="0"/>
                <w:color w:val="auto"/>
                <w:spacing w:val="-2"/>
                <w:sz w:val="21"/>
                <w:szCs w:val="21"/>
                <w:highlight w:val="none"/>
              </w:rPr>
              <w:t>。</w:t>
            </w:r>
          </w:p>
          <w:p w14:paraId="32EE022C">
            <w:pPr>
              <w:pStyle w:val="17"/>
              <w:spacing w:before="291" w:line="220" w:lineRule="auto"/>
              <w:ind w:left="113"/>
              <w:rPr>
                <w:strike/>
                <w:dstrike w:val="0"/>
                <w:color w:val="auto"/>
                <w:sz w:val="21"/>
                <w:szCs w:val="21"/>
                <w:highlight w:val="none"/>
              </w:rPr>
            </w:pPr>
            <w:r>
              <w:rPr>
                <w:strike/>
                <w:dstrike w:val="0"/>
                <w:color w:val="auto"/>
                <w:spacing w:val="-18"/>
                <w:sz w:val="21"/>
                <w:szCs w:val="21"/>
                <w:highlight w:val="none"/>
              </w:rPr>
              <w:t>按原定标方法确定中标人</w:t>
            </w:r>
          </w:p>
          <w:p w14:paraId="77CFD159">
            <w:pPr>
              <w:pStyle w:val="17"/>
              <w:spacing w:before="31" w:line="219" w:lineRule="auto"/>
              <w:ind w:left="113"/>
              <w:rPr>
                <w:rFonts w:ascii="等线" w:hAnsi="等线" w:eastAsia="等线" w:cs="等线"/>
                <w:strike/>
                <w:dstrike w:val="0"/>
                <w:color w:val="auto"/>
                <w:sz w:val="21"/>
                <w:szCs w:val="21"/>
                <w:highlight w:val="none"/>
              </w:rPr>
            </w:pPr>
            <w:r>
              <w:rPr>
                <w:strike/>
                <w:dstrike w:val="0"/>
                <w:color w:val="auto"/>
                <w:spacing w:val="-1"/>
                <w:sz w:val="21"/>
                <w:szCs w:val="21"/>
                <w:highlight w:val="none"/>
              </w:rPr>
              <w:t>其他情形：</w:t>
            </w:r>
            <w:r>
              <w:rPr>
                <w:strike/>
                <w:dstrike w:val="0"/>
                <w:color w:val="auto"/>
                <w:spacing w:val="-1"/>
                <w:sz w:val="21"/>
                <w:szCs w:val="21"/>
                <w:highlight w:val="none"/>
                <w:u w:val="single" w:color="auto"/>
              </w:rPr>
              <w:t xml:space="preserve">             </w:t>
            </w:r>
            <w:r>
              <w:rPr>
                <w:rFonts w:ascii="等线" w:hAnsi="等线" w:eastAsia="等线" w:cs="等线"/>
                <w:strike/>
                <w:dstrike w:val="0"/>
                <w:color w:val="auto"/>
                <w:spacing w:val="-1"/>
                <w:sz w:val="21"/>
                <w:szCs w:val="21"/>
                <w:highlight w:val="none"/>
              </w:rPr>
              <w:t>。</w:t>
            </w:r>
          </w:p>
          <w:p w14:paraId="283B37C6">
            <w:pPr>
              <w:pStyle w:val="17"/>
              <w:spacing w:before="291" w:line="220" w:lineRule="auto"/>
              <w:ind w:left="113"/>
              <w:rPr>
                <w:strike/>
                <w:dstrike w:val="0"/>
                <w:color w:val="auto"/>
                <w:sz w:val="21"/>
                <w:szCs w:val="21"/>
                <w:highlight w:val="none"/>
              </w:rPr>
            </w:pPr>
            <w:r>
              <w:rPr>
                <w:strike/>
                <w:dstrike w:val="0"/>
                <w:color w:val="auto"/>
                <w:spacing w:val="-2"/>
                <w:sz w:val="21"/>
                <w:szCs w:val="21"/>
                <w:highlight w:val="none"/>
              </w:rPr>
              <w:t>重新定标</w:t>
            </w:r>
          </w:p>
          <w:p w14:paraId="0B574050">
            <w:pPr>
              <w:pStyle w:val="17"/>
              <w:spacing w:before="30" w:line="219" w:lineRule="auto"/>
              <w:ind w:left="113"/>
              <w:rPr>
                <w:rFonts w:ascii="等线" w:hAnsi="等线" w:eastAsia="等线" w:cs="等线"/>
                <w:color w:val="auto"/>
                <w:sz w:val="21"/>
                <w:szCs w:val="21"/>
                <w:highlight w:val="none"/>
              </w:rPr>
            </w:pPr>
            <w:r>
              <w:rPr>
                <w:strike/>
                <w:dstrike w:val="0"/>
                <w:color w:val="auto"/>
                <w:spacing w:val="-1"/>
                <w:sz w:val="21"/>
                <w:szCs w:val="21"/>
                <w:highlight w:val="none"/>
              </w:rPr>
              <w:t>其他情形：</w:t>
            </w:r>
            <w:r>
              <w:rPr>
                <w:strike/>
                <w:dstrike w:val="0"/>
                <w:color w:val="auto"/>
                <w:spacing w:val="-1"/>
                <w:sz w:val="21"/>
                <w:szCs w:val="21"/>
                <w:highlight w:val="none"/>
                <w:u w:val="single" w:color="auto"/>
              </w:rPr>
              <w:t xml:space="preserve">             </w:t>
            </w:r>
            <w:r>
              <w:rPr>
                <w:rFonts w:ascii="等线" w:hAnsi="等线" w:eastAsia="等线" w:cs="等线"/>
                <w:strike/>
                <w:dstrike w:val="0"/>
                <w:color w:val="auto"/>
                <w:spacing w:val="-1"/>
                <w:sz w:val="21"/>
                <w:szCs w:val="21"/>
                <w:highlight w:val="none"/>
              </w:rPr>
              <w:t>。</w:t>
            </w:r>
          </w:p>
        </w:tc>
      </w:tr>
      <w:tr w14:paraId="5A455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6" w:hRule="atLeast"/>
        </w:trPr>
        <w:tc>
          <w:tcPr>
            <w:tcW w:w="952" w:type="dxa"/>
            <w:tcBorders>
              <w:left w:val="single" w:color="000000" w:sz="6" w:space="0"/>
            </w:tcBorders>
            <w:vAlign w:val="top"/>
          </w:tcPr>
          <w:p w14:paraId="34258375">
            <w:pPr>
              <w:spacing w:line="255" w:lineRule="auto"/>
              <w:rPr>
                <w:rFonts w:ascii="Arial"/>
                <w:color w:val="auto"/>
                <w:sz w:val="21"/>
                <w:highlight w:val="none"/>
              </w:rPr>
            </w:pPr>
          </w:p>
          <w:p w14:paraId="2E4BC61A">
            <w:pPr>
              <w:spacing w:line="255" w:lineRule="auto"/>
              <w:rPr>
                <w:rFonts w:ascii="Arial"/>
                <w:color w:val="auto"/>
                <w:sz w:val="21"/>
                <w:highlight w:val="none"/>
              </w:rPr>
            </w:pPr>
          </w:p>
          <w:p w14:paraId="7799386B">
            <w:pPr>
              <w:spacing w:line="255" w:lineRule="auto"/>
              <w:rPr>
                <w:rFonts w:ascii="Arial"/>
                <w:color w:val="auto"/>
                <w:sz w:val="21"/>
                <w:highlight w:val="none"/>
              </w:rPr>
            </w:pPr>
          </w:p>
          <w:p w14:paraId="059CE733">
            <w:pPr>
              <w:spacing w:before="61" w:line="188" w:lineRule="auto"/>
              <w:ind w:left="26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7.3.1</w:t>
            </w:r>
          </w:p>
        </w:tc>
        <w:tc>
          <w:tcPr>
            <w:tcW w:w="2305" w:type="dxa"/>
            <w:vAlign w:val="top"/>
          </w:tcPr>
          <w:p w14:paraId="6D8A51BB">
            <w:pPr>
              <w:spacing w:line="292" w:lineRule="auto"/>
              <w:rPr>
                <w:rFonts w:ascii="Arial"/>
                <w:color w:val="auto"/>
                <w:sz w:val="21"/>
                <w:highlight w:val="none"/>
              </w:rPr>
            </w:pPr>
          </w:p>
          <w:p w14:paraId="7D079E55">
            <w:pPr>
              <w:spacing w:line="292" w:lineRule="auto"/>
              <w:rPr>
                <w:rFonts w:ascii="Arial"/>
                <w:color w:val="auto"/>
                <w:sz w:val="21"/>
                <w:highlight w:val="none"/>
              </w:rPr>
            </w:pPr>
          </w:p>
          <w:p w14:paraId="1EBB14C9">
            <w:pPr>
              <w:pStyle w:val="17"/>
              <w:spacing w:before="68" w:line="242" w:lineRule="auto"/>
              <w:ind w:left="108" w:right="108" w:firstLine="3"/>
              <w:rPr>
                <w:color w:val="auto"/>
                <w:sz w:val="21"/>
                <w:szCs w:val="21"/>
                <w:highlight w:val="none"/>
              </w:rPr>
            </w:pPr>
            <w:r>
              <w:rPr>
                <w:color w:val="auto"/>
                <w:spacing w:val="11"/>
                <w:sz w:val="21"/>
                <w:szCs w:val="21"/>
                <w:highlight w:val="none"/>
              </w:rPr>
              <w:t>履约担保及民工工资支</w:t>
            </w:r>
            <w:r>
              <w:rPr>
                <w:color w:val="auto"/>
                <w:spacing w:val="-2"/>
                <w:sz w:val="21"/>
                <w:szCs w:val="21"/>
                <w:highlight w:val="none"/>
              </w:rPr>
              <w:t>付担保</w:t>
            </w:r>
          </w:p>
        </w:tc>
        <w:tc>
          <w:tcPr>
            <w:tcW w:w="5645" w:type="dxa"/>
            <w:tcBorders>
              <w:right w:val="single" w:color="000000" w:sz="6" w:space="0"/>
            </w:tcBorders>
            <w:vAlign w:val="top"/>
          </w:tcPr>
          <w:p w14:paraId="733AC741">
            <w:pPr>
              <w:pStyle w:val="17"/>
              <w:spacing w:before="113" w:line="239" w:lineRule="auto"/>
              <w:ind w:left="117" w:right="103" w:hanging="4"/>
              <w:rPr>
                <w:color w:val="auto"/>
                <w:sz w:val="21"/>
                <w:szCs w:val="21"/>
                <w:highlight w:val="none"/>
              </w:rPr>
            </w:pPr>
            <w:r>
              <w:rPr>
                <w:color w:val="auto"/>
                <w:spacing w:val="1"/>
                <w:sz w:val="21"/>
                <w:szCs w:val="21"/>
                <w:highlight w:val="none"/>
              </w:rPr>
              <w:t>担保的形式：现金或银行保函或保险机构保证保险保单或</w:t>
            </w:r>
            <w:r>
              <w:rPr>
                <w:color w:val="auto"/>
                <w:spacing w:val="3"/>
                <w:sz w:val="21"/>
                <w:szCs w:val="21"/>
                <w:highlight w:val="none"/>
              </w:rPr>
              <w:t xml:space="preserve"> </w:t>
            </w:r>
            <w:r>
              <w:rPr>
                <w:color w:val="auto"/>
                <w:spacing w:val="-5"/>
                <w:sz w:val="21"/>
                <w:szCs w:val="21"/>
                <w:highlight w:val="none"/>
              </w:rPr>
              <w:t>融资担保公司保函。</w:t>
            </w:r>
          </w:p>
          <w:p w14:paraId="5DB83B04">
            <w:pPr>
              <w:pStyle w:val="17"/>
              <w:spacing w:before="2" w:line="235" w:lineRule="auto"/>
              <w:ind w:left="124" w:right="103" w:hanging="9"/>
              <w:rPr>
                <w:color w:val="auto"/>
                <w:sz w:val="21"/>
                <w:szCs w:val="21"/>
                <w:highlight w:val="none"/>
              </w:rPr>
            </w:pPr>
            <w:r>
              <w:rPr>
                <w:color w:val="auto"/>
                <w:spacing w:val="-5"/>
                <w:sz w:val="21"/>
                <w:szCs w:val="21"/>
                <w:highlight w:val="none"/>
              </w:rPr>
              <w:t>履约担保的金额（不含民工工资支付担保</w:t>
            </w:r>
            <w:r>
              <w:rPr>
                <w:color w:val="auto"/>
                <w:spacing w:val="-33"/>
                <w:sz w:val="21"/>
                <w:szCs w:val="21"/>
                <w:highlight w:val="none"/>
              </w:rPr>
              <w:t>）：</w:t>
            </w:r>
            <w:r>
              <w:rPr>
                <w:color w:val="auto"/>
                <w:spacing w:val="-5"/>
                <w:sz w:val="21"/>
                <w:szCs w:val="21"/>
                <w:highlight w:val="none"/>
              </w:rPr>
              <w:t>合同价格（扣</w:t>
            </w:r>
            <w:r>
              <w:rPr>
                <w:color w:val="auto"/>
                <w:spacing w:val="1"/>
                <w:sz w:val="21"/>
                <w:szCs w:val="21"/>
                <w:highlight w:val="none"/>
              </w:rPr>
              <w:t xml:space="preserve"> </w:t>
            </w:r>
            <w:r>
              <w:rPr>
                <w:color w:val="auto"/>
                <w:spacing w:val="-7"/>
                <w:sz w:val="21"/>
                <w:szCs w:val="21"/>
                <w:highlight w:val="none"/>
              </w:rPr>
              <w:t>除预留金后）的</w:t>
            </w:r>
            <w:r>
              <w:rPr>
                <w:color w:val="auto"/>
                <w:spacing w:val="-89"/>
                <w:sz w:val="21"/>
                <w:szCs w:val="21"/>
                <w:highlight w:val="none"/>
              </w:rPr>
              <w:t xml:space="preserve"> </w:t>
            </w:r>
            <w:r>
              <w:rPr>
                <w:color w:val="auto"/>
                <w:sz w:val="21"/>
                <w:szCs w:val="21"/>
                <w:highlight w:val="none"/>
                <w:u w:val="single" w:color="auto"/>
              </w:rPr>
              <w:t xml:space="preserve"> </w:t>
            </w:r>
            <w:r>
              <w:rPr>
                <w:rFonts w:hint="eastAsia"/>
                <w:color w:val="auto"/>
                <w:sz w:val="21"/>
                <w:szCs w:val="21"/>
                <w:highlight w:val="none"/>
                <w:u w:val="single" w:color="auto"/>
                <w:lang w:val="en-US" w:eastAsia="zh-CN"/>
              </w:rPr>
              <w:t>2</w:t>
            </w:r>
            <w:r>
              <w:rPr>
                <w:color w:val="auto"/>
                <w:sz w:val="21"/>
                <w:szCs w:val="21"/>
                <w:highlight w:val="none"/>
                <w:u w:val="single" w:color="auto"/>
              </w:rPr>
              <w:t xml:space="preserve"> </w:t>
            </w:r>
            <w:r>
              <w:rPr>
                <w:color w:val="auto"/>
                <w:spacing w:val="-96"/>
                <w:sz w:val="21"/>
                <w:szCs w:val="21"/>
                <w:highlight w:val="none"/>
              </w:rPr>
              <w:t xml:space="preserve"> </w:t>
            </w:r>
            <w:r>
              <w:rPr>
                <w:rFonts w:ascii="Times New Roman" w:hAnsi="Times New Roman" w:eastAsia="Times New Roman" w:cs="Times New Roman"/>
                <w:color w:val="auto"/>
                <w:spacing w:val="-7"/>
                <w:sz w:val="21"/>
                <w:szCs w:val="21"/>
                <w:highlight w:val="none"/>
              </w:rPr>
              <w:t>%</w:t>
            </w:r>
            <w:r>
              <w:rPr>
                <w:rFonts w:ascii="Times New Roman" w:hAnsi="Times New Roman" w:eastAsia="Times New Roman" w:cs="Times New Roman"/>
                <w:color w:val="auto"/>
                <w:spacing w:val="-24"/>
                <w:sz w:val="21"/>
                <w:szCs w:val="21"/>
                <w:highlight w:val="none"/>
              </w:rPr>
              <w:t xml:space="preserve"> </w:t>
            </w:r>
            <w:r>
              <w:rPr>
                <w:i/>
                <w:iCs/>
                <w:color w:val="auto"/>
                <w:spacing w:val="-7"/>
                <w:sz w:val="22"/>
                <w:szCs w:val="22"/>
                <w:highlight w:val="none"/>
              </w:rPr>
              <w:t>（不得大于</w:t>
            </w:r>
            <w:r>
              <w:rPr>
                <w:rFonts w:ascii="Times New Roman" w:hAnsi="Times New Roman" w:eastAsia="Times New Roman" w:cs="Times New Roman"/>
                <w:i/>
                <w:iCs/>
                <w:color w:val="auto"/>
                <w:spacing w:val="-7"/>
                <w:sz w:val="21"/>
                <w:szCs w:val="21"/>
                <w:highlight w:val="none"/>
              </w:rPr>
              <w:t>2%</w:t>
            </w:r>
            <w:r>
              <w:rPr>
                <w:i/>
                <w:iCs/>
                <w:color w:val="auto"/>
                <w:spacing w:val="11"/>
                <w:sz w:val="22"/>
                <w:szCs w:val="22"/>
                <w:highlight w:val="none"/>
              </w:rPr>
              <w:t>）</w:t>
            </w:r>
            <w:r>
              <w:rPr>
                <w:color w:val="auto"/>
                <w:spacing w:val="11"/>
                <w:sz w:val="21"/>
                <w:szCs w:val="21"/>
                <w:highlight w:val="none"/>
              </w:rPr>
              <w:t>，</w:t>
            </w:r>
            <w:r>
              <w:rPr>
                <w:color w:val="auto"/>
                <w:spacing w:val="-7"/>
                <w:sz w:val="21"/>
                <w:szCs w:val="21"/>
                <w:highlight w:val="none"/>
              </w:rPr>
              <w:t>招标人将提供相</w:t>
            </w:r>
            <w:r>
              <w:rPr>
                <w:color w:val="auto"/>
                <w:sz w:val="21"/>
                <w:szCs w:val="21"/>
                <w:highlight w:val="none"/>
              </w:rPr>
              <w:t xml:space="preserve"> </w:t>
            </w:r>
            <w:r>
              <w:rPr>
                <w:color w:val="auto"/>
                <w:spacing w:val="-4"/>
                <w:sz w:val="21"/>
                <w:szCs w:val="21"/>
                <w:highlight w:val="none"/>
              </w:rPr>
              <w:t>同金额的工程款支付担保。</w:t>
            </w:r>
          </w:p>
          <w:p w14:paraId="4536E7F9">
            <w:pPr>
              <w:pStyle w:val="17"/>
              <w:spacing w:line="219" w:lineRule="auto"/>
              <w:ind w:left="132"/>
              <w:rPr>
                <w:color w:val="auto"/>
                <w:sz w:val="21"/>
                <w:szCs w:val="21"/>
                <w:highlight w:val="none"/>
              </w:rPr>
            </w:pPr>
            <w:r>
              <w:rPr>
                <w:color w:val="auto"/>
                <w:spacing w:val="-1"/>
                <w:sz w:val="21"/>
                <w:szCs w:val="21"/>
                <w:highlight w:val="none"/>
              </w:rPr>
              <w:t>民工工资支付担保的相关约定：</w:t>
            </w:r>
            <w:r>
              <w:rPr>
                <w:color w:val="auto"/>
                <w:spacing w:val="-1"/>
                <w:sz w:val="21"/>
                <w:szCs w:val="21"/>
                <w:highlight w:val="none"/>
                <w:u w:val="single" w:color="auto"/>
              </w:rPr>
              <w:t xml:space="preserve">  </w:t>
            </w:r>
            <w:r>
              <w:rPr>
                <w:rFonts w:ascii="Times New Roman" w:hAnsi="Times New Roman" w:cs="Times New Roman"/>
                <w:color w:val="auto"/>
                <w:sz w:val="21"/>
                <w:szCs w:val="21"/>
                <w:highlight w:val="none"/>
                <w:u w:val="single"/>
                <w:lang w:eastAsia="zh-CN"/>
              </w:rPr>
              <w:t>必须符合</w:t>
            </w:r>
            <w:r>
              <w:rPr>
                <w:rFonts w:hint="eastAsia" w:ascii="Times New Roman" w:hAnsi="Times New Roman" w:cs="Times New Roman"/>
                <w:color w:val="auto"/>
                <w:sz w:val="21"/>
                <w:szCs w:val="21"/>
                <w:highlight w:val="none"/>
                <w:u w:val="single"/>
                <w:lang w:val="en-US" w:eastAsia="zh-CN"/>
              </w:rPr>
              <w:t>浙江省、</w:t>
            </w:r>
            <w:r>
              <w:rPr>
                <w:rFonts w:ascii="Times New Roman" w:hAnsi="Times New Roman" w:cs="Times New Roman"/>
                <w:color w:val="auto"/>
                <w:sz w:val="21"/>
                <w:szCs w:val="21"/>
                <w:highlight w:val="none"/>
                <w:u w:val="single"/>
                <w:lang w:eastAsia="zh-CN"/>
              </w:rPr>
              <w:t>绍兴市最新文件要求</w:t>
            </w:r>
            <w:r>
              <w:rPr>
                <w:color w:val="auto"/>
                <w:spacing w:val="-1"/>
                <w:sz w:val="21"/>
                <w:szCs w:val="21"/>
                <w:highlight w:val="none"/>
                <w:u w:val="single" w:color="auto"/>
              </w:rPr>
              <w:t xml:space="preserve"> </w:t>
            </w:r>
            <w:r>
              <w:rPr>
                <w:color w:val="auto"/>
                <w:spacing w:val="-1"/>
                <w:sz w:val="21"/>
                <w:szCs w:val="21"/>
                <w:highlight w:val="none"/>
              </w:rPr>
              <w:t>。</w:t>
            </w:r>
          </w:p>
        </w:tc>
      </w:tr>
      <w:tr w14:paraId="285B2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8" w:hRule="atLeast"/>
        </w:trPr>
        <w:tc>
          <w:tcPr>
            <w:tcW w:w="952" w:type="dxa"/>
            <w:tcBorders>
              <w:left w:val="single" w:color="000000" w:sz="6" w:space="0"/>
              <w:bottom w:val="single" w:color="000000" w:sz="6" w:space="0"/>
            </w:tcBorders>
            <w:vAlign w:val="top"/>
          </w:tcPr>
          <w:p w14:paraId="1D42CAA4">
            <w:pPr>
              <w:keepNext w:val="0"/>
              <w:keepLines/>
              <w:pageBreakBefore w:val="0"/>
              <w:widowControl w:val="0"/>
              <w:kinsoku w:val="0"/>
              <w:wordWrap/>
              <w:overflowPunct w:val="0"/>
              <w:topLinePunct w:val="0"/>
              <w:autoSpaceDE w:val="0"/>
              <w:autoSpaceDN w:val="0"/>
              <w:bidi w:val="0"/>
              <w:adjustRightInd w:val="0"/>
              <w:snapToGrid w:val="0"/>
              <w:spacing w:line="333" w:lineRule="auto"/>
              <w:textAlignment w:val="baseline"/>
              <w:rPr>
                <w:rFonts w:ascii="Arial"/>
                <w:color w:val="auto"/>
                <w:sz w:val="21"/>
                <w:highlight w:val="none"/>
              </w:rPr>
            </w:pPr>
          </w:p>
          <w:p w14:paraId="091D818F">
            <w:pPr>
              <w:keepNext w:val="0"/>
              <w:keepLines/>
              <w:pageBreakBefore w:val="0"/>
              <w:widowControl w:val="0"/>
              <w:kinsoku w:val="0"/>
              <w:wordWrap/>
              <w:overflowPunct w:val="0"/>
              <w:topLinePunct w:val="0"/>
              <w:autoSpaceDE w:val="0"/>
              <w:autoSpaceDN w:val="0"/>
              <w:bidi w:val="0"/>
              <w:adjustRightInd w:val="0"/>
              <w:snapToGrid w:val="0"/>
              <w:spacing w:before="61" w:line="188" w:lineRule="auto"/>
              <w:ind w:left="343"/>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9.2</w:t>
            </w:r>
          </w:p>
        </w:tc>
        <w:tc>
          <w:tcPr>
            <w:tcW w:w="2305" w:type="dxa"/>
            <w:tcBorders>
              <w:bottom w:val="single" w:color="000000" w:sz="6" w:space="0"/>
            </w:tcBorders>
            <w:vAlign w:val="top"/>
          </w:tcPr>
          <w:p w14:paraId="52DF9740">
            <w:pPr>
              <w:keepNext w:val="0"/>
              <w:keepLines/>
              <w:pageBreakBefore w:val="0"/>
              <w:widowControl w:val="0"/>
              <w:kinsoku w:val="0"/>
              <w:wordWrap/>
              <w:overflowPunct w:val="0"/>
              <w:topLinePunct w:val="0"/>
              <w:autoSpaceDE w:val="0"/>
              <w:autoSpaceDN w:val="0"/>
              <w:bidi w:val="0"/>
              <w:adjustRightInd w:val="0"/>
              <w:snapToGrid w:val="0"/>
              <w:spacing w:line="289" w:lineRule="auto"/>
              <w:textAlignment w:val="baseline"/>
              <w:rPr>
                <w:rFonts w:ascii="Arial"/>
                <w:color w:val="auto"/>
                <w:sz w:val="21"/>
                <w:highlight w:val="none"/>
              </w:rPr>
            </w:pPr>
          </w:p>
          <w:p w14:paraId="41A22E60">
            <w:pPr>
              <w:pStyle w:val="17"/>
              <w:keepNext w:val="0"/>
              <w:keepLines/>
              <w:pageBreakBefore w:val="0"/>
              <w:widowControl w:val="0"/>
              <w:kinsoku w:val="0"/>
              <w:wordWrap/>
              <w:overflowPunct w:val="0"/>
              <w:topLinePunct w:val="0"/>
              <w:autoSpaceDE w:val="0"/>
              <w:autoSpaceDN w:val="0"/>
              <w:bidi w:val="0"/>
              <w:adjustRightInd w:val="0"/>
              <w:snapToGrid w:val="0"/>
              <w:spacing w:before="68" w:line="220" w:lineRule="auto"/>
              <w:ind w:left="107"/>
              <w:textAlignment w:val="baseline"/>
              <w:rPr>
                <w:color w:val="auto"/>
                <w:sz w:val="21"/>
                <w:szCs w:val="21"/>
                <w:highlight w:val="none"/>
              </w:rPr>
            </w:pPr>
            <w:r>
              <w:rPr>
                <w:color w:val="auto"/>
                <w:spacing w:val="-1"/>
                <w:sz w:val="21"/>
                <w:szCs w:val="21"/>
                <w:highlight w:val="none"/>
              </w:rPr>
              <w:t>对投标人的纪律要求</w:t>
            </w:r>
          </w:p>
        </w:tc>
        <w:tc>
          <w:tcPr>
            <w:tcW w:w="5645" w:type="dxa"/>
            <w:tcBorders>
              <w:bottom w:val="single" w:color="000000" w:sz="6" w:space="0"/>
              <w:right w:val="single" w:color="000000" w:sz="6" w:space="0"/>
            </w:tcBorders>
            <w:vAlign w:val="top"/>
          </w:tcPr>
          <w:p w14:paraId="09975B9E">
            <w:pPr>
              <w:pStyle w:val="17"/>
              <w:keepNext w:val="0"/>
              <w:keepLines w:val="0"/>
              <w:pageBreakBefore w:val="0"/>
              <w:widowControl w:val="0"/>
              <w:kinsoku w:val="0"/>
              <w:wordWrap/>
              <w:overflowPunct w:val="0"/>
              <w:topLinePunct w:val="0"/>
              <w:autoSpaceDE w:val="0"/>
              <w:autoSpaceDN w:val="0"/>
              <w:bidi w:val="0"/>
              <w:adjustRightInd w:val="0"/>
              <w:snapToGrid w:val="0"/>
              <w:spacing w:before="75" w:line="220" w:lineRule="auto"/>
              <w:ind w:left="329"/>
              <w:textAlignment w:val="baseline"/>
              <w:rPr>
                <w:color w:val="auto"/>
                <w:sz w:val="21"/>
                <w:szCs w:val="21"/>
                <w:highlight w:val="none"/>
              </w:rPr>
            </w:pPr>
            <w:r>
              <w:rPr>
                <w:rFonts w:ascii="Times New Roman" w:hAnsi="Times New Roman" w:eastAsia="Times New Roman" w:cs="Times New Roman"/>
                <w:b/>
                <w:bCs/>
                <w:color w:val="auto"/>
                <w:spacing w:val="-2"/>
                <w:sz w:val="21"/>
                <w:szCs w:val="21"/>
                <w:highlight w:val="none"/>
              </w:rPr>
              <w:t xml:space="preserve">1.  </w:t>
            </w:r>
            <w:r>
              <w:rPr>
                <w:b/>
                <w:bCs/>
                <w:color w:val="auto"/>
                <w:spacing w:val="-2"/>
                <w:sz w:val="21"/>
                <w:szCs w:val="21"/>
                <w:highlight w:val="none"/>
              </w:rPr>
              <w:t>下列行为均属以他人名义投标</w:t>
            </w:r>
            <w:r>
              <w:rPr>
                <w:color w:val="auto"/>
                <w:spacing w:val="-2"/>
                <w:sz w:val="21"/>
                <w:szCs w:val="21"/>
                <w:highlight w:val="none"/>
              </w:rPr>
              <w:t>：</w:t>
            </w:r>
          </w:p>
          <w:p w14:paraId="0C2CD8B6">
            <w:pPr>
              <w:pStyle w:val="17"/>
              <w:keepNext w:val="0"/>
              <w:keepLines w:val="0"/>
              <w:pageBreakBefore w:val="0"/>
              <w:widowControl w:val="0"/>
              <w:kinsoku w:val="0"/>
              <w:wordWrap/>
              <w:overflowPunct w:val="0"/>
              <w:topLinePunct w:val="0"/>
              <w:autoSpaceDE w:val="0"/>
              <w:autoSpaceDN w:val="0"/>
              <w:bidi w:val="0"/>
              <w:adjustRightInd w:val="0"/>
              <w:snapToGrid w:val="0"/>
              <w:spacing w:before="49" w:line="220" w:lineRule="auto"/>
              <w:ind w:left="117"/>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1</w:t>
            </w:r>
            <w:r>
              <w:rPr>
                <w:color w:val="auto"/>
                <w:spacing w:val="-3"/>
                <w:sz w:val="21"/>
                <w:szCs w:val="21"/>
                <w:highlight w:val="none"/>
              </w:rPr>
              <w:t>）投标人挂靠其它施工单位。</w:t>
            </w:r>
          </w:p>
          <w:p w14:paraId="159A4854">
            <w:pPr>
              <w:pStyle w:val="17"/>
              <w:keepNext w:val="0"/>
              <w:keepLines w:val="0"/>
              <w:pageBreakBefore w:val="0"/>
              <w:widowControl w:val="0"/>
              <w:kinsoku w:val="0"/>
              <w:wordWrap/>
              <w:overflowPunct w:val="0"/>
              <w:topLinePunct w:val="0"/>
              <w:autoSpaceDE w:val="0"/>
              <w:autoSpaceDN w:val="0"/>
              <w:bidi w:val="0"/>
              <w:adjustRightInd w:val="0"/>
              <w:snapToGrid w:val="0"/>
              <w:spacing w:before="49" w:line="205" w:lineRule="auto"/>
              <w:ind w:left="117"/>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2</w:t>
            </w:r>
            <w:r>
              <w:rPr>
                <w:color w:val="auto"/>
                <w:spacing w:val="-3"/>
                <w:sz w:val="21"/>
                <w:szCs w:val="21"/>
                <w:highlight w:val="none"/>
              </w:rPr>
              <w:t>）投标人从其它施工单位通过受让或租借的方</w:t>
            </w:r>
            <w:r>
              <w:rPr>
                <w:color w:val="auto"/>
                <w:spacing w:val="-4"/>
                <w:sz w:val="21"/>
                <w:szCs w:val="21"/>
                <w:highlight w:val="none"/>
              </w:rPr>
              <w:t>式获取资</w:t>
            </w:r>
          </w:p>
        </w:tc>
      </w:tr>
      <w:tr w14:paraId="1EA27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65" w:hRule="atLeast"/>
        </w:trPr>
        <w:tc>
          <w:tcPr>
            <w:tcW w:w="952" w:type="dxa"/>
            <w:tcBorders>
              <w:left w:val="single" w:color="000000" w:sz="6" w:space="0"/>
              <w:bottom w:val="single" w:color="000000" w:sz="6" w:space="0"/>
            </w:tcBorders>
            <w:vAlign w:val="top"/>
          </w:tcPr>
          <w:p w14:paraId="73C60F5E">
            <w:pPr>
              <w:rPr>
                <w:rFonts w:ascii="Arial"/>
                <w:color w:val="auto"/>
                <w:sz w:val="21"/>
                <w:highlight w:val="none"/>
              </w:rPr>
            </w:pPr>
          </w:p>
        </w:tc>
        <w:tc>
          <w:tcPr>
            <w:tcW w:w="2305" w:type="dxa"/>
            <w:tcBorders>
              <w:bottom w:val="single" w:color="000000" w:sz="6" w:space="0"/>
            </w:tcBorders>
            <w:vAlign w:val="top"/>
          </w:tcPr>
          <w:p w14:paraId="3F33F1D3">
            <w:pPr>
              <w:rPr>
                <w:rFonts w:ascii="Arial"/>
                <w:color w:val="auto"/>
                <w:sz w:val="21"/>
                <w:highlight w:val="none"/>
              </w:rPr>
            </w:pPr>
          </w:p>
        </w:tc>
        <w:tc>
          <w:tcPr>
            <w:tcW w:w="5645" w:type="dxa"/>
            <w:tcBorders>
              <w:bottom w:val="single" w:color="000000" w:sz="6" w:space="0"/>
              <w:right w:val="single" w:color="000000" w:sz="6" w:space="0"/>
            </w:tcBorders>
            <w:vAlign w:val="top"/>
          </w:tcPr>
          <w:p w14:paraId="6881519B">
            <w:pPr>
              <w:pStyle w:val="17"/>
              <w:keepNext w:val="0"/>
              <w:keepLines w:val="0"/>
              <w:pageBreakBefore w:val="0"/>
              <w:widowControl w:val="0"/>
              <w:kinsoku w:val="0"/>
              <w:wordWrap/>
              <w:overflowPunct w:val="0"/>
              <w:topLinePunct w:val="0"/>
              <w:autoSpaceDE w:val="0"/>
              <w:autoSpaceDN w:val="0"/>
              <w:bidi w:val="0"/>
              <w:adjustRightInd w:val="0"/>
              <w:snapToGrid w:val="0"/>
              <w:spacing w:before="70" w:line="219" w:lineRule="auto"/>
              <w:ind w:left="112"/>
              <w:textAlignment w:val="baseline"/>
              <w:rPr>
                <w:color w:val="auto"/>
                <w:sz w:val="21"/>
                <w:szCs w:val="21"/>
                <w:highlight w:val="none"/>
              </w:rPr>
            </w:pPr>
            <w:r>
              <w:rPr>
                <w:color w:val="auto"/>
                <w:spacing w:val="-5"/>
                <w:sz w:val="21"/>
                <w:szCs w:val="21"/>
                <w:highlight w:val="none"/>
              </w:rPr>
              <w:t>格或资质证书。</w:t>
            </w:r>
          </w:p>
          <w:p w14:paraId="21983635">
            <w:pPr>
              <w:pStyle w:val="17"/>
              <w:keepNext w:val="0"/>
              <w:keepLines w:val="0"/>
              <w:pageBreakBefore w:val="0"/>
              <w:widowControl w:val="0"/>
              <w:kinsoku w:val="0"/>
              <w:wordWrap/>
              <w:overflowPunct w:val="0"/>
              <w:topLinePunct w:val="0"/>
              <w:autoSpaceDE w:val="0"/>
              <w:autoSpaceDN w:val="0"/>
              <w:bidi w:val="0"/>
              <w:adjustRightInd w:val="0"/>
              <w:snapToGrid w:val="0"/>
              <w:spacing w:before="50" w:line="264" w:lineRule="auto"/>
              <w:ind w:left="113" w:right="103" w:firstLine="4"/>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3</w:t>
            </w:r>
            <w:r>
              <w:rPr>
                <w:color w:val="auto"/>
                <w:spacing w:val="-3"/>
                <w:sz w:val="21"/>
                <w:szCs w:val="21"/>
                <w:highlight w:val="none"/>
              </w:rPr>
              <w:t>）由其它单位及法定代表人在自己编制的投标</w:t>
            </w:r>
            <w:r>
              <w:rPr>
                <w:color w:val="auto"/>
                <w:spacing w:val="-4"/>
                <w:sz w:val="21"/>
                <w:szCs w:val="21"/>
                <w:highlight w:val="none"/>
              </w:rPr>
              <w:t>文件上加</w:t>
            </w:r>
            <w:r>
              <w:rPr>
                <w:color w:val="auto"/>
                <w:sz w:val="21"/>
                <w:szCs w:val="21"/>
                <w:highlight w:val="none"/>
              </w:rPr>
              <w:t xml:space="preserve"> </w:t>
            </w:r>
            <w:r>
              <w:rPr>
                <w:color w:val="auto"/>
                <w:spacing w:val="-4"/>
                <w:sz w:val="21"/>
                <w:szCs w:val="21"/>
                <w:highlight w:val="none"/>
              </w:rPr>
              <w:t>盖印章或签字的行为。</w:t>
            </w:r>
          </w:p>
          <w:p w14:paraId="095FD524">
            <w:pPr>
              <w:pStyle w:val="17"/>
              <w:keepNext w:val="0"/>
              <w:keepLines w:val="0"/>
              <w:pageBreakBefore w:val="0"/>
              <w:widowControl w:val="0"/>
              <w:kinsoku w:val="0"/>
              <w:wordWrap/>
              <w:overflowPunct w:val="0"/>
              <w:topLinePunct w:val="0"/>
              <w:autoSpaceDE w:val="0"/>
              <w:autoSpaceDN w:val="0"/>
              <w:bidi w:val="0"/>
              <w:adjustRightInd w:val="0"/>
              <w:snapToGrid w:val="0"/>
              <w:spacing w:line="218" w:lineRule="auto"/>
              <w:ind w:left="320"/>
              <w:textAlignment w:val="baseline"/>
              <w:rPr>
                <w:color w:val="auto"/>
                <w:sz w:val="21"/>
                <w:szCs w:val="21"/>
                <w:highlight w:val="none"/>
              </w:rPr>
            </w:pPr>
            <w:r>
              <w:rPr>
                <w:rFonts w:ascii="Times New Roman" w:hAnsi="Times New Roman" w:eastAsia="Times New Roman" w:cs="Times New Roman"/>
                <w:b/>
                <w:bCs/>
                <w:color w:val="auto"/>
                <w:spacing w:val="-3"/>
                <w:sz w:val="21"/>
                <w:szCs w:val="21"/>
                <w:highlight w:val="none"/>
              </w:rPr>
              <w:t xml:space="preserve">2.  </w:t>
            </w:r>
            <w:r>
              <w:rPr>
                <w:b/>
                <w:bCs/>
                <w:color w:val="auto"/>
                <w:spacing w:val="-3"/>
                <w:sz w:val="21"/>
                <w:szCs w:val="21"/>
                <w:highlight w:val="none"/>
              </w:rPr>
              <w:t>下列行为，视为允许他人以本单位名义承揽工程：</w:t>
            </w:r>
          </w:p>
          <w:p w14:paraId="27F97563">
            <w:pPr>
              <w:pStyle w:val="17"/>
              <w:keepNext w:val="0"/>
              <w:keepLines w:val="0"/>
              <w:pageBreakBefore w:val="0"/>
              <w:widowControl w:val="0"/>
              <w:kinsoku w:val="0"/>
              <w:wordWrap/>
              <w:overflowPunct w:val="0"/>
              <w:topLinePunct w:val="0"/>
              <w:autoSpaceDE w:val="0"/>
              <w:autoSpaceDN w:val="0"/>
              <w:bidi w:val="0"/>
              <w:adjustRightInd w:val="0"/>
              <w:snapToGrid w:val="0"/>
              <w:spacing w:before="51" w:line="242" w:lineRule="auto"/>
              <w:ind w:left="113" w:right="103" w:firstLine="3"/>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1</w:t>
            </w:r>
            <w:r>
              <w:rPr>
                <w:color w:val="auto"/>
                <w:spacing w:val="-3"/>
                <w:sz w:val="21"/>
                <w:szCs w:val="21"/>
                <w:highlight w:val="none"/>
              </w:rPr>
              <w:t>）投标人的法定代表人的委托代理人不是投标</w:t>
            </w:r>
            <w:r>
              <w:rPr>
                <w:color w:val="auto"/>
                <w:spacing w:val="-4"/>
                <w:sz w:val="21"/>
                <w:szCs w:val="21"/>
                <w:highlight w:val="none"/>
              </w:rPr>
              <w:t>人本单位</w:t>
            </w:r>
            <w:r>
              <w:rPr>
                <w:color w:val="auto"/>
                <w:sz w:val="21"/>
                <w:szCs w:val="21"/>
                <w:highlight w:val="none"/>
              </w:rPr>
              <w:t xml:space="preserve"> </w:t>
            </w:r>
            <w:r>
              <w:rPr>
                <w:color w:val="auto"/>
                <w:spacing w:val="-9"/>
                <w:sz w:val="21"/>
                <w:szCs w:val="21"/>
                <w:highlight w:val="none"/>
              </w:rPr>
              <w:t>人员。</w:t>
            </w:r>
          </w:p>
          <w:p w14:paraId="2BE2A005">
            <w:pPr>
              <w:pStyle w:val="17"/>
              <w:keepNext w:val="0"/>
              <w:keepLines w:val="0"/>
              <w:pageBreakBefore w:val="0"/>
              <w:widowControl w:val="0"/>
              <w:kinsoku w:val="0"/>
              <w:wordWrap/>
              <w:overflowPunct w:val="0"/>
              <w:topLinePunct w:val="0"/>
              <w:autoSpaceDE w:val="0"/>
              <w:autoSpaceDN w:val="0"/>
              <w:bidi w:val="0"/>
              <w:adjustRightInd w:val="0"/>
              <w:snapToGrid w:val="0"/>
              <w:spacing w:before="48" w:line="249" w:lineRule="auto"/>
              <w:ind w:left="113" w:right="103" w:firstLine="3"/>
              <w:textAlignment w:val="baseline"/>
              <w:rPr>
                <w:color w:val="auto"/>
                <w:sz w:val="21"/>
                <w:szCs w:val="21"/>
                <w:highlight w:val="none"/>
              </w:rPr>
            </w:pPr>
            <w:r>
              <w:rPr>
                <w:color w:val="auto"/>
                <w:spacing w:val="5"/>
                <w:sz w:val="21"/>
                <w:szCs w:val="21"/>
                <w:highlight w:val="none"/>
              </w:rPr>
              <w:t>（</w:t>
            </w:r>
            <w:r>
              <w:rPr>
                <w:rFonts w:ascii="Times New Roman" w:hAnsi="Times New Roman" w:eastAsia="Times New Roman" w:cs="Times New Roman"/>
                <w:color w:val="auto"/>
                <w:spacing w:val="5"/>
                <w:sz w:val="21"/>
                <w:szCs w:val="21"/>
                <w:highlight w:val="none"/>
              </w:rPr>
              <w:t>2</w:t>
            </w:r>
            <w:r>
              <w:rPr>
                <w:color w:val="auto"/>
                <w:spacing w:val="5"/>
                <w:sz w:val="21"/>
                <w:szCs w:val="21"/>
                <w:highlight w:val="none"/>
              </w:rPr>
              <w:t>）投标人拟在施工现场所设项目管理机构的项目负责</w:t>
            </w:r>
            <w:r>
              <w:rPr>
                <w:color w:val="auto"/>
                <w:spacing w:val="3"/>
                <w:sz w:val="21"/>
                <w:szCs w:val="21"/>
                <w:highlight w:val="none"/>
              </w:rPr>
              <w:t xml:space="preserve"> </w:t>
            </w:r>
            <w:r>
              <w:rPr>
                <w:color w:val="auto"/>
                <w:spacing w:val="1"/>
                <w:sz w:val="21"/>
                <w:szCs w:val="21"/>
                <w:highlight w:val="none"/>
              </w:rPr>
              <w:t>人、技术负责人、专职安全生产管理人员、施工员、质检</w:t>
            </w:r>
            <w:r>
              <w:rPr>
                <w:color w:val="auto"/>
                <w:spacing w:val="2"/>
                <w:sz w:val="21"/>
                <w:szCs w:val="21"/>
                <w:highlight w:val="none"/>
              </w:rPr>
              <w:t xml:space="preserve"> </w:t>
            </w:r>
            <w:r>
              <w:rPr>
                <w:color w:val="auto"/>
                <w:spacing w:val="-3"/>
                <w:sz w:val="21"/>
                <w:szCs w:val="21"/>
                <w:highlight w:val="none"/>
              </w:rPr>
              <w:t>员、安全员不是本单位人员。</w:t>
            </w:r>
          </w:p>
          <w:p w14:paraId="640DFC7A">
            <w:pPr>
              <w:pStyle w:val="17"/>
              <w:keepNext w:val="0"/>
              <w:keepLines w:val="0"/>
              <w:pageBreakBefore w:val="0"/>
              <w:widowControl w:val="0"/>
              <w:kinsoku w:val="0"/>
              <w:wordWrap/>
              <w:overflowPunct w:val="0"/>
              <w:topLinePunct w:val="0"/>
              <w:autoSpaceDE w:val="0"/>
              <w:autoSpaceDN w:val="0"/>
              <w:bidi w:val="0"/>
              <w:adjustRightInd w:val="0"/>
              <w:snapToGrid w:val="0"/>
              <w:spacing w:before="51" w:line="219" w:lineRule="auto"/>
              <w:ind w:left="324"/>
              <w:textAlignment w:val="baseline"/>
              <w:rPr>
                <w:color w:val="auto"/>
                <w:sz w:val="21"/>
                <w:szCs w:val="21"/>
                <w:highlight w:val="none"/>
              </w:rPr>
            </w:pPr>
            <w:r>
              <w:rPr>
                <w:color w:val="auto"/>
                <w:spacing w:val="-3"/>
                <w:sz w:val="21"/>
                <w:szCs w:val="21"/>
                <w:highlight w:val="none"/>
              </w:rPr>
              <w:t>投标人本单位人员，必须同时满足以下条件：</w:t>
            </w:r>
          </w:p>
          <w:p w14:paraId="5BE31DAB">
            <w:pPr>
              <w:pStyle w:val="17"/>
              <w:keepNext w:val="0"/>
              <w:keepLines w:val="0"/>
              <w:pageBreakBefore w:val="0"/>
              <w:widowControl w:val="0"/>
              <w:kinsoku w:val="0"/>
              <w:wordWrap/>
              <w:overflowPunct w:val="0"/>
              <w:topLinePunct w:val="0"/>
              <w:autoSpaceDE w:val="0"/>
              <w:autoSpaceDN w:val="0"/>
              <w:bidi w:val="0"/>
              <w:adjustRightInd w:val="0"/>
              <w:snapToGrid w:val="0"/>
              <w:spacing w:before="51" w:line="220" w:lineRule="auto"/>
              <w:ind w:left="338"/>
              <w:textAlignment w:val="baseline"/>
              <w:rPr>
                <w:color w:val="auto"/>
                <w:sz w:val="21"/>
                <w:szCs w:val="21"/>
                <w:highlight w:val="none"/>
              </w:rPr>
            </w:pPr>
            <w:r>
              <w:rPr>
                <w:rFonts w:ascii="Times New Roman" w:hAnsi="Times New Roman" w:eastAsia="Times New Roman" w:cs="Times New Roman"/>
                <w:color w:val="auto"/>
                <w:spacing w:val="-3"/>
                <w:sz w:val="21"/>
                <w:szCs w:val="21"/>
                <w:highlight w:val="none"/>
              </w:rPr>
              <w:t>1</w:t>
            </w:r>
            <w:r>
              <w:rPr>
                <w:color w:val="auto"/>
                <w:spacing w:val="-3"/>
                <w:sz w:val="21"/>
                <w:szCs w:val="21"/>
                <w:highlight w:val="none"/>
              </w:rPr>
              <w:t>）劳动合同必须由投标人单位与其签订。</w:t>
            </w:r>
          </w:p>
          <w:p w14:paraId="38DA6FDD">
            <w:pPr>
              <w:pStyle w:val="17"/>
              <w:keepNext w:val="0"/>
              <w:keepLines w:val="0"/>
              <w:pageBreakBefore w:val="0"/>
              <w:widowControl w:val="0"/>
              <w:kinsoku w:val="0"/>
              <w:wordWrap/>
              <w:overflowPunct w:val="0"/>
              <w:topLinePunct w:val="0"/>
              <w:autoSpaceDE w:val="0"/>
              <w:autoSpaceDN w:val="0"/>
              <w:bidi w:val="0"/>
              <w:adjustRightInd w:val="0"/>
              <w:snapToGrid w:val="0"/>
              <w:spacing w:before="50" w:line="220" w:lineRule="auto"/>
              <w:ind w:left="318"/>
              <w:textAlignment w:val="baseline"/>
              <w:rPr>
                <w:color w:val="auto"/>
                <w:sz w:val="21"/>
                <w:szCs w:val="21"/>
                <w:highlight w:val="none"/>
              </w:rPr>
            </w:pPr>
            <w:r>
              <w:rPr>
                <w:rFonts w:ascii="Times New Roman" w:hAnsi="Times New Roman" w:eastAsia="Times New Roman" w:cs="Times New Roman"/>
                <w:color w:val="auto"/>
                <w:spacing w:val="-2"/>
                <w:sz w:val="21"/>
                <w:szCs w:val="21"/>
                <w:highlight w:val="none"/>
              </w:rPr>
              <w:t>2</w:t>
            </w:r>
            <w:r>
              <w:rPr>
                <w:color w:val="auto"/>
                <w:spacing w:val="-2"/>
                <w:sz w:val="21"/>
                <w:szCs w:val="21"/>
                <w:highlight w:val="none"/>
              </w:rPr>
              <w:t>）与投标人单位有合法的工资关系。</w:t>
            </w:r>
          </w:p>
          <w:p w14:paraId="5CD47AF8">
            <w:pPr>
              <w:pStyle w:val="17"/>
              <w:keepNext w:val="0"/>
              <w:keepLines w:val="0"/>
              <w:pageBreakBefore w:val="0"/>
              <w:widowControl w:val="0"/>
              <w:kinsoku w:val="0"/>
              <w:wordWrap/>
              <w:overflowPunct w:val="0"/>
              <w:topLinePunct w:val="0"/>
              <w:autoSpaceDE w:val="0"/>
              <w:autoSpaceDN w:val="0"/>
              <w:bidi w:val="0"/>
              <w:adjustRightInd w:val="0"/>
              <w:snapToGrid w:val="0"/>
              <w:spacing w:before="50" w:line="241" w:lineRule="auto"/>
              <w:ind w:left="112" w:right="112" w:firstLine="210"/>
              <w:textAlignment w:val="baseline"/>
              <w:rPr>
                <w:color w:val="auto"/>
                <w:sz w:val="21"/>
                <w:szCs w:val="21"/>
                <w:highlight w:val="none"/>
              </w:rPr>
            </w:pPr>
            <w:r>
              <w:rPr>
                <w:rFonts w:ascii="Times New Roman" w:hAnsi="Times New Roman" w:eastAsia="Times New Roman" w:cs="Times New Roman"/>
                <w:color w:val="auto"/>
                <w:spacing w:val="-4"/>
                <w:sz w:val="21"/>
                <w:szCs w:val="21"/>
                <w:highlight w:val="none"/>
              </w:rPr>
              <w:t>3</w:t>
            </w:r>
            <w:r>
              <w:rPr>
                <w:color w:val="auto"/>
                <w:spacing w:val="-4"/>
                <w:sz w:val="21"/>
                <w:szCs w:val="21"/>
                <w:highlight w:val="none"/>
              </w:rPr>
              <w:t>）投标人单位为其办理社会保险关系，或具有其它有效</w:t>
            </w:r>
            <w:r>
              <w:rPr>
                <w:color w:val="auto"/>
                <w:spacing w:val="14"/>
                <w:sz w:val="21"/>
                <w:szCs w:val="21"/>
                <w:highlight w:val="none"/>
              </w:rPr>
              <w:t xml:space="preserve"> </w:t>
            </w:r>
            <w:r>
              <w:rPr>
                <w:color w:val="auto"/>
                <w:spacing w:val="-3"/>
                <w:sz w:val="21"/>
                <w:szCs w:val="21"/>
                <w:highlight w:val="none"/>
              </w:rPr>
              <w:t>证明其为本单位人员身份的文件。</w:t>
            </w:r>
          </w:p>
          <w:p w14:paraId="4201C854">
            <w:pPr>
              <w:pStyle w:val="17"/>
              <w:keepNext w:val="0"/>
              <w:keepLines w:val="0"/>
              <w:pageBreakBefore w:val="0"/>
              <w:widowControl w:val="0"/>
              <w:kinsoku w:val="0"/>
              <w:wordWrap/>
              <w:overflowPunct w:val="0"/>
              <w:topLinePunct w:val="0"/>
              <w:autoSpaceDE w:val="0"/>
              <w:autoSpaceDN w:val="0"/>
              <w:bidi w:val="0"/>
              <w:adjustRightInd w:val="0"/>
              <w:snapToGrid w:val="0"/>
              <w:spacing w:before="21"/>
              <w:ind w:left="112" w:right="82" w:firstLine="542"/>
              <w:jc w:val="both"/>
              <w:textAlignment w:val="baseline"/>
              <w:rPr>
                <w:color w:val="auto"/>
                <w:sz w:val="21"/>
                <w:szCs w:val="21"/>
                <w:highlight w:val="none"/>
              </w:rPr>
            </w:pPr>
            <w:r>
              <w:rPr>
                <w:color w:val="auto"/>
                <w:spacing w:val="46"/>
                <w:sz w:val="21"/>
                <w:szCs w:val="21"/>
                <w:highlight w:val="none"/>
              </w:rPr>
              <w:t>备注</w:t>
            </w:r>
            <w:r>
              <w:rPr>
                <w:color w:val="auto"/>
                <w:spacing w:val="-37"/>
                <w:sz w:val="21"/>
                <w:szCs w:val="21"/>
                <w:highlight w:val="none"/>
              </w:rPr>
              <w:t xml:space="preserve"> </w:t>
            </w:r>
            <w:r>
              <w:rPr>
                <w:color w:val="auto"/>
                <w:spacing w:val="46"/>
                <w:sz w:val="21"/>
                <w:szCs w:val="21"/>
                <w:highlight w:val="none"/>
              </w:rPr>
              <w:t>：如拟派项目组主要人员所提供的安</w:t>
            </w:r>
            <w:r>
              <w:rPr>
                <w:color w:val="auto"/>
                <w:sz w:val="21"/>
                <w:szCs w:val="21"/>
                <w:highlight w:val="none"/>
              </w:rPr>
              <w:t xml:space="preserve"> </w:t>
            </w:r>
            <w:r>
              <w:rPr>
                <w:color w:val="auto"/>
                <w:spacing w:val="36"/>
                <w:sz w:val="21"/>
                <w:szCs w:val="21"/>
                <w:highlight w:val="none"/>
              </w:rPr>
              <w:t>全生产考核合格证书</w:t>
            </w:r>
            <w:r>
              <w:rPr>
                <w:color w:val="auto"/>
                <w:spacing w:val="-5"/>
                <w:sz w:val="21"/>
                <w:szCs w:val="21"/>
                <w:highlight w:val="none"/>
              </w:rPr>
              <w:t xml:space="preserve"> </w:t>
            </w:r>
            <w:r>
              <w:rPr>
                <w:color w:val="auto"/>
                <w:spacing w:val="36"/>
                <w:sz w:val="21"/>
                <w:szCs w:val="21"/>
                <w:highlight w:val="none"/>
              </w:rPr>
              <w:t>、</w:t>
            </w:r>
            <w:r>
              <w:rPr>
                <w:color w:val="auto"/>
                <w:spacing w:val="-36"/>
                <w:sz w:val="21"/>
                <w:szCs w:val="21"/>
                <w:highlight w:val="none"/>
              </w:rPr>
              <w:t xml:space="preserve"> </w:t>
            </w:r>
            <w:r>
              <w:rPr>
                <w:color w:val="auto"/>
                <w:spacing w:val="36"/>
                <w:sz w:val="21"/>
                <w:szCs w:val="21"/>
                <w:highlight w:val="none"/>
              </w:rPr>
              <w:t>职称证书</w:t>
            </w:r>
            <w:r>
              <w:rPr>
                <w:color w:val="auto"/>
                <w:spacing w:val="-22"/>
                <w:sz w:val="21"/>
                <w:szCs w:val="21"/>
                <w:highlight w:val="none"/>
              </w:rPr>
              <w:t xml:space="preserve"> </w:t>
            </w:r>
            <w:r>
              <w:rPr>
                <w:color w:val="auto"/>
                <w:spacing w:val="36"/>
                <w:sz w:val="21"/>
                <w:szCs w:val="21"/>
                <w:highlight w:val="none"/>
              </w:rPr>
              <w:t>、</w:t>
            </w:r>
            <w:r>
              <w:rPr>
                <w:color w:val="auto"/>
                <w:spacing w:val="-37"/>
                <w:sz w:val="21"/>
                <w:szCs w:val="21"/>
                <w:highlight w:val="none"/>
              </w:rPr>
              <w:t xml:space="preserve"> </w:t>
            </w:r>
            <w:r>
              <w:rPr>
                <w:color w:val="auto"/>
                <w:spacing w:val="36"/>
                <w:sz w:val="21"/>
                <w:szCs w:val="21"/>
                <w:highlight w:val="none"/>
              </w:rPr>
              <w:t>注册证书</w:t>
            </w:r>
            <w:r>
              <w:rPr>
                <w:color w:val="auto"/>
                <w:spacing w:val="-45"/>
                <w:sz w:val="21"/>
                <w:szCs w:val="21"/>
                <w:highlight w:val="none"/>
              </w:rPr>
              <w:t xml:space="preserve"> </w:t>
            </w:r>
            <w:r>
              <w:rPr>
                <w:color w:val="auto"/>
                <w:spacing w:val="36"/>
                <w:sz w:val="21"/>
                <w:szCs w:val="21"/>
                <w:highlight w:val="none"/>
              </w:rPr>
              <w:t>、</w:t>
            </w:r>
            <w:r>
              <w:rPr>
                <w:color w:val="auto"/>
                <w:sz w:val="21"/>
                <w:szCs w:val="21"/>
                <w:highlight w:val="none"/>
              </w:rPr>
              <w:t xml:space="preserve"> </w:t>
            </w:r>
            <w:r>
              <w:rPr>
                <w:color w:val="auto"/>
                <w:spacing w:val="-12"/>
                <w:sz w:val="21"/>
                <w:szCs w:val="21"/>
                <w:highlight w:val="none"/>
              </w:rPr>
              <w:t>培</w:t>
            </w:r>
            <w:r>
              <w:rPr>
                <w:color w:val="auto"/>
                <w:spacing w:val="-20"/>
                <w:sz w:val="21"/>
                <w:szCs w:val="21"/>
                <w:highlight w:val="none"/>
              </w:rPr>
              <w:t xml:space="preserve"> </w:t>
            </w:r>
            <w:r>
              <w:rPr>
                <w:color w:val="auto"/>
                <w:spacing w:val="-12"/>
                <w:sz w:val="21"/>
                <w:szCs w:val="21"/>
                <w:highlight w:val="none"/>
              </w:rPr>
              <w:t>训</w:t>
            </w:r>
            <w:r>
              <w:rPr>
                <w:color w:val="auto"/>
                <w:spacing w:val="-27"/>
                <w:sz w:val="21"/>
                <w:szCs w:val="21"/>
                <w:highlight w:val="none"/>
              </w:rPr>
              <w:t xml:space="preserve"> </w:t>
            </w:r>
            <w:r>
              <w:rPr>
                <w:color w:val="auto"/>
                <w:spacing w:val="-12"/>
                <w:sz w:val="21"/>
                <w:szCs w:val="21"/>
                <w:highlight w:val="none"/>
              </w:rPr>
              <w:t>合</w:t>
            </w:r>
            <w:r>
              <w:rPr>
                <w:color w:val="auto"/>
                <w:spacing w:val="-29"/>
                <w:sz w:val="21"/>
                <w:szCs w:val="21"/>
                <w:highlight w:val="none"/>
              </w:rPr>
              <w:t xml:space="preserve"> </w:t>
            </w:r>
            <w:r>
              <w:rPr>
                <w:color w:val="auto"/>
                <w:spacing w:val="-12"/>
                <w:sz w:val="21"/>
                <w:szCs w:val="21"/>
                <w:highlight w:val="none"/>
              </w:rPr>
              <w:t>格</w:t>
            </w:r>
            <w:r>
              <w:rPr>
                <w:color w:val="auto"/>
                <w:spacing w:val="-27"/>
                <w:sz w:val="21"/>
                <w:szCs w:val="21"/>
                <w:highlight w:val="none"/>
              </w:rPr>
              <w:t xml:space="preserve"> </w:t>
            </w:r>
            <w:r>
              <w:rPr>
                <w:color w:val="auto"/>
                <w:spacing w:val="-12"/>
                <w:sz w:val="21"/>
                <w:szCs w:val="21"/>
                <w:highlight w:val="none"/>
              </w:rPr>
              <w:t>证</w:t>
            </w:r>
            <w:r>
              <w:rPr>
                <w:color w:val="auto"/>
                <w:spacing w:val="-24"/>
                <w:sz w:val="21"/>
                <w:szCs w:val="21"/>
                <w:highlight w:val="none"/>
              </w:rPr>
              <w:t xml:space="preserve"> </w:t>
            </w:r>
            <w:r>
              <w:rPr>
                <w:color w:val="auto"/>
                <w:spacing w:val="-12"/>
                <w:sz w:val="21"/>
                <w:szCs w:val="21"/>
                <w:highlight w:val="none"/>
              </w:rPr>
              <w:t>书</w:t>
            </w:r>
            <w:r>
              <w:rPr>
                <w:color w:val="auto"/>
                <w:spacing w:val="-27"/>
                <w:sz w:val="21"/>
                <w:szCs w:val="21"/>
                <w:highlight w:val="none"/>
              </w:rPr>
              <w:t xml:space="preserve"> </w:t>
            </w:r>
            <w:r>
              <w:rPr>
                <w:color w:val="auto"/>
                <w:spacing w:val="-12"/>
                <w:sz w:val="21"/>
                <w:szCs w:val="21"/>
                <w:highlight w:val="none"/>
              </w:rPr>
              <w:t>等 资</w:t>
            </w:r>
            <w:r>
              <w:rPr>
                <w:color w:val="auto"/>
                <w:spacing w:val="-27"/>
                <w:sz w:val="21"/>
                <w:szCs w:val="21"/>
                <w:highlight w:val="none"/>
              </w:rPr>
              <w:t xml:space="preserve"> </w:t>
            </w:r>
            <w:r>
              <w:rPr>
                <w:color w:val="auto"/>
                <w:spacing w:val="-12"/>
                <w:sz w:val="21"/>
                <w:szCs w:val="21"/>
                <w:highlight w:val="none"/>
              </w:rPr>
              <w:t>格</w:t>
            </w:r>
            <w:r>
              <w:rPr>
                <w:color w:val="auto"/>
                <w:spacing w:val="-27"/>
                <w:sz w:val="21"/>
                <w:szCs w:val="21"/>
                <w:highlight w:val="none"/>
              </w:rPr>
              <w:t xml:space="preserve"> </w:t>
            </w:r>
            <w:r>
              <w:rPr>
                <w:color w:val="auto"/>
                <w:spacing w:val="-12"/>
                <w:sz w:val="21"/>
                <w:szCs w:val="21"/>
                <w:highlight w:val="none"/>
              </w:rPr>
              <w:t>条</w:t>
            </w:r>
            <w:r>
              <w:rPr>
                <w:color w:val="auto"/>
                <w:spacing w:val="-29"/>
                <w:sz w:val="21"/>
                <w:szCs w:val="21"/>
                <w:highlight w:val="none"/>
              </w:rPr>
              <w:t xml:space="preserve"> </w:t>
            </w:r>
            <w:r>
              <w:rPr>
                <w:color w:val="auto"/>
                <w:spacing w:val="-12"/>
                <w:sz w:val="21"/>
                <w:szCs w:val="21"/>
                <w:highlight w:val="none"/>
              </w:rPr>
              <w:t>件</w:t>
            </w:r>
            <w:r>
              <w:rPr>
                <w:color w:val="auto"/>
                <w:spacing w:val="-28"/>
                <w:sz w:val="21"/>
                <w:szCs w:val="21"/>
                <w:highlight w:val="none"/>
              </w:rPr>
              <w:t xml:space="preserve"> </w:t>
            </w:r>
            <w:r>
              <w:rPr>
                <w:color w:val="auto"/>
                <w:spacing w:val="-12"/>
                <w:sz w:val="21"/>
                <w:szCs w:val="21"/>
                <w:highlight w:val="none"/>
              </w:rPr>
              <w:t>证</w:t>
            </w:r>
            <w:r>
              <w:rPr>
                <w:color w:val="auto"/>
                <w:spacing w:val="-23"/>
                <w:sz w:val="21"/>
                <w:szCs w:val="21"/>
                <w:highlight w:val="none"/>
              </w:rPr>
              <w:t xml:space="preserve"> </w:t>
            </w:r>
            <w:r>
              <w:rPr>
                <w:color w:val="auto"/>
                <w:spacing w:val="-12"/>
                <w:sz w:val="21"/>
                <w:szCs w:val="21"/>
                <w:highlight w:val="none"/>
              </w:rPr>
              <w:t>书 中</w:t>
            </w:r>
            <w:r>
              <w:rPr>
                <w:color w:val="auto"/>
                <w:spacing w:val="-21"/>
                <w:sz w:val="21"/>
                <w:szCs w:val="21"/>
                <w:highlight w:val="none"/>
              </w:rPr>
              <w:t xml:space="preserve"> </w:t>
            </w:r>
            <w:r>
              <w:rPr>
                <w:color w:val="auto"/>
                <w:spacing w:val="-12"/>
                <w:sz w:val="21"/>
                <w:szCs w:val="21"/>
                <w:highlight w:val="none"/>
              </w:rPr>
              <w:t>能</w:t>
            </w:r>
            <w:r>
              <w:rPr>
                <w:color w:val="auto"/>
                <w:spacing w:val="-23"/>
                <w:sz w:val="21"/>
                <w:szCs w:val="21"/>
                <w:highlight w:val="none"/>
              </w:rPr>
              <w:t xml:space="preserve"> </w:t>
            </w:r>
            <w:r>
              <w:rPr>
                <w:color w:val="auto"/>
                <w:spacing w:val="-12"/>
                <w:sz w:val="21"/>
                <w:szCs w:val="21"/>
                <w:highlight w:val="none"/>
              </w:rPr>
              <w:t>显</w:t>
            </w:r>
            <w:r>
              <w:rPr>
                <w:color w:val="auto"/>
                <w:spacing w:val="-26"/>
                <w:sz w:val="21"/>
                <w:szCs w:val="21"/>
                <w:highlight w:val="none"/>
              </w:rPr>
              <w:t xml:space="preserve"> </w:t>
            </w:r>
            <w:r>
              <w:rPr>
                <w:color w:val="auto"/>
                <w:spacing w:val="-12"/>
                <w:sz w:val="21"/>
                <w:szCs w:val="21"/>
                <w:highlight w:val="none"/>
              </w:rPr>
              <w:t>示</w:t>
            </w:r>
            <w:r>
              <w:rPr>
                <w:color w:val="auto"/>
                <w:spacing w:val="-28"/>
                <w:sz w:val="21"/>
                <w:szCs w:val="21"/>
                <w:highlight w:val="none"/>
              </w:rPr>
              <w:t xml:space="preserve"> </w:t>
            </w:r>
            <w:r>
              <w:rPr>
                <w:color w:val="auto"/>
                <w:spacing w:val="-12"/>
                <w:sz w:val="21"/>
                <w:szCs w:val="21"/>
                <w:highlight w:val="none"/>
              </w:rPr>
              <w:t>其</w:t>
            </w:r>
            <w:r>
              <w:rPr>
                <w:color w:val="auto"/>
                <w:spacing w:val="-26"/>
                <w:sz w:val="21"/>
                <w:szCs w:val="21"/>
                <w:highlight w:val="none"/>
              </w:rPr>
              <w:t xml:space="preserve"> </w:t>
            </w:r>
            <w:r>
              <w:rPr>
                <w:color w:val="auto"/>
                <w:spacing w:val="-12"/>
                <w:sz w:val="21"/>
                <w:szCs w:val="21"/>
                <w:highlight w:val="none"/>
              </w:rPr>
              <w:t>投</w:t>
            </w:r>
            <w:r>
              <w:rPr>
                <w:color w:val="auto"/>
                <w:sz w:val="21"/>
                <w:szCs w:val="21"/>
                <w:highlight w:val="none"/>
              </w:rPr>
              <w:t xml:space="preserve"> </w:t>
            </w:r>
            <w:r>
              <w:rPr>
                <w:color w:val="auto"/>
                <w:spacing w:val="42"/>
                <w:sz w:val="21"/>
                <w:szCs w:val="21"/>
                <w:highlight w:val="none"/>
              </w:rPr>
              <w:t>标人单位的</w:t>
            </w:r>
            <w:r>
              <w:rPr>
                <w:color w:val="auto"/>
                <w:spacing w:val="-11"/>
                <w:sz w:val="21"/>
                <w:szCs w:val="21"/>
                <w:highlight w:val="none"/>
              </w:rPr>
              <w:t xml:space="preserve"> </w:t>
            </w:r>
            <w:r>
              <w:rPr>
                <w:color w:val="auto"/>
                <w:spacing w:val="42"/>
                <w:sz w:val="21"/>
                <w:szCs w:val="21"/>
                <w:highlight w:val="none"/>
              </w:rPr>
              <w:t>，视为投标人本单位人员</w:t>
            </w:r>
            <w:r>
              <w:rPr>
                <w:color w:val="auto"/>
                <w:spacing w:val="-19"/>
                <w:sz w:val="21"/>
                <w:szCs w:val="21"/>
                <w:highlight w:val="none"/>
              </w:rPr>
              <w:t xml:space="preserve"> </w:t>
            </w:r>
            <w:r>
              <w:rPr>
                <w:color w:val="auto"/>
                <w:spacing w:val="42"/>
                <w:sz w:val="21"/>
                <w:szCs w:val="21"/>
                <w:highlight w:val="none"/>
              </w:rPr>
              <w:t>，无须再</w:t>
            </w:r>
            <w:r>
              <w:rPr>
                <w:color w:val="auto"/>
                <w:sz w:val="21"/>
                <w:szCs w:val="21"/>
                <w:highlight w:val="none"/>
              </w:rPr>
              <w:t xml:space="preserve"> </w:t>
            </w:r>
            <w:r>
              <w:rPr>
                <w:color w:val="auto"/>
                <w:spacing w:val="-11"/>
                <w:sz w:val="21"/>
                <w:szCs w:val="21"/>
                <w:highlight w:val="none"/>
              </w:rPr>
              <w:t>提</w:t>
            </w:r>
            <w:r>
              <w:rPr>
                <w:color w:val="auto"/>
                <w:spacing w:val="-37"/>
                <w:sz w:val="21"/>
                <w:szCs w:val="21"/>
                <w:highlight w:val="none"/>
              </w:rPr>
              <w:t xml:space="preserve"> </w:t>
            </w:r>
            <w:r>
              <w:rPr>
                <w:color w:val="auto"/>
                <w:spacing w:val="-11"/>
                <w:sz w:val="21"/>
                <w:szCs w:val="21"/>
                <w:highlight w:val="none"/>
              </w:rPr>
              <w:t>供</w:t>
            </w:r>
            <w:r>
              <w:rPr>
                <w:color w:val="auto"/>
                <w:spacing w:val="-32"/>
                <w:sz w:val="21"/>
                <w:szCs w:val="21"/>
                <w:highlight w:val="none"/>
              </w:rPr>
              <w:t xml:space="preserve"> </w:t>
            </w:r>
            <w:r>
              <w:rPr>
                <w:color w:val="auto"/>
                <w:spacing w:val="-11"/>
                <w:sz w:val="21"/>
                <w:szCs w:val="21"/>
                <w:highlight w:val="none"/>
              </w:rPr>
              <w:t>劳</w:t>
            </w:r>
            <w:r>
              <w:rPr>
                <w:color w:val="auto"/>
                <w:spacing w:val="-36"/>
                <w:sz w:val="21"/>
                <w:szCs w:val="21"/>
                <w:highlight w:val="none"/>
              </w:rPr>
              <w:t xml:space="preserve"> </w:t>
            </w:r>
            <w:r>
              <w:rPr>
                <w:color w:val="auto"/>
                <w:spacing w:val="-11"/>
                <w:sz w:val="21"/>
                <w:szCs w:val="21"/>
                <w:highlight w:val="none"/>
              </w:rPr>
              <w:t>动</w:t>
            </w:r>
            <w:r>
              <w:rPr>
                <w:color w:val="auto"/>
                <w:spacing w:val="-35"/>
                <w:sz w:val="21"/>
                <w:szCs w:val="21"/>
                <w:highlight w:val="none"/>
              </w:rPr>
              <w:t xml:space="preserve"> </w:t>
            </w:r>
            <w:r>
              <w:rPr>
                <w:color w:val="auto"/>
                <w:spacing w:val="-11"/>
                <w:sz w:val="21"/>
                <w:szCs w:val="21"/>
                <w:highlight w:val="none"/>
              </w:rPr>
              <w:t>合 同</w:t>
            </w:r>
            <w:r>
              <w:rPr>
                <w:color w:val="auto"/>
                <w:spacing w:val="-46"/>
                <w:sz w:val="21"/>
                <w:szCs w:val="21"/>
                <w:highlight w:val="none"/>
              </w:rPr>
              <w:t xml:space="preserve"> </w:t>
            </w:r>
            <w:r>
              <w:rPr>
                <w:color w:val="auto"/>
                <w:spacing w:val="-11"/>
                <w:sz w:val="21"/>
                <w:szCs w:val="21"/>
                <w:highlight w:val="none"/>
              </w:rPr>
              <w:t>、工</w:t>
            </w:r>
            <w:r>
              <w:rPr>
                <w:color w:val="auto"/>
                <w:spacing w:val="-27"/>
                <w:sz w:val="21"/>
                <w:szCs w:val="21"/>
                <w:highlight w:val="none"/>
              </w:rPr>
              <w:t xml:space="preserve"> </w:t>
            </w:r>
            <w:r>
              <w:rPr>
                <w:color w:val="auto"/>
                <w:spacing w:val="-11"/>
                <w:sz w:val="21"/>
                <w:szCs w:val="21"/>
                <w:highlight w:val="none"/>
              </w:rPr>
              <w:t>资</w:t>
            </w:r>
            <w:r>
              <w:rPr>
                <w:color w:val="auto"/>
                <w:spacing w:val="-34"/>
                <w:sz w:val="21"/>
                <w:szCs w:val="21"/>
                <w:highlight w:val="none"/>
              </w:rPr>
              <w:t xml:space="preserve"> </w:t>
            </w:r>
            <w:r>
              <w:rPr>
                <w:color w:val="auto"/>
                <w:spacing w:val="-11"/>
                <w:sz w:val="21"/>
                <w:szCs w:val="21"/>
                <w:highlight w:val="none"/>
              </w:rPr>
              <w:t>关</w:t>
            </w:r>
            <w:r>
              <w:rPr>
                <w:color w:val="auto"/>
                <w:spacing w:val="-32"/>
                <w:sz w:val="21"/>
                <w:szCs w:val="21"/>
                <w:highlight w:val="none"/>
              </w:rPr>
              <w:t xml:space="preserve"> </w:t>
            </w:r>
            <w:r>
              <w:rPr>
                <w:color w:val="auto"/>
                <w:spacing w:val="-11"/>
                <w:sz w:val="21"/>
                <w:szCs w:val="21"/>
                <w:highlight w:val="none"/>
              </w:rPr>
              <w:t>系</w:t>
            </w:r>
            <w:r>
              <w:rPr>
                <w:color w:val="auto"/>
                <w:spacing w:val="-37"/>
                <w:sz w:val="21"/>
                <w:szCs w:val="21"/>
                <w:highlight w:val="none"/>
              </w:rPr>
              <w:t xml:space="preserve"> </w:t>
            </w:r>
            <w:r>
              <w:rPr>
                <w:color w:val="auto"/>
                <w:spacing w:val="-11"/>
                <w:sz w:val="21"/>
                <w:szCs w:val="21"/>
                <w:highlight w:val="none"/>
              </w:rPr>
              <w:t>证 明</w:t>
            </w:r>
            <w:r>
              <w:rPr>
                <w:color w:val="auto"/>
                <w:spacing w:val="-45"/>
                <w:sz w:val="21"/>
                <w:szCs w:val="21"/>
                <w:highlight w:val="none"/>
              </w:rPr>
              <w:t xml:space="preserve"> </w:t>
            </w:r>
            <w:r>
              <w:rPr>
                <w:color w:val="auto"/>
                <w:spacing w:val="-11"/>
                <w:sz w:val="21"/>
                <w:szCs w:val="21"/>
                <w:highlight w:val="none"/>
              </w:rPr>
              <w:t>、社</w:t>
            </w:r>
            <w:r>
              <w:rPr>
                <w:color w:val="auto"/>
                <w:spacing w:val="-36"/>
                <w:sz w:val="21"/>
                <w:szCs w:val="21"/>
                <w:highlight w:val="none"/>
              </w:rPr>
              <w:t xml:space="preserve"> </w:t>
            </w:r>
            <w:r>
              <w:rPr>
                <w:color w:val="auto"/>
                <w:spacing w:val="-11"/>
                <w:sz w:val="21"/>
                <w:szCs w:val="21"/>
                <w:highlight w:val="none"/>
              </w:rPr>
              <w:t>保</w:t>
            </w:r>
            <w:r>
              <w:rPr>
                <w:color w:val="auto"/>
                <w:spacing w:val="-37"/>
                <w:sz w:val="21"/>
                <w:szCs w:val="21"/>
                <w:highlight w:val="none"/>
              </w:rPr>
              <w:t xml:space="preserve"> </w:t>
            </w:r>
            <w:r>
              <w:rPr>
                <w:color w:val="auto"/>
                <w:spacing w:val="-11"/>
                <w:sz w:val="21"/>
                <w:szCs w:val="21"/>
                <w:highlight w:val="none"/>
              </w:rPr>
              <w:t>证</w:t>
            </w:r>
            <w:r>
              <w:rPr>
                <w:color w:val="auto"/>
                <w:spacing w:val="-17"/>
                <w:sz w:val="21"/>
                <w:szCs w:val="21"/>
                <w:highlight w:val="none"/>
              </w:rPr>
              <w:t xml:space="preserve"> </w:t>
            </w:r>
            <w:r>
              <w:rPr>
                <w:color w:val="auto"/>
                <w:spacing w:val="-11"/>
                <w:sz w:val="21"/>
                <w:szCs w:val="21"/>
                <w:highlight w:val="none"/>
              </w:rPr>
              <w:t>明</w:t>
            </w:r>
            <w:r>
              <w:rPr>
                <w:color w:val="auto"/>
                <w:spacing w:val="-35"/>
                <w:sz w:val="21"/>
                <w:szCs w:val="21"/>
                <w:highlight w:val="none"/>
              </w:rPr>
              <w:t xml:space="preserve"> </w:t>
            </w:r>
            <w:r>
              <w:rPr>
                <w:color w:val="auto"/>
                <w:spacing w:val="-11"/>
                <w:sz w:val="21"/>
                <w:szCs w:val="21"/>
                <w:highlight w:val="none"/>
              </w:rPr>
              <w:t>等</w:t>
            </w:r>
            <w:r>
              <w:rPr>
                <w:color w:val="auto"/>
                <w:spacing w:val="-37"/>
                <w:sz w:val="21"/>
                <w:szCs w:val="21"/>
                <w:highlight w:val="none"/>
              </w:rPr>
              <w:t xml:space="preserve"> </w:t>
            </w:r>
            <w:r>
              <w:rPr>
                <w:color w:val="auto"/>
                <w:spacing w:val="-11"/>
                <w:sz w:val="21"/>
                <w:szCs w:val="21"/>
                <w:highlight w:val="none"/>
              </w:rPr>
              <w:t>证</w:t>
            </w:r>
            <w:r>
              <w:rPr>
                <w:color w:val="auto"/>
                <w:sz w:val="21"/>
                <w:szCs w:val="21"/>
                <w:highlight w:val="none"/>
              </w:rPr>
              <w:t xml:space="preserve"> </w:t>
            </w:r>
            <w:r>
              <w:rPr>
                <w:color w:val="auto"/>
                <w:spacing w:val="48"/>
                <w:sz w:val="21"/>
                <w:szCs w:val="21"/>
                <w:highlight w:val="none"/>
              </w:rPr>
              <w:t>明资料</w:t>
            </w:r>
            <w:r>
              <w:rPr>
                <w:color w:val="auto"/>
                <w:spacing w:val="-46"/>
                <w:sz w:val="21"/>
                <w:szCs w:val="21"/>
                <w:highlight w:val="none"/>
              </w:rPr>
              <w:t xml:space="preserve"> </w:t>
            </w:r>
            <w:r>
              <w:rPr>
                <w:color w:val="auto"/>
                <w:spacing w:val="48"/>
                <w:sz w:val="21"/>
                <w:szCs w:val="21"/>
                <w:highlight w:val="none"/>
              </w:rPr>
              <w:t>，资格条件证书中不能显示其投标人单</w:t>
            </w:r>
            <w:r>
              <w:rPr>
                <w:color w:val="auto"/>
                <w:sz w:val="21"/>
                <w:szCs w:val="21"/>
                <w:highlight w:val="none"/>
              </w:rPr>
              <w:t xml:space="preserve"> </w:t>
            </w:r>
            <w:r>
              <w:rPr>
                <w:color w:val="auto"/>
                <w:spacing w:val="-14"/>
                <w:sz w:val="21"/>
                <w:szCs w:val="21"/>
                <w:highlight w:val="none"/>
              </w:rPr>
              <w:t>位 的</w:t>
            </w:r>
            <w:r>
              <w:rPr>
                <w:color w:val="auto"/>
                <w:spacing w:val="-6"/>
                <w:sz w:val="21"/>
                <w:szCs w:val="21"/>
                <w:highlight w:val="none"/>
              </w:rPr>
              <w:t xml:space="preserve"> </w:t>
            </w:r>
            <w:r>
              <w:rPr>
                <w:color w:val="auto"/>
                <w:spacing w:val="-14"/>
                <w:sz w:val="21"/>
                <w:szCs w:val="21"/>
                <w:highlight w:val="none"/>
              </w:rPr>
              <w:t>，</w:t>
            </w:r>
            <w:r>
              <w:rPr>
                <w:color w:val="auto"/>
                <w:spacing w:val="-59"/>
                <w:sz w:val="21"/>
                <w:szCs w:val="21"/>
                <w:highlight w:val="none"/>
              </w:rPr>
              <w:t xml:space="preserve"> </w:t>
            </w:r>
            <w:r>
              <w:rPr>
                <w:color w:val="auto"/>
                <w:spacing w:val="-14"/>
                <w:sz w:val="21"/>
                <w:szCs w:val="21"/>
                <w:highlight w:val="none"/>
              </w:rPr>
              <w:t>应</w:t>
            </w:r>
            <w:r>
              <w:rPr>
                <w:color w:val="auto"/>
                <w:spacing w:val="-36"/>
                <w:sz w:val="21"/>
                <w:szCs w:val="21"/>
                <w:highlight w:val="none"/>
              </w:rPr>
              <w:t xml:space="preserve"> </w:t>
            </w:r>
            <w:r>
              <w:rPr>
                <w:color w:val="auto"/>
                <w:spacing w:val="-14"/>
                <w:sz w:val="21"/>
                <w:szCs w:val="21"/>
                <w:highlight w:val="none"/>
              </w:rPr>
              <w:t>提</w:t>
            </w:r>
            <w:r>
              <w:rPr>
                <w:color w:val="auto"/>
                <w:spacing w:val="-36"/>
                <w:sz w:val="21"/>
                <w:szCs w:val="21"/>
                <w:highlight w:val="none"/>
              </w:rPr>
              <w:t xml:space="preserve"> </w:t>
            </w:r>
            <w:r>
              <w:rPr>
                <w:color w:val="auto"/>
                <w:spacing w:val="-14"/>
                <w:sz w:val="21"/>
                <w:szCs w:val="21"/>
                <w:highlight w:val="none"/>
              </w:rPr>
              <w:t>供</w:t>
            </w:r>
            <w:r>
              <w:rPr>
                <w:color w:val="auto"/>
                <w:spacing w:val="-45"/>
                <w:sz w:val="21"/>
                <w:szCs w:val="21"/>
                <w:highlight w:val="none"/>
              </w:rPr>
              <w:t xml:space="preserve"> </w:t>
            </w:r>
            <w:r>
              <w:rPr>
                <w:color w:val="auto"/>
                <w:spacing w:val="18"/>
                <w:sz w:val="21"/>
                <w:szCs w:val="21"/>
                <w:highlight w:val="none"/>
                <w:u w:val="single" w:color="auto"/>
              </w:rPr>
              <w:t xml:space="preserve"> </w:t>
            </w:r>
            <w:r>
              <w:rPr>
                <w:rFonts w:hint="eastAsia"/>
                <w:color w:val="auto"/>
                <w:spacing w:val="18"/>
                <w:sz w:val="21"/>
                <w:szCs w:val="21"/>
                <w:highlight w:val="none"/>
                <w:u w:val="single" w:color="auto"/>
                <w:lang w:val="en-US" w:eastAsia="zh-CN"/>
              </w:rPr>
              <w:t>2025</w:t>
            </w:r>
            <w:r>
              <w:rPr>
                <w:color w:val="auto"/>
                <w:spacing w:val="18"/>
                <w:sz w:val="21"/>
                <w:szCs w:val="21"/>
                <w:highlight w:val="none"/>
                <w:u w:val="single" w:color="auto"/>
              </w:rPr>
              <w:t xml:space="preserve"> </w:t>
            </w:r>
            <w:r>
              <w:rPr>
                <w:color w:val="auto"/>
                <w:spacing w:val="-94"/>
                <w:sz w:val="21"/>
                <w:szCs w:val="21"/>
                <w:highlight w:val="none"/>
              </w:rPr>
              <w:t xml:space="preserve"> </w:t>
            </w:r>
            <w:r>
              <w:rPr>
                <w:color w:val="auto"/>
                <w:spacing w:val="-14"/>
                <w:sz w:val="21"/>
                <w:szCs w:val="21"/>
                <w:highlight w:val="none"/>
              </w:rPr>
              <w:t>年</w:t>
            </w:r>
            <w:r>
              <w:rPr>
                <w:color w:val="auto"/>
                <w:spacing w:val="19"/>
                <w:sz w:val="21"/>
                <w:szCs w:val="21"/>
                <w:highlight w:val="none"/>
                <w:u w:val="single" w:color="auto"/>
              </w:rPr>
              <w:t xml:space="preserve"> </w:t>
            </w:r>
            <w:r>
              <w:rPr>
                <w:rFonts w:hint="eastAsia"/>
                <w:color w:val="auto"/>
                <w:spacing w:val="19"/>
                <w:sz w:val="21"/>
                <w:szCs w:val="21"/>
                <w:highlight w:val="none"/>
                <w:u w:val="single" w:color="auto"/>
                <w:lang w:val="en-US" w:eastAsia="zh-CN"/>
              </w:rPr>
              <w:t>05</w:t>
            </w:r>
            <w:r>
              <w:rPr>
                <w:color w:val="auto"/>
                <w:spacing w:val="19"/>
                <w:sz w:val="21"/>
                <w:szCs w:val="21"/>
                <w:highlight w:val="none"/>
                <w:u w:val="single" w:color="auto"/>
              </w:rPr>
              <w:t xml:space="preserve"> </w:t>
            </w:r>
            <w:r>
              <w:rPr>
                <w:color w:val="auto"/>
                <w:spacing w:val="-92"/>
                <w:sz w:val="21"/>
                <w:szCs w:val="21"/>
                <w:highlight w:val="none"/>
              </w:rPr>
              <w:t xml:space="preserve"> </w:t>
            </w:r>
            <w:r>
              <w:rPr>
                <w:color w:val="auto"/>
                <w:spacing w:val="-14"/>
                <w:sz w:val="21"/>
                <w:szCs w:val="21"/>
                <w:highlight w:val="none"/>
              </w:rPr>
              <w:t>月 以</w:t>
            </w:r>
            <w:r>
              <w:rPr>
                <w:color w:val="auto"/>
                <w:spacing w:val="-36"/>
                <w:sz w:val="21"/>
                <w:szCs w:val="21"/>
                <w:highlight w:val="none"/>
              </w:rPr>
              <w:t xml:space="preserve"> </w:t>
            </w:r>
            <w:r>
              <w:rPr>
                <w:color w:val="auto"/>
                <w:spacing w:val="-14"/>
                <w:sz w:val="21"/>
                <w:szCs w:val="21"/>
                <w:highlight w:val="none"/>
              </w:rPr>
              <w:t>来</w:t>
            </w:r>
            <w:r>
              <w:rPr>
                <w:color w:val="auto"/>
                <w:spacing w:val="-35"/>
                <w:sz w:val="21"/>
                <w:szCs w:val="21"/>
                <w:highlight w:val="none"/>
              </w:rPr>
              <w:t xml:space="preserve"> </w:t>
            </w:r>
            <w:r>
              <w:rPr>
                <w:color w:val="auto"/>
                <w:spacing w:val="-14"/>
                <w:sz w:val="21"/>
                <w:szCs w:val="21"/>
                <w:highlight w:val="none"/>
              </w:rPr>
              <w:t>投</w:t>
            </w:r>
            <w:r>
              <w:rPr>
                <w:color w:val="auto"/>
                <w:spacing w:val="-36"/>
                <w:sz w:val="21"/>
                <w:szCs w:val="21"/>
                <w:highlight w:val="none"/>
              </w:rPr>
              <w:t xml:space="preserve"> </w:t>
            </w:r>
            <w:r>
              <w:rPr>
                <w:color w:val="auto"/>
                <w:spacing w:val="-14"/>
                <w:sz w:val="21"/>
                <w:szCs w:val="21"/>
                <w:highlight w:val="none"/>
              </w:rPr>
              <w:t>标</w:t>
            </w:r>
            <w:r>
              <w:rPr>
                <w:color w:val="auto"/>
                <w:spacing w:val="-35"/>
                <w:sz w:val="21"/>
                <w:szCs w:val="21"/>
                <w:highlight w:val="none"/>
              </w:rPr>
              <w:t xml:space="preserve"> </w:t>
            </w:r>
            <w:r>
              <w:rPr>
                <w:color w:val="auto"/>
                <w:spacing w:val="-14"/>
                <w:sz w:val="21"/>
                <w:szCs w:val="21"/>
                <w:highlight w:val="none"/>
              </w:rPr>
              <w:t>人</w:t>
            </w:r>
            <w:r>
              <w:rPr>
                <w:color w:val="auto"/>
                <w:spacing w:val="-34"/>
                <w:sz w:val="21"/>
                <w:szCs w:val="21"/>
                <w:highlight w:val="none"/>
              </w:rPr>
              <w:t xml:space="preserve"> </w:t>
            </w:r>
            <w:r>
              <w:rPr>
                <w:color w:val="auto"/>
                <w:spacing w:val="-14"/>
                <w:sz w:val="21"/>
                <w:szCs w:val="21"/>
                <w:highlight w:val="none"/>
              </w:rPr>
              <w:t>为</w:t>
            </w:r>
            <w:r>
              <w:rPr>
                <w:color w:val="auto"/>
                <w:spacing w:val="-36"/>
                <w:sz w:val="21"/>
                <w:szCs w:val="21"/>
                <w:highlight w:val="none"/>
              </w:rPr>
              <w:t xml:space="preserve"> </w:t>
            </w:r>
            <w:r>
              <w:rPr>
                <w:color w:val="auto"/>
                <w:spacing w:val="-14"/>
                <w:sz w:val="21"/>
                <w:szCs w:val="21"/>
                <w:highlight w:val="none"/>
              </w:rPr>
              <w:t>其</w:t>
            </w:r>
            <w:r>
              <w:rPr>
                <w:color w:val="auto"/>
                <w:spacing w:val="-39"/>
                <w:sz w:val="21"/>
                <w:szCs w:val="21"/>
                <w:highlight w:val="none"/>
              </w:rPr>
              <w:t xml:space="preserve"> </w:t>
            </w:r>
            <w:r>
              <w:rPr>
                <w:color w:val="auto"/>
                <w:spacing w:val="-14"/>
                <w:sz w:val="21"/>
                <w:szCs w:val="21"/>
                <w:highlight w:val="none"/>
              </w:rPr>
              <w:t>缴</w:t>
            </w:r>
            <w:r>
              <w:rPr>
                <w:color w:val="auto"/>
                <w:sz w:val="21"/>
                <w:szCs w:val="21"/>
                <w:highlight w:val="none"/>
              </w:rPr>
              <w:t xml:space="preserve"> </w:t>
            </w:r>
            <w:r>
              <w:rPr>
                <w:color w:val="auto"/>
                <w:spacing w:val="-16"/>
                <w:sz w:val="21"/>
                <w:szCs w:val="21"/>
                <w:highlight w:val="none"/>
              </w:rPr>
              <w:t>纳 的</w:t>
            </w:r>
            <w:r>
              <w:rPr>
                <w:color w:val="auto"/>
                <w:spacing w:val="-22"/>
                <w:sz w:val="21"/>
                <w:szCs w:val="21"/>
                <w:highlight w:val="none"/>
              </w:rPr>
              <w:t xml:space="preserve"> </w:t>
            </w:r>
            <w:r>
              <w:rPr>
                <w:color w:val="auto"/>
                <w:spacing w:val="-16"/>
                <w:sz w:val="21"/>
                <w:szCs w:val="21"/>
                <w:highlight w:val="none"/>
              </w:rPr>
              <w:t>任</w:t>
            </w:r>
            <w:r>
              <w:rPr>
                <w:color w:val="auto"/>
                <w:spacing w:val="-31"/>
                <w:sz w:val="21"/>
                <w:szCs w:val="21"/>
                <w:highlight w:val="none"/>
              </w:rPr>
              <w:t xml:space="preserve"> </w:t>
            </w:r>
            <w:r>
              <w:rPr>
                <w:color w:val="auto"/>
                <w:spacing w:val="-16"/>
                <w:sz w:val="21"/>
                <w:szCs w:val="21"/>
                <w:highlight w:val="none"/>
              </w:rPr>
              <w:t>意</w:t>
            </w:r>
            <w:r>
              <w:rPr>
                <w:color w:val="auto"/>
                <w:spacing w:val="-34"/>
                <w:sz w:val="21"/>
                <w:szCs w:val="21"/>
                <w:highlight w:val="none"/>
              </w:rPr>
              <w:t xml:space="preserve"> </w:t>
            </w:r>
            <w:r>
              <w:rPr>
                <w:color w:val="auto"/>
                <w:spacing w:val="-16"/>
                <w:sz w:val="21"/>
                <w:szCs w:val="21"/>
                <w:highlight w:val="none"/>
              </w:rPr>
              <w:t>一</w:t>
            </w:r>
            <w:r>
              <w:rPr>
                <w:color w:val="auto"/>
                <w:spacing w:val="-36"/>
                <w:sz w:val="21"/>
                <w:szCs w:val="21"/>
                <w:highlight w:val="none"/>
              </w:rPr>
              <w:t xml:space="preserve"> </w:t>
            </w:r>
            <w:r>
              <w:rPr>
                <w:color w:val="auto"/>
                <w:spacing w:val="-16"/>
                <w:sz w:val="21"/>
                <w:szCs w:val="21"/>
                <w:highlight w:val="none"/>
              </w:rPr>
              <w:t>个</w:t>
            </w:r>
            <w:r>
              <w:rPr>
                <w:color w:val="auto"/>
                <w:spacing w:val="-32"/>
                <w:sz w:val="21"/>
                <w:szCs w:val="21"/>
                <w:highlight w:val="none"/>
              </w:rPr>
              <w:t xml:space="preserve"> </w:t>
            </w:r>
            <w:r>
              <w:rPr>
                <w:color w:val="auto"/>
                <w:spacing w:val="-16"/>
                <w:sz w:val="21"/>
                <w:szCs w:val="21"/>
                <w:highlight w:val="none"/>
              </w:rPr>
              <w:t>月</w:t>
            </w:r>
            <w:r>
              <w:rPr>
                <w:color w:val="auto"/>
                <w:spacing w:val="-20"/>
                <w:sz w:val="21"/>
                <w:szCs w:val="21"/>
                <w:highlight w:val="none"/>
              </w:rPr>
              <w:t xml:space="preserve"> </w:t>
            </w:r>
            <w:r>
              <w:rPr>
                <w:color w:val="auto"/>
                <w:spacing w:val="-16"/>
                <w:sz w:val="21"/>
                <w:szCs w:val="21"/>
                <w:highlight w:val="none"/>
              </w:rPr>
              <w:t>的</w:t>
            </w:r>
            <w:r>
              <w:rPr>
                <w:color w:val="auto"/>
                <w:spacing w:val="-35"/>
                <w:sz w:val="21"/>
                <w:szCs w:val="21"/>
                <w:highlight w:val="none"/>
              </w:rPr>
              <w:t xml:space="preserve"> </w:t>
            </w:r>
            <w:r>
              <w:rPr>
                <w:color w:val="auto"/>
                <w:spacing w:val="-16"/>
                <w:sz w:val="21"/>
                <w:szCs w:val="21"/>
                <w:highlight w:val="none"/>
              </w:rPr>
              <w:t>社</w:t>
            </w:r>
            <w:r>
              <w:rPr>
                <w:color w:val="auto"/>
                <w:spacing w:val="-36"/>
                <w:sz w:val="21"/>
                <w:szCs w:val="21"/>
                <w:highlight w:val="none"/>
              </w:rPr>
              <w:t xml:space="preserve"> </w:t>
            </w:r>
            <w:r>
              <w:rPr>
                <w:color w:val="auto"/>
                <w:spacing w:val="-16"/>
                <w:sz w:val="21"/>
                <w:szCs w:val="21"/>
                <w:highlight w:val="none"/>
              </w:rPr>
              <w:t>保</w:t>
            </w:r>
            <w:r>
              <w:rPr>
                <w:color w:val="auto"/>
                <w:spacing w:val="-37"/>
                <w:sz w:val="21"/>
                <w:szCs w:val="21"/>
                <w:highlight w:val="none"/>
              </w:rPr>
              <w:t xml:space="preserve"> </w:t>
            </w:r>
            <w:r>
              <w:rPr>
                <w:color w:val="auto"/>
                <w:spacing w:val="-16"/>
                <w:sz w:val="21"/>
                <w:szCs w:val="21"/>
                <w:highlight w:val="none"/>
              </w:rPr>
              <w:t>证</w:t>
            </w:r>
            <w:r>
              <w:rPr>
                <w:color w:val="auto"/>
                <w:spacing w:val="-17"/>
                <w:sz w:val="21"/>
                <w:szCs w:val="21"/>
                <w:highlight w:val="none"/>
              </w:rPr>
              <w:t xml:space="preserve"> </w:t>
            </w:r>
            <w:r>
              <w:rPr>
                <w:color w:val="auto"/>
                <w:spacing w:val="-16"/>
                <w:sz w:val="21"/>
                <w:szCs w:val="21"/>
                <w:highlight w:val="none"/>
              </w:rPr>
              <w:t>明</w:t>
            </w:r>
            <w:r>
              <w:rPr>
                <w:color w:val="auto"/>
                <w:spacing w:val="-45"/>
                <w:sz w:val="21"/>
                <w:szCs w:val="21"/>
                <w:highlight w:val="none"/>
              </w:rPr>
              <w:t xml:space="preserve"> </w:t>
            </w:r>
            <w:r>
              <w:rPr>
                <w:color w:val="auto"/>
                <w:spacing w:val="-16"/>
                <w:sz w:val="21"/>
                <w:szCs w:val="21"/>
                <w:highlight w:val="none"/>
              </w:rPr>
              <w:t>，否</w:t>
            </w:r>
            <w:r>
              <w:rPr>
                <w:color w:val="auto"/>
                <w:spacing w:val="-32"/>
                <w:sz w:val="21"/>
                <w:szCs w:val="21"/>
                <w:highlight w:val="none"/>
              </w:rPr>
              <w:t xml:space="preserve"> </w:t>
            </w:r>
            <w:r>
              <w:rPr>
                <w:color w:val="auto"/>
                <w:spacing w:val="-16"/>
                <w:sz w:val="21"/>
                <w:szCs w:val="21"/>
                <w:highlight w:val="none"/>
              </w:rPr>
              <w:t>则</w:t>
            </w:r>
            <w:r>
              <w:rPr>
                <w:color w:val="auto"/>
                <w:spacing w:val="-38"/>
                <w:sz w:val="21"/>
                <w:szCs w:val="21"/>
                <w:highlight w:val="none"/>
              </w:rPr>
              <w:t xml:space="preserve"> </w:t>
            </w:r>
            <w:r>
              <w:rPr>
                <w:color w:val="auto"/>
                <w:spacing w:val="-16"/>
                <w:sz w:val="21"/>
                <w:szCs w:val="21"/>
                <w:highlight w:val="none"/>
              </w:rPr>
              <w:t>视</w:t>
            </w:r>
            <w:r>
              <w:rPr>
                <w:color w:val="auto"/>
                <w:spacing w:val="-18"/>
                <w:sz w:val="21"/>
                <w:szCs w:val="21"/>
                <w:highlight w:val="none"/>
              </w:rPr>
              <w:t xml:space="preserve"> </w:t>
            </w:r>
            <w:r>
              <w:rPr>
                <w:color w:val="auto"/>
                <w:spacing w:val="-16"/>
                <w:sz w:val="21"/>
                <w:szCs w:val="21"/>
                <w:highlight w:val="none"/>
              </w:rPr>
              <w:t>同</w:t>
            </w:r>
            <w:r>
              <w:rPr>
                <w:color w:val="auto"/>
                <w:spacing w:val="-33"/>
                <w:sz w:val="21"/>
                <w:szCs w:val="21"/>
                <w:highlight w:val="none"/>
              </w:rPr>
              <w:t xml:space="preserve"> </w:t>
            </w:r>
            <w:r>
              <w:rPr>
                <w:color w:val="auto"/>
                <w:spacing w:val="-16"/>
                <w:sz w:val="21"/>
                <w:szCs w:val="21"/>
                <w:highlight w:val="none"/>
              </w:rPr>
              <w:t>不</w:t>
            </w:r>
            <w:r>
              <w:rPr>
                <w:color w:val="auto"/>
                <w:spacing w:val="-33"/>
                <w:sz w:val="21"/>
                <w:szCs w:val="21"/>
                <w:highlight w:val="none"/>
              </w:rPr>
              <w:t xml:space="preserve"> </w:t>
            </w:r>
            <w:r>
              <w:rPr>
                <w:color w:val="auto"/>
                <w:spacing w:val="-16"/>
                <w:sz w:val="21"/>
                <w:szCs w:val="21"/>
                <w:highlight w:val="none"/>
              </w:rPr>
              <w:t>是</w:t>
            </w:r>
            <w:r>
              <w:rPr>
                <w:color w:val="auto"/>
                <w:spacing w:val="-36"/>
                <w:sz w:val="21"/>
                <w:szCs w:val="21"/>
                <w:highlight w:val="none"/>
              </w:rPr>
              <w:t xml:space="preserve"> </w:t>
            </w:r>
            <w:r>
              <w:rPr>
                <w:color w:val="auto"/>
                <w:spacing w:val="-16"/>
                <w:sz w:val="21"/>
                <w:szCs w:val="21"/>
                <w:highlight w:val="none"/>
              </w:rPr>
              <w:t>本</w:t>
            </w:r>
            <w:r>
              <w:rPr>
                <w:color w:val="auto"/>
                <w:sz w:val="21"/>
                <w:szCs w:val="21"/>
                <w:highlight w:val="none"/>
              </w:rPr>
              <w:t xml:space="preserve"> </w:t>
            </w:r>
            <w:r>
              <w:rPr>
                <w:color w:val="auto"/>
                <w:spacing w:val="33"/>
                <w:sz w:val="21"/>
                <w:szCs w:val="21"/>
                <w:highlight w:val="none"/>
              </w:rPr>
              <w:t>单位人员</w:t>
            </w:r>
            <w:r>
              <w:rPr>
                <w:color w:val="auto"/>
                <w:spacing w:val="-42"/>
                <w:sz w:val="21"/>
                <w:szCs w:val="21"/>
                <w:highlight w:val="none"/>
              </w:rPr>
              <w:t xml:space="preserve"> </w:t>
            </w:r>
            <w:r>
              <w:rPr>
                <w:b/>
                <w:bCs/>
                <w:color w:val="auto"/>
                <w:spacing w:val="33"/>
                <w:sz w:val="21"/>
                <w:szCs w:val="21"/>
                <w:highlight w:val="none"/>
              </w:rPr>
              <w:t>。</w:t>
            </w:r>
          </w:p>
          <w:p w14:paraId="2B5BF23C">
            <w:pPr>
              <w:pStyle w:val="17"/>
              <w:keepNext w:val="0"/>
              <w:keepLines w:val="0"/>
              <w:pageBreakBefore w:val="0"/>
              <w:widowControl w:val="0"/>
              <w:kinsoku w:val="0"/>
              <w:wordWrap/>
              <w:overflowPunct w:val="0"/>
              <w:topLinePunct w:val="0"/>
              <w:autoSpaceDE w:val="0"/>
              <w:autoSpaceDN w:val="0"/>
              <w:bidi w:val="0"/>
              <w:adjustRightInd w:val="0"/>
              <w:snapToGrid w:val="0"/>
              <w:spacing w:before="24" w:line="220" w:lineRule="auto"/>
              <w:ind w:left="318"/>
              <w:textAlignment w:val="baseline"/>
              <w:rPr>
                <w:color w:val="auto"/>
                <w:sz w:val="21"/>
                <w:szCs w:val="21"/>
                <w:highlight w:val="none"/>
              </w:rPr>
            </w:pPr>
            <w:r>
              <w:rPr>
                <w:rFonts w:ascii="Times New Roman" w:hAnsi="Times New Roman" w:eastAsia="Times New Roman" w:cs="Times New Roman"/>
                <w:b/>
                <w:bCs/>
                <w:color w:val="auto"/>
                <w:spacing w:val="-3"/>
                <w:sz w:val="21"/>
                <w:szCs w:val="21"/>
                <w:highlight w:val="none"/>
              </w:rPr>
              <w:t xml:space="preserve">3.  </w:t>
            </w:r>
            <w:r>
              <w:rPr>
                <w:b/>
                <w:bCs/>
                <w:color w:val="auto"/>
                <w:spacing w:val="-3"/>
                <w:sz w:val="21"/>
                <w:szCs w:val="21"/>
                <w:highlight w:val="none"/>
              </w:rPr>
              <w:t>下列行为均属于投标人相互串通投标：</w:t>
            </w:r>
          </w:p>
          <w:p w14:paraId="55F77323">
            <w:pPr>
              <w:pStyle w:val="17"/>
              <w:keepNext w:val="0"/>
              <w:keepLines w:val="0"/>
              <w:pageBreakBefore w:val="0"/>
              <w:widowControl w:val="0"/>
              <w:kinsoku w:val="0"/>
              <w:wordWrap/>
              <w:overflowPunct w:val="0"/>
              <w:topLinePunct w:val="0"/>
              <w:autoSpaceDE w:val="0"/>
              <w:autoSpaceDN w:val="0"/>
              <w:bidi w:val="0"/>
              <w:adjustRightInd w:val="0"/>
              <w:snapToGrid w:val="0"/>
              <w:spacing w:before="50" w:line="242" w:lineRule="auto"/>
              <w:ind w:left="114" w:right="132" w:firstLine="213"/>
              <w:textAlignment w:val="baseline"/>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1</w:t>
            </w:r>
            <w:r>
              <w:rPr>
                <w:color w:val="auto"/>
                <w:spacing w:val="4"/>
                <w:sz w:val="21"/>
                <w:szCs w:val="21"/>
                <w:highlight w:val="none"/>
              </w:rPr>
              <w:t>）投标人之间协商投标报价等投标文件的实质性内</w:t>
            </w:r>
            <w:r>
              <w:rPr>
                <w:color w:val="auto"/>
                <w:spacing w:val="3"/>
                <w:sz w:val="21"/>
                <w:szCs w:val="21"/>
                <w:highlight w:val="none"/>
              </w:rPr>
              <w:t xml:space="preserve"> </w:t>
            </w:r>
            <w:r>
              <w:rPr>
                <w:color w:val="auto"/>
                <w:spacing w:val="-11"/>
                <w:sz w:val="21"/>
                <w:szCs w:val="21"/>
                <w:highlight w:val="none"/>
              </w:rPr>
              <w:t>容。</w:t>
            </w:r>
          </w:p>
          <w:p w14:paraId="3FA4B739">
            <w:pPr>
              <w:pStyle w:val="17"/>
              <w:keepNext w:val="0"/>
              <w:keepLines w:val="0"/>
              <w:pageBreakBefore w:val="0"/>
              <w:widowControl w:val="0"/>
              <w:kinsoku w:val="0"/>
              <w:wordWrap/>
              <w:overflowPunct w:val="0"/>
              <w:topLinePunct w:val="0"/>
              <w:autoSpaceDE w:val="0"/>
              <w:autoSpaceDN w:val="0"/>
              <w:bidi w:val="0"/>
              <w:adjustRightInd w:val="0"/>
              <w:snapToGrid w:val="0"/>
              <w:spacing w:before="49" w:line="220" w:lineRule="auto"/>
              <w:ind w:left="327"/>
              <w:textAlignment w:val="baseline"/>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2</w:t>
            </w:r>
            <w:r>
              <w:rPr>
                <w:color w:val="auto"/>
                <w:spacing w:val="-4"/>
                <w:sz w:val="21"/>
                <w:szCs w:val="21"/>
                <w:highlight w:val="none"/>
              </w:rPr>
              <w:t>）投标人之间约定中标人。</w:t>
            </w:r>
          </w:p>
          <w:p w14:paraId="22330386">
            <w:pPr>
              <w:pStyle w:val="17"/>
              <w:keepNext w:val="0"/>
              <w:keepLines w:val="0"/>
              <w:pageBreakBefore w:val="0"/>
              <w:widowControl w:val="0"/>
              <w:kinsoku w:val="0"/>
              <w:wordWrap/>
              <w:overflowPunct w:val="0"/>
              <w:topLinePunct w:val="0"/>
              <w:autoSpaceDE w:val="0"/>
              <w:autoSpaceDN w:val="0"/>
              <w:bidi w:val="0"/>
              <w:adjustRightInd w:val="0"/>
              <w:snapToGrid w:val="0"/>
              <w:spacing w:before="49" w:line="220" w:lineRule="auto"/>
              <w:ind w:left="327"/>
              <w:textAlignment w:val="baseline"/>
              <w:rPr>
                <w:color w:val="auto"/>
                <w:sz w:val="21"/>
                <w:szCs w:val="21"/>
                <w:highlight w:val="none"/>
              </w:rPr>
            </w:pPr>
            <w:r>
              <w:rPr>
                <w:color w:val="auto"/>
                <w:spacing w:val="-2"/>
                <w:sz w:val="21"/>
                <w:szCs w:val="21"/>
                <w:highlight w:val="none"/>
              </w:rPr>
              <w:t>（</w:t>
            </w:r>
            <w:r>
              <w:rPr>
                <w:rFonts w:ascii="Times New Roman" w:hAnsi="Times New Roman" w:eastAsia="Times New Roman" w:cs="Times New Roman"/>
                <w:color w:val="auto"/>
                <w:spacing w:val="-2"/>
                <w:sz w:val="21"/>
                <w:szCs w:val="21"/>
                <w:highlight w:val="none"/>
              </w:rPr>
              <w:t>3</w:t>
            </w:r>
            <w:r>
              <w:rPr>
                <w:color w:val="auto"/>
                <w:spacing w:val="-2"/>
                <w:sz w:val="21"/>
                <w:szCs w:val="21"/>
                <w:highlight w:val="none"/>
              </w:rPr>
              <w:t>）投标人之间约定部分投标人放弃投标或者中标。</w:t>
            </w:r>
          </w:p>
          <w:p w14:paraId="5B007CBE">
            <w:pPr>
              <w:pStyle w:val="17"/>
              <w:keepNext w:val="0"/>
              <w:keepLines w:val="0"/>
              <w:pageBreakBefore w:val="0"/>
              <w:widowControl w:val="0"/>
              <w:kinsoku w:val="0"/>
              <w:wordWrap/>
              <w:overflowPunct w:val="0"/>
              <w:topLinePunct w:val="0"/>
              <w:autoSpaceDE w:val="0"/>
              <w:autoSpaceDN w:val="0"/>
              <w:bidi w:val="0"/>
              <w:adjustRightInd w:val="0"/>
              <w:snapToGrid w:val="0"/>
              <w:spacing w:before="51" w:line="242" w:lineRule="auto"/>
              <w:ind w:left="118" w:right="102" w:firstLine="209"/>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4</w:t>
            </w:r>
            <w:r>
              <w:rPr>
                <w:color w:val="auto"/>
                <w:spacing w:val="-3"/>
                <w:sz w:val="21"/>
                <w:szCs w:val="21"/>
                <w:highlight w:val="none"/>
              </w:rPr>
              <w:t>）属于同一集团、协会、商会等组织成</w:t>
            </w:r>
            <w:r>
              <w:rPr>
                <w:color w:val="auto"/>
                <w:spacing w:val="-4"/>
                <w:sz w:val="21"/>
                <w:szCs w:val="21"/>
                <w:highlight w:val="none"/>
              </w:rPr>
              <w:t>员的投标人按</w:t>
            </w:r>
            <w:r>
              <w:rPr>
                <w:color w:val="auto"/>
                <w:sz w:val="21"/>
                <w:szCs w:val="21"/>
                <w:highlight w:val="none"/>
              </w:rPr>
              <w:t xml:space="preserve"> </w:t>
            </w:r>
            <w:r>
              <w:rPr>
                <w:color w:val="auto"/>
                <w:spacing w:val="-4"/>
                <w:sz w:val="21"/>
                <w:szCs w:val="21"/>
                <w:highlight w:val="none"/>
              </w:rPr>
              <w:t>照该组织要求协同投标。</w:t>
            </w:r>
          </w:p>
          <w:p w14:paraId="375D47A9">
            <w:pPr>
              <w:pStyle w:val="17"/>
              <w:keepNext w:val="0"/>
              <w:keepLines w:val="0"/>
              <w:pageBreakBefore w:val="0"/>
              <w:widowControl w:val="0"/>
              <w:kinsoku w:val="0"/>
              <w:wordWrap/>
              <w:overflowPunct w:val="0"/>
              <w:topLinePunct w:val="0"/>
              <w:autoSpaceDE w:val="0"/>
              <w:autoSpaceDN w:val="0"/>
              <w:bidi w:val="0"/>
              <w:adjustRightInd w:val="0"/>
              <w:snapToGrid w:val="0"/>
              <w:spacing w:before="49" w:line="242" w:lineRule="auto"/>
              <w:ind w:left="129" w:right="103" w:firstLine="198"/>
              <w:textAlignment w:val="baseline"/>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5</w:t>
            </w:r>
            <w:r>
              <w:rPr>
                <w:color w:val="auto"/>
                <w:spacing w:val="-4"/>
                <w:sz w:val="21"/>
                <w:szCs w:val="21"/>
                <w:highlight w:val="none"/>
              </w:rPr>
              <w:t>）投标人之间为谋取中标或者排斥特定投标人而采取</w:t>
            </w:r>
            <w:r>
              <w:rPr>
                <w:color w:val="auto"/>
                <w:spacing w:val="18"/>
                <w:sz w:val="21"/>
                <w:szCs w:val="21"/>
                <w:highlight w:val="none"/>
              </w:rPr>
              <w:t xml:space="preserve"> </w:t>
            </w:r>
            <w:r>
              <w:rPr>
                <w:color w:val="auto"/>
                <w:spacing w:val="-7"/>
                <w:sz w:val="21"/>
                <w:szCs w:val="21"/>
                <w:highlight w:val="none"/>
              </w:rPr>
              <w:t>的其他联合行动。</w:t>
            </w:r>
          </w:p>
          <w:p w14:paraId="0EDEFAB0">
            <w:pPr>
              <w:pStyle w:val="17"/>
              <w:keepNext w:val="0"/>
              <w:keepLines w:val="0"/>
              <w:pageBreakBefore w:val="0"/>
              <w:widowControl w:val="0"/>
              <w:kinsoku w:val="0"/>
              <w:wordWrap/>
              <w:overflowPunct w:val="0"/>
              <w:topLinePunct w:val="0"/>
              <w:autoSpaceDE w:val="0"/>
              <w:autoSpaceDN w:val="0"/>
              <w:bidi w:val="0"/>
              <w:adjustRightInd w:val="0"/>
              <w:snapToGrid w:val="0"/>
              <w:spacing w:before="50" w:line="220" w:lineRule="auto"/>
              <w:ind w:left="320"/>
              <w:textAlignment w:val="baseline"/>
              <w:rPr>
                <w:color w:val="auto"/>
                <w:sz w:val="21"/>
                <w:szCs w:val="21"/>
                <w:highlight w:val="none"/>
              </w:rPr>
            </w:pPr>
            <w:r>
              <w:rPr>
                <w:rFonts w:ascii="Times New Roman" w:hAnsi="Times New Roman" w:eastAsia="Times New Roman" w:cs="Times New Roman"/>
                <w:b/>
                <w:bCs/>
                <w:color w:val="auto"/>
                <w:spacing w:val="-3"/>
                <w:sz w:val="21"/>
                <w:szCs w:val="21"/>
                <w:highlight w:val="none"/>
              </w:rPr>
              <w:t xml:space="preserve">4.  </w:t>
            </w:r>
            <w:r>
              <w:rPr>
                <w:b/>
                <w:bCs/>
                <w:color w:val="auto"/>
                <w:spacing w:val="-3"/>
                <w:sz w:val="21"/>
                <w:szCs w:val="21"/>
                <w:highlight w:val="none"/>
              </w:rPr>
              <w:t>下列行为均视为投标人相互串通投标：</w:t>
            </w:r>
          </w:p>
          <w:p w14:paraId="14D55A0D">
            <w:pPr>
              <w:pStyle w:val="17"/>
              <w:keepNext w:val="0"/>
              <w:keepLines w:val="0"/>
              <w:pageBreakBefore w:val="0"/>
              <w:widowControl w:val="0"/>
              <w:kinsoku w:val="0"/>
              <w:wordWrap/>
              <w:overflowPunct w:val="0"/>
              <w:topLinePunct w:val="0"/>
              <w:autoSpaceDE w:val="0"/>
              <w:autoSpaceDN w:val="0"/>
              <w:bidi w:val="0"/>
              <w:adjustRightInd w:val="0"/>
              <w:snapToGrid w:val="0"/>
              <w:spacing w:before="49" w:line="249" w:lineRule="auto"/>
              <w:ind w:left="114" w:right="68" w:firstLine="213"/>
              <w:textAlignment w:val="baseline"/>
              <w:rPr>
                <w:strike/>
                <w:dstrike w:val="0"/>
                <w:color w:val="auto"/>
                <w:sz w:val="21"/>
                <w:szCs w:val="21"/>
                <w:highlight w:val="none"/>
              </w:rPr>
            </w:pPr>
            <w:r>
              <w:rPr>
                <w:color w:val="auto"/>
                <w:spacing w:val="-2"/>
                <w:sz w:val="21"/>
                <w:szCs w:val="21"/>
                <w:highlight w:val="none"/>
              </w:rPr>
              <w:t>（</w:t>
            </w:r>
            <w:r>
              <w:rPr>
                <w:rFonts w:ascii="Times New Roman" w:hAnsi="Times New Roman" w:eastAsia="Times New Roman" w:cs="Times New Roman"/>
                <w:color w:val="auto"/>
                <w:spacing w:val="-2"/>
                <w:sz w:val="21"/>
                <w:szCs w:val="21"/>
                <w:highlight w:val="none"/>
              </w:rPr>
              <w:t>1</w:t>
            </w:r>
            <w:r>
              <w:rPr>
                <w:color w:val="auto"/>
                <w:spacing w:val="-2"/>
                <w:sz w:val="21"/>
                <w:szCs w:val="21"/>
                <w:highlight w:val="none"/>
              </w:rPr>
              <w:t>）不同投标人的投标文件由同一单位或者个人编制。</w:t>
            </w:r>
            <w:r>
              <w:rPr>
                <w:color w:val="auto"/>
                <w:spacing w:val="4"/>
                <w:sz w:val="21"/>
                <w:szCs w:val="21"/>
                <w:highlight w:val="none"/>
              </w:rPr>
              <w:t xml:space="preserve"> </w:t>
            </w:r>
            <w:r>
              <w:rPr>
                <w:strike/>
                <w:dstrike w:val="0"/>
                <w:color w:val="auto"/>
                <w:spacing w:val="1"/>
                <w:sz w:val="21"/>
                <w:szCs w:val="21"/>
                <w:highlight w:val="none"/>
              </w:rPr>
              <w:t xml:space="preserve">电子招投标过程中不同投标人的投标文件制作机器码一致 </w:t>
            </w:r>
            <w:r>
              <w:rPr>
                <w:strike/>
                <w:dstrike w:val="0"/>
                <w:color w:val="auto"/>
                <w:spacing w:val="-4"/>
                <w:sz w:val="21"/>
                <w:szCs w:val="21"/>
                <w:highlight w:val="none"/>
              </w:rPr>
              <w:t>或文件创建标识码相同的。</w:t>
            </w:r>
          </w:p>
          <w:p w14:paraId="6FCD784B">
            <w:pPr>
              <w:pStyle w:val="17"/>
              <w:keepNext w:val="0"/>
              <w:keepLines w:val="0"/>
              <w:pageBreakBefore w:val="0"/>
              <w:widowControl w:val="0"/>
              <w:kinsoku w:val="0"/>
              <w:wordWrap/>
              <w:overflowPunct w:val="0"/>
              <w:topLinePunct w:val="0"/>
              <w:autoSpaceDE w:val="0"/>
              <w:autoSpaceDN w:val="0"/>
              <w:bidi w:val="0"/>
              <w:adjustRightInd w:val="0"/>
              <w:snapToGrid w:val="0"/>
              <w:spacing w:before="53" w:line="255" w:lineRule="auto"/>
              <w:ind w:left="113" w:right="68" w:firstLine="214"/>
              <w:textAlignment w:val="baseline"/>
              <w:rPr>
                <w:strike/>
                <w:dstrike w:val="0"/>
                <w:color w:val="auto"/>
                <w:sz w:val="21"/>
                <w:szCs w:val="21"/>
                <w:highlight w:val="none"/>
              </w:rPr>
            </w:pPr>
            <w:r>
              <w:rPr>
                <w:strike/>
                <w:dstrike w:val="0"/>
                <w:color w:val="auto"/>
                <w:spacing w:val="-2"/>
                <w:sz w:val="21"/>
                <w:szCs w:val="21"/>
                <w:highlight w:val="none"/>
              </w:rPr>
              <w:t>（</w:t>
            </w:r>
            <w:r>
              <w:rPr>
                <w:rFonts w:ascii="Times New Roman" w:hAnsi="Times New Roman" w:eastAsia="Times New Roman" w:cs="Times New Roman"/>
                <w:strike/>
                <w:dstrike w:val="0"/>
                <w:color w:val="auto"/>
                <w:spacing w:val="-2"/>
                <w:sz w:val="21"/>
                <w:szCs w:val="21"/>
                <w:highlight w:val="none"/>
              </w:rPr>
              <w:t>2</w:t>
            </w:r>
            <w:r>
              <w:rPr>
                <w:strike/>
                <w:dstrike w:val="0"/>
                <w:color w:val="auto"/>
                <w:spacing w:val="-2"/>
                <w:sz w:val="21"/>
                <w:szCs w:val="21"/>
                <w:highlight w:val="none"/>
              </w:rPr>
              <w:t>）不同投标人委托同一单位或者个人办理投标事宜。</w:t>
            </w:r>
            <w:r>
              <w:rPr>
                <w:strike/>
                <w:dstrike w:val="0"/>
                <w:color w:val="auto"/>
                <w:spacing w:val="4"/>
                <w:sz w:val="21"/>
                <w:szCs w:val="21"/>
                <w:highlight w:val="none"/>
              </w:rPr>
              <w:t xml:space="preserve"> </w:t>
            </w:r>
            <w:r>
              <w:rPr>
                <w:strike/>
                <w:dstrike w:val="0"/>
                <w:color w:val="auto"/>
                <w:spacing w:val="1"/>
                <w:sz w:val="21"/>
                <w:szCs w:val="21"/>
                <w:highlight w:val="none"/>
              </w:rPr>
              <w:t>电子招投标过程中不同投标人从同一投标单位或同一自然</w:t>
            </w:r>
            <w:r>
              <w:rPr>
                <w:strike/>
                <w:dstrike w:val="0"/>
                <w:color w:val="auto"/>
                <w:spacing w:val="2"/>
                <w:sz w:val="21"/>
                <w:szCs w:val="21"/>
                <w:highlight w:val="none"/>
              </w:rPr>
              <w:t xml:space="preserve"> </w:t>
            </w:r>
            <w:r>
              <w:rPr>
                <w:strike/>
                <w:dstrike w:val="0"/>
                <w:color w:val="auto"/>
                <w:spacing w:val="-6"/>
                <w:sz w:val="21"/>
                <w:szCs w:val="21"/>
                <w:highlight w:val="none"/>
              </w:rPr>
              <w:t>人的</w:t>
            </w:r>
            <w:r>
              <w:rPr>
                <w:rFonts w:ascii="Times New Roman" w:hAnsi="Times New Roman" w:eastAsia="Times New Roman" w:cs="Times New Roman"/>
                <w:strike/>
                <w:dstrike w:val="0"/>
                <w:color w:val="auto"/>
                <w:spacing w:val="-6"/>
                <w:sz w:val="21"/>
                <w:szCs w:val="21"/>
                <w:highlight w:val="none"/>
              </w:rPr>
              <w:t>IP</w:t>
            </w:r>
            <w:r>
              <w:rPr>
                <w:strike/>
                <w:dstrike w:val="0"/>
                <w:color w:val="auto"/>
                <w:spacing w:val="-6"/>
                <w:sz w:val="21"/>
                <w:szCs w:val="21"/>
                <w:highlight w:val="none"/>
              </w:rPr>
              <w:t>地址下载招标文件、上传投标文件、购买电子保函或</w:t>
            </w:r>
            <w:r>
              <w:rPr>
                <w:strike/>
                <w:dstrike w:val="0"/>
                <w:color w:val="auto"/>
                <w:spacing w:val="2"/>
                <w:sz w:val="21"/>
                <w:szCs w:val="21"/>
                <w:highlight w:val="none"/>
              </w:rPr>
              <w:t xml:space="preserve"> </w:t>
            </w:r>
            <w:r>
              <w:rPr>
                <w:strike/>
                <w:dstrike w:val="0"/>
                <w:color w:val="auto"/>
                <w:spacing w:val="10"/>
                <w:sz w:val="21"/>
                <w:szCs w:val="21"/>
                <w:highlight w:val="none"/>
              </w:rPr>
              <w:t>参加投标活动的人员为同一标段其他投标人的在</w:t>
            </w:r>
            <w:r>
              <w:rPr>
                <w:strike/>
                <w:dstrike w:val="0"/>
                <w:color w:val="auto"/>
                <w:spacing w:val="9"/>
                <w:sz w:val="21"/>
                <w:szCs w:val="21"/>
                <w:highlight w:val="none"/>
              </w:rPr>
              <w:t>职人员</w:t>
            </w:r>
            <w:r>
              <w:rPr>
                <w:strike/>
                <w:dstrike w:val="0"/>
                <w:color w:val="auto"/>
                <w:sz w:val="21"/>
                <w:szCs w:val="21"/>
                <w:highlight w:val="none"/>
              </w:rPr>
              <w:t xml:space="preserve"> </w:t>
            </w:r>
            <w:r>
              <w:rPr>
                <w:strike/>
                <w:dstrike w:val="0"/>
                <w:color w:val="auto"/>
                <w:spacing w:val="-11"/>
                <w:sz w:val="21"/>
                <w:szCs w:val="21"/>
                <w:highlight w:val="none"/>
              </w:rPr>
              <w:t>的。</w:t>
            </w:r>
          </w:p>
          <w:p w14:paraId="42423711">
            <w:pPr>
              <w:pStyle w:val="17"/>
              <w:keepNext w:val="0"/>
              <w:keepLines w:val="0"/>
              <w:pageBreakBefore w:val="0"/>
              <w:widowControl w:val="0"/>
              <w:kinsoku w:val="0"/>
              <w:wordWrap/>
              <w:overflowPunct w:val="0"/>
              <w:topLinePunct w:val="0"/>
              <w:autoSpaceDE w:val="0"/>
              <w:autoSpaceDN w:val="0"/>
              <w:bidi w:val="0"/>
              <w:adjustRightInd w:val="0"/>
              <w:snapToGrid w:val="0"/>
              <w:spacing w:before="47" w:line="243" w:lineRule="auto"/>
              <w:ind w:left="115" w:right="266" w:firstLine="212"/>
              <w:textAlignment w:val="baseline"/>
              <w:rPr>
                <w:color w:val="auto"/>
                <w:sz w:val="21"/>
                <w:szCs w:val="21"/>
                <w:highlight w:val="none"/>
              </w:rPr>
            </w:pPr>
            <w:r>
              <w:rPr>
                <w:color w:val="auto"/>
                <w:spacing w:val="-2"/>
                <w:sz w:val="21"/>
                <w:szCs w:val="21"/>
                <w:highlight w:val="none"/>
              </w:rPr>
              <w:t>（</w:t>
            </w:r>
            <w:r>
              <w:rPr>
                <w:rFonts w:ascii="Times New Roman" w:hAnsi="Times New Roman" w:eastAsia="Times New Roman" w:cs="Times New Roman"/>
                <w:color w:val="auto"/>
                <w:spacing w:val="-2"/>
                <w:sz w:val="21"/>
                <w:szCs w:val="21"/>
                <w:highlight w:val="none"/>
              </w:rPr>
              <w:t>3</w:t>
            </w:r>
            <w:r>
              <w:rPr>
                <w:color w:val="auto"/>
                <w:spacing w:val="-2"/>
                <w:sz w:val="21"/>
                <w:szCs w:val="21"/>
                <w:highlight w:val="none"/>
              </w:rPr>
              <w:t>）不同投标人的投标文件载明的项目管理成员为同</w:t>
            </w:r>
            <w:r>
              <w:rPr>
                <w:color w:val="auto"/>
                <w:spacing w:val="13"/>
                <w:sz w:val="21"/>
                <w:szCs w:val="21"/>
                <w:highlight w:val="none"/>
              </w:rPr>
              <w:t xml:space="preserve"> </w:t>
            </w:r>
            <w:r>
              <w:rPr>
                <w:color w:val="auto"/>
                <w:spacing w:val="-9"/>
                <w:sz w:val="21"/>
                <w:szCs w:val="21"/>
                <w:highlight w:val="none"/>
              </w:rPr>
              <w:t>一人。</w:t>
            </w:r>
          </w:p>
          <w:p w14:paraId="58B606C9">
            <w:pPr>
              <w:pStyle w:val="17"/>
              <w:keepNext w:val="0"/>
              <w:keepLines w:val="0"/>
              <w:pageBreakBefore w:val="0"/>
              <w:widowControl w:val="0"/>
              <w:kinsoku w:val="0"/>
              <w:wordWrap/>
              <w:overflowPunct w:val="0"/>
              <w:topLinePunct w:val="0"/>
              <w:autoSpaceDE w:val="0"/>
              <w:autoSpaceDN w:val="0"/>
              <w:bidi w:val="0"/>
              <w:adjustRightInd w:val="0"/>
              <w:snapToGrid w:val="0"/>
              <w:spacing w:before="47" w:line="235" w:lineRule="auto"/>
              <w:ind w:left="112" w:right="103" w:firstLine="215"/>
              <w:textAlignment w:val="baseline"/>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4</w:t>
            </w:r>
            <w:r>
              <w:rPr>
                <w:color w:val="auto"/>
                <w:spacing w:val="-4"/>
                <w:sz w:val="21"/>
                <w:szCs w:val="21"/>
                <w:highlight w:val="none"/>
              </w:rPr>
              <w:t>）不同投标人的投标文件异常一致或者投标报价呈规</w:t>
            </w:r>
            <w:r>
              <w:rPr>
                <w:color w:val="auto"/>
                <w:spacing w:val="18"/>
                <w:sz w:val="21"/>
                <w:szCs w:val="21"/>
                <w:highlight w:val="none"/>
              </w:rPr>
              <w:t xml:space="preserve"> </w:t>
            </w:r>
            <w:r>
              <w:rPr>
                <w:color w:val="auto"/>
                <w:spacing w:val="-7"/>
                <w:sz w:val="21"/>
                <w:szCs w:val="21"/>
                <w:highlight w:val="none"/>
              </w:rPr>
              <w:t>律性差异。</w:t>
            </w:r>
          </w:p>
        </w:tc>
      </w:tr>
      <w:tr w14:paraId="7BEC1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1" w:hRule="atLeast"/>
        </w:trPr>
        <w:tc>
          <w:tcPr>
            <w:tcW w:w="952" w:type="dxa"/>
            <w:tcBorders>
              <w:left w:val="single" w:color="000000" w:sz="6" w:space="0"/>
            </w:tcBorders>
            <w:vAlign w:val="top"/>
          </w:tcPr>
          <w:p w14:paraId="086D5AC5">
            <w:pPr>
              <w:rPr>
                <w:rFonts w:ascii="Arial"/>
                <w:color w:val="auto"/>
                <w:sz w:val="21"/>
                <w:highlight w:val="none"/>
              </w:rPr>
            </w:pPr>
          </w:p>
        </w:tc>
        <w:tc>
          <w:tcPr>
            <w:tcW w:w="2305" w:type="dxa"/>
            <w:vAlign w:val="top"/>
          </w:tcPr>
          <w:p w14:paraId="70FAF351">
            <w:pPr>
              <w:rPr>
                <w:rFonts w:ascii="Arial"/>
                <w:color w:val="auto"/>
                <w:sz w:val="21"/>
                <w:highlight w:val="none"/>
              </w:rPr>
            </w:pPr>
          </w:p>
        </w:tc>
        <w:tc>
          <w:tcPr>
            <w:tcW w:w="5645" w:type="dxa"/>
            <w:tcBorders>
              <w:right w:val="single" w:color="000000" w:sz="6" w:space="0"/>
            </w:tcBorders>
            <w:vAlign w:val="top"/>
          </w:tcPr>
          <w:p w14:paraId="0D283253">
            <w:pPr>
              <w:pStyle w:val="17"/>
              <w:spacing w:before="70" w:line="220" w:lineRule="auto"/>
              <w:ind w:left="327"/>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5</w:t>
            </w:r>
            <w:r>
              <w:rPr>
                <w:color w:val="auto"/>
                <w:spacing w:val="-3"/>
                <w:sz w:val="21"/>
                <w:szCs w:val="21"/>
                <w:highlight w:val="none"/>
              </w:rPr>
              <w:t>）不同投标人的投标文件相互混装。</w:t>
            </w:r>
          </w:p>
          <w:p w14:paraId="1755367A">
            <w:pPr>
              <w:pStyle w:val="17"/>
              <w:spacing w:before="50" w:line="242" w:lineRule="auto"/>
              <w:ind w:left="113" w:right="103" w:firstLine="214"/>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6</w:t>
            </w:r>
            <w:r>
              <w:rPr>
                <w:color w:val="auto"/>
                <w:spacing w:val="-4"/>
                <w:sz w:val="21"/>
                <w:szCs w:val="21"/>
                <w:highlight w:val="none"/>
              </w:rPr>
              <w:t>）不同投标人的投标保证金从同一单位或者个人的账</w:t>
            </w:r>
            <w:r>
              <w:rPr>
                <w:color w:val="auto"/>
                <w:spacing w:val="18"/>
                <w:sz w:val="21"/>
                <w:szCs w:val="21"/>
                <w:highlight w:val="none"/>
              </w:rPr>
              <w:t xml:space="preserve"> </w:t>
            </w:r>
            <w:r>
              <w:rPr>
                <w:color w:val="auto"/>
                <w:spacing w:val="-8"/>
                <w:sz w:val="21"/>
                <w:szCs w:val="21"/>
                <w:highlight w:val="none"/>
              </w:rPr>
              <w:t>户转出。</w:t>
            </w:r>
          </w:p>
          <w:p w14:paraId="65D5B3F2">
            <w:pPr>
              <w:pStyle w:val="17"/>
              <w:spacing w:before="49" w:line="219" w:lineRule="auto"/>
              <w:ind w:left="324"/>
              <w:rPr>
                <w:color w:val="auto"/>
                <w:sz w:val="21"/>
                <w:szCs w:val="21"/>
                <w:highlight w:val="none"/>
              </w:rPr>
            </w:pPr>
            <w:r>
              <w:rPr>
                <w:rFonts w:ascii="Times New Roman" w:hAnsi="Times New Roman" w:eastAsia="Times New Roman" w:cs="Times New Roman"/>
                <w:color w:val="auto"/>
                <w:spacing w:val="-3"/>
                <w:sz w:val="21"/>
                <w:szCs w:val="21"/>
                <w:highlight w:val="none"/>
              </w:rPr>
              <w:t>5</w:t>
            </w:r>
            <w:r>
              <w:rPr>
                <w:rFonts w:ascii="Times New Roman" w:hAnsi="Times New Roman" w:eastAsia="Times New Roman" w:cs="Times New Roman"/>
                <w:b/>
                <w:bCs/>
                <w:color w:val="auto"/>
                <w:spacing w:val="-3"/>
                <w:sz w:val="21"/>
                <w:szCs w:val="21"/>
                <w:highlight w:val="none"/>
              </w:rPr>
              <w:t xml:space="preserve">.  </w:t>
            </w:r>
            <w:r>
              <w:rPr>
                <w:color w:val="auto"/>
                <w:spacing w:val="-3"/>
                <w:sz w:val="21"/>
                <w:szCs w:val="21"/>
                <w:highlight w:val="none"/>
              </w:rPr>
              <w:t>下列行为均属于投标人弄虚作假的行为：</w:t>
            </w:r>
          </w:p>
          <w:p w14:paraId="7E0BAAB2">
            <w:pPr>
              <w:pStyle w:val="17"/>
              <w:spacing w:before="50" w:line="220" w:lineRule="auto"/>
              <w:ind w:left="327"/>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1</w:t>
            </w:r>
            <w:r>
              <w:rPr>
                <w:color w:val="auto"/>
                <w:spacing w:val="-3"/>
                <w:sz w:val="21"/>
                <w:szCs w:val="21"/>
                <w:highlight w:val="none"/>
              </w:rPr>
              <w:t>）使用伪造、变造的许可证件。</w:t>
            </w:r>
          </w:p>
          <w:p w14:paraId="47503F8E">
            <w:pPr>
              <w:pStyle w:val="17"/>
              <w:spacing w:before="50" w:line="219" w:lineRule="auto"/>
              <w:ind w:left="327"/>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2</w:t>
            </w:r>
            <w:r>
              <w:rPr>
                <w:color w:val="auto"/>
                <w:spacing w:val="-3"/>
                <w:sz w:val="21"/>
                <w:szCs w:val="21"/>
                <w:highlight w:val="none"/>
              </w:rPr>
              <w:t>）提供虚假的财务状况或者业绩。</w:t>
            </w:r>
          </w:p>
          <w:p w14:paraId="0636B73C">
            <w:pPr>
              <w:pStyle w:val="17"/>
              <w:spacing w:before="50" w:line="242" w:lineRule="auto"/>
              <w:ind w:left="113" w:right="115" w:firstLine="214"/>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3</w:t>
            </w:r>
            <w:r>
              <w:rPr>
                <w:color w:val="auto"/>
                <w:spacing w:val="-4"/>
                <w:sz w:val="21"/>
                <w:szCs w:val="21"/>
                <w:highlight w:val="none"/>
              </w:rPr>
              <w:t>）提供虚假的项目负责人或者主要技术人员简历、劳</w:t>
            </w:r>
            <w:r>
              <w:rPr>
                <w:color w:val="auto"/>
                <w:spacing w:val="6"/>
                <w:sz w:val="21"/>
                <w:szCs w:val="21"/>
                <w:highlight w:val="none"/>
              </w:rPr>
              <w:t xml:space="preserve"> </w:t>
            </w:r>
            <w:r>
              <w:rPr>
                <w:color w:val="auto"/>
                <w:spacing w:val="-6"/>
                <w:sz w:val="21"/>
                <w:szCs w:val="21"/>
                <w:highlight w:val="none"/>
              </w:rPr>
              <w:t>动关系证明。</w:t>
            </w:r>
          </w:p>
          <w:p w14:paraId="0C710749">
            <w:pPr>
              <w:pStyle w:val="17"/>
              <w:spacing w:before="50" w:line="219" w:lineRule="auto"/>
              <w:ind w:left="327"/>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4</w:t>
            </w:r>
            <w:r>
              <w:rPr>
                <w:color w:val="auto"/>
                <w:spacing w:val="-4"/>
                <w:sz w:val="21"/>
                <w:szCs w:val="21"/>
                <w:highlight w:val="none"/>
              </w:rPr>
              <w:t>）提供虚假的信用状况。</w:t>
            </w:r>
          </w:p>
          <w:p w14:paraId="27407744">
            <w:pPr>
              <w:pStyle w:val="17"/>
              <w:spacing w:before="50" w:line="219" w:lineRule="auto"/>
              <w:ind w:left="327"/>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5</w:t>
            </w:r>
            <w:r>
              <w:rPr>
                <w:color w:val="auto"/>
                <w:spacing w:val="-4"/>
                <w:sz w:val="21"/>
                <w:szCs w:val="21"/>
                <w:highlight w:val="none"/>
              </w:rPr>
              <w:t>）其他弄虚作假的行为。</w:t>
            </w:r>
          </w:p>
          <w:p w14:paraId="0BF87B92">
            <w:pPr>
              <w:pStyle w:val="17"/>
              <w:spacing w:before="53" w:line="248" w:lineRule="auto"/>
              <w:ind w:left="113" w:right="102" w:firstLine="210"/>
              <w:jc w:val="both"/>
              <w:rPr>
                <w:color w:val="auto"/>
                <w:sz w:val="21"/>
                <w:szCs w:val="21"/>
                <w:highlight w:val="none"/>
              </w:rPr>
            </w:pPr>
            <w:r>
              <w:rPr>
                <w:rFonts w:ascii="Times New Roman" w:hAnsi="Times New Roman" w:eastAsia="Times New Roman" w:cs="Times New Roman"/>
                <w:color w:val="auto"/>
                <w:spacing w:val="2"/>
                <w:sz w:val="21"/>
                <w:szCs w:val="21"/>
                <w:highlight w:val="none"/>
              </w:rPr>
              <w:t xml:space="preserve">6.  </w:t>
            </w:r>
            <w:r>
              <w:rPr>
                <w:color w:val="auto"/>
                <w:spacing w:val="2"/>
                <w:sz w:val="21"/>
                <w:szCs w:val="21"/>
                <w:highlight w:val="none"/>
              </w:rPr>
              <w:t>投标人出现上述</w:t>
            </w:r>
            <w:r>
              <w:rPr>
                <w:rFonts w:ascii="Times New Roman" w:hAnsi="Times New Roman" w:eastAsia="Times New Roman" w:cs="Times New Roman"/>
                <w:color w:val="auto"/>
                <w:spacing w:val="2"/>
                <w:sz w:val="21"/>
                <w:szCs w:val="21"/>
                <w:highlight w:val="none"/>
              </w:rPr>
              <w:t>1~5</w:t>
            </w:r>
            <w:r>
              <w:rPr>
                <w:color w:val="auto"/>
                <w:spacing w:val="2"/>
                <w:sz w:val="21"/>
                <w:szCs w:val="21"/>
                <w:highlight w:val="none"/>
              </w:rPr>
              <w:t>项情形之一的，评标委员会应否</w:t>
            </w:r>
            <w:r>
              <w:rPr>
                <w:color w:val="auto"/>
                <w:spacing w:val="16"/>
                <w:sz w:val="21"/>
                <w:szCs w:val="21"/>
                <w:highlight w:val="none"/>
              </w:rPr>
              <w:t xml:space="preserve"> </w:t>
            </w:r>
            <w:r>
              <w:rPr>
                <w:color w:val="auto"/>
                <w:spacing w:val="-6"/>
                <w:sz w:val="21"/>
                <w:szCs w:val="21"/>
                <w:highlight w:val="none"/>
              </w:rPr>
              <w:t>决其投标。评标结束后，</w:t>
            </w:r>
            <w:r>
              <w:rPr>
                <w:color w:val="auto"/>
                <w:spacing w:val="-28"/>
                <w:sz w:val="21"/>
                <w:szCs w:val="21"/>
                <w:highlight w:val="none"/>
              </w:rPr>
              <w:t xml:space="preserve"> </w:t>
            </w:r>
            <w:r>
              <w:rPr>
                <w:color w:val="auto"/>
                <w:spacing w:val="-6"/>
                <w:sz w:val="21"/>
                <w:szCs w:val="21"/>
                <w:highlight w:val="none"/>
              </w:rPr>
              <w:t>招标人将有上述</w:t>
            </w:r>
            <w:r>
              <w:rPr>
                <w:rFonts w:ascii="Times New Roman" w:hAnsi="Times New Roman" w:eastAsia="Times New Roman" w:cs="Times New Roman"/>
                <w:color w:val="auto"/>
                <w:spacing w:val="-6"/>
                <w:sz w:val="21"/>
                <w:szCs w:val="21"/>
                <w:highlight w:val="none"/>
              </w:rPr>
              <w:t>1~5</w:t>
            </w:r>
            <w:r>
              <w:rPr>
                <w:color w:val="auto"/>
                <w:spacing w:val="-6"/>
                <w:sz w:val="21"/>
                <w:szCs w:val="21"/>
                <w:highlight w:val="none"/>
              </w:rPr>
              <w:t>项嫌疑的投标</w:t>
            </w:r>
            <w:r>
              <w:rPr>
                <w:color w:val="auto"/>
                <w:sz w:val="21"/>
                <w:szCs w:val="21"/>
                <w:highlight w:val="none"/>
              </w:rPr>
              <w:t xml:space="preserve"> </w:t>
            </w:r>
            <w:r>
              <w:rPr>
                <w:color w:val="auto"/>
                <w:spacing w:val="1"/>
                <w:sz w:val="21"/>
                <w:szCs w:val="21"/>
                <w:highlight w:val="none"/>
              </w:rPr>
              <w:t>文件送有关部门进行后续调查，即使最终无法认定串通投</w:t>
            </w:r>
            <w:r>
              <w:rPr>
                <w:color w:val="auto"/>
                <w:spacing w:val="3"/>
                <w:sz w:val="21"/>
                <w:szCs w:val="21"/>
                <w:highlight w:val="none"/>
              </w:rPr>
              <w:t xml:space="preserve"> </w:t>
            </w:r>
            <w:r>
              <w:rPr>
                <w:color w:val="auto"/>
                <w:spacing w:val="-2"/>
                <w:sz w:val="21"/>
                <w:szCs w:val="21"/>
                <w:highlight w:val="none"/>
              </w:rPr>
              <w:t>标行为成立，也不影响其按无效标处理的结果。</w:t>
            </w:r>
          </w:p>
        </w:tc>
      </w:tr>
      <w:tr w14:paraId="08E11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952" w:type="dxa"/>
            <w:tcBorders>
              <w:left w:val="single" w:color="000000" w:sz="6" w:space="0"/>
              <w:bottom w:val="single" w:color="000000" w:sz="6" w:space="0"/>
            </w:tcBorders>
            <w:vAlign w:val="top"/>
          </w:tcPr>
          <w:p w14:paraId="5E1782C7">
            <w:pPr>
              <w:rPr>
                <w:rFonts w:ascii="Arial"/>
                <w:color w:val="auto"/>
                <w:sz w:val="21"/>
                <w:highlight w:val="none"/>
              </w:rPr>
            </w:pPr>
          </w:p>
          <w:p w14:paraId="4818170B">
            <w:pPr>
              <w:rPr>
                <w:rFonts w:ascii="Arial"/>
                <w:color w:val="auto"/>
                <w:sz w:val="21"/>
                <w:highlight w:val="none"/>
              </w:rPr>
            </w:pPr>
          </w:p>
          <w:p w14:paraId="19F8BE43">
            <w:pPr>
              <w:rPr>
                <w:rFonts w:ascii="Arial"/>
                <w:color w:val="auto"/>
                <w:sz w:val="21"/>
                <w:highlight w:val="none"/>
              </w:rPr>
            </w:pPr>
          </w:p>
          <w:p w14:paraId="583031E4">
            <w:pPr>
              <w:rPr>
                <w:rFonts w:ascii="Arial"/>
                <w:color w:val="auto"/>
                <w:sz w:val="21"/>
                <w:highlight w:val="none"/>
              </w:rPr>
            </w:pPr>
          </w:p>
          <w:p w14:paraId="64ADB6F4">
            <w:pPr>
              <w:rPr>
                <w:rFonts w:ascii="Arial"/>
                <w:color w:val="auto"/>
                <w:sz w:val="21"/>
                <w:highlight w:val="none"/>
              </w:rPr>
            </w:pPr>
          </w:p>
          <w:p w14:paraId="1F4F195D">
            <w:pPr>
              <w:rPr>
                <w:rFonts w:ascii="Arial"/>
                <w:color w:val="auto"/>
                <w:sz w:val="21"/>
                <w:highlight w:val="none"/>
              </w:rPr>
            </w:pPr>
          </w:p>
          <w:p w14:paraId="17883B54">
            <w:pPr>
              <w:rPr>
                <w:rFonts w:ascii="Arial"/>
                <w:color w:val="auto"/>
                <w:sz w:val="21"/>
                <w:highlight w:val="none"/>
              </w:rPr>
            </w:pPr>
          </w:p>
          <w:p w14:paraId="25A46A95">
            <w:pPr>
              <w:rPr>
                <w:rFonts w:ascii="Arial"/>
                <w:color w:val="auto"/>
                <w:sz w:val="21"/>
                <w:highlight w:val="none"/>
              </w:rPr>
            </w:pPr>
          </w:p>
          <w:p w14:paraId="284BD55B">
            <w:pPr>
              <w:rPr>
                <w:rFonts w:ascii="Arial"/>
                <w:color w:val="auto"/>
                <w:sz w:val="21"/>
                <w:highlight w:val="none"/>
              </w:rPr>
            </w:pPr>
          </w:p>
          <w:p w14:paraId="0EB65D94">
            <w:pPr>
              <w:spacing w:line="241" w:lineRule="auto"/>
              <w:rPr>
                <w:rFonts w:ascii="Arial"/>
                <w:color w:val="auto"/>
                <w:sz w:val="21"/>
                <w:highlight w:val="none"/>
              </w:rPr>
            </w:pPr>
          </w:p>
          <w:p w14:paraId="0AA1FFD6">
            <w:pPr>
              <w:spacing w:line="241" w:lineRule="auto"/>
              <w:rPr>
                <w:rFonts w:ascii="Arial"/>
                <w:color w:val="auto"/>
                <w:sz w:val="21"/>
                <w:highlight w:val="none"/>
              </w:rPr>
            </w:pPr>
          </w:p>
          <w:p w14:paraId="041CE4FE">
            <w:pPr>
              <w:spacing w:line="241" w:lineRule="auto"/>
              <w:rPr>
                <w:rFonts w:ascii="Arial"/>
                <w:color w:val="auto"/>
                <w:sz w:val="21"/>
                <w:highlight w:val="none"/>
              </w:rPr>
            </w:pPr>
          </w:p>
          <w:p w14:paraId="1BCF3776">
            <w:pPr>
              <w:spacing w:line="241" w:lineRule="auto"/>
              <w:rPr>
                <w:rFonts w:ascii="Arial"/>
                <w:color w:val="auto"/>
                <w:sz w:val="21"/>
                <w:highlight w:val="none"/>
              </w:rPr>
            </w:pPr>
          </w:p>
          <w:p w14:paraId="3845FD86">
            <w:pPr>
              <w:spacing w:line="241" w:lineRule="auto"/>
              <w:rPr>
                <w:rFonts w:ascii="Arial"/>
                <w:color w:val="auto"/>
                <w:sz w:val="21"/>
                <w:highlight w:val="none"/>
              </w:rPr>
            </w:pPr>
          </w:p>
          <w:p w14:paraId="5708C201">
            <w:pPr>
              <w:spacing w:line="241" w:lineRule="auto"/>
              <w:rPr>
                <w:rFonts w:ascii="Arial"/>
                <w:color w:val="auto"/>
                <w:sz w:val="21"/>
                <w:highlight w:val="none"/>
              </w:rPr>
            </w:pPr>
          </w:p>
          <w:p w14:paraId="0696120E">
            <w:pPr>
              <w:spacing w:line="241" w:lineRule="auto"/>
              <w:rPr>
                <w:rFonts w:ascii="Arial"/>
                <w:color w:val="auto"/>
                <w:sz w:val="21"/>
                <w:highlight w:val="none"/>
              </w:rPr>
            </w:pPr>
          </w:p>
          <w:p w14:paraId="78E678D8">
            <w:pPr>
              <w:spacing w:line="241" w:lineRule="auto"/>
              <w:rPr>
                <w:rFonts w:ascii="Arial"/>
                <w:color w:val="auto"/>
                <w:sz w:val="21"/>
                <w:highlight w:val="none"/>
              </w:rPr>
            </w:pPr>
          </w:p>
          <w:p w14:paraId="1D8BD38D">
            <w:pPr>
              <w:spacing w:line="241" w:lineRule="auto"/>
              <w:rPr>
                <w:rFonts w:ascii="Arial"/>
                <w:color w:val="auto"/>
                <w:sz w:val="21"/>
                <w:highlight w:val="none"/>
              </w:rPr>
            </w:pPr>
          </w:p>
          <w:p w14:paraId="61EC5B08">
            <w:pPr>
              <w:spacing w:before="60" w:line="188" w:lineRule="auto"/>
              <w:ind w:left="34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9.5</w:t>
            </w:r>
          </w:p>
        </w:tc>
        <w:tc>
          <w:tcPr>
            <w:tcW w:w="2305" w:type="dxa"/>
            <w:tcBorders>
              <w:bottom w:val="single" w:color="000000" w:sz="6" w:space="0"/>
            </w:tcBorders>
            <w:vAlign w:val="top"/>
          </w:tcPr>
          <w:p w14:paraId="6E57FBA9">
            <w:pPr>
              <w:spacing w:line="252" w:lineRule="auto"/>
              <w:rPr>
                <w:rFonts w:ascii="Arial"/>
                <w:color w:val="auto"/>
                <w:sz w:val="21"/>
                <w:highlight w:val="none"/>
              </w:rPr>
            </w:pPr>
          </w:p>
          <w:p w14:paraId="6B866D3C">
            <w:pPr>
              <w:spacing w:line="252" w:lineRule="auto"/>
              <w:rPr>
                <w:rFonts w:ascii="Arial"/>
                <w:color w:val="auto"/>
                <w:sz w:val="21"/>
                <w:highlight w:val="none"/>
              </w:rPr>
            </w:pPr>
          </w:p>
          <w:p w14:paraId="16BCFE5A">
            <w:pPr>
              <w:spacing w:line="252" w:lineRule="auto"/>
              <w:rPr>
                <w:rFonts w:ascii="Arial"/>
                <w:color w:val="auto"/>
                <w:sz w:val="21"/>
                <w:highlight w:val="none"/>
              </w:rPr>
            </w:pPr>
          </w:p>
          <w:p w14:paraId="11F07249">
            <w:pPr>
              <w:spacing w:line="252" w:lineRule="auto"/>
              <w:rPr>
                <w:rFonts w:ascii="Arial"/>
                <w:color w:val="auto"/>
                <w:sz w:val="21"/>
                <w:highlight w:val="none"/>
              </w:rPr>
            </w:pPr>
          </w:p>
          <w:p w14:paraId="0799006D">
            <w:pPr>
              <w:spacing w:line="252" w:lineRule="auto"/>
              <w:rPr>
                <w:rFonts w:ascii="Arial"/>
                <w:color w:val="auto"/>
                <w:sz w:val="21"/>
                <w:highlight w:val="none"/>
              </w:rPr>
            </w:pPr>
          </w:p>
          <w:p w14:paraId="22A16D2D">
            <w:pPr>
              <w:spacing w:line="252" w:lineRule="auto"/>
              <w:rPr>
                <w:rFonts w:ascii="Arial"/>
                <w:color w:val="auto"/>
                <w:sz w:val="21"/>
                <w:highlight w:val="none"/>
              </w:rPr>
            </w:pPr>
          </w:p>
          <w:p w14:paraId="68985965">
            <w:pPr>
              <w:spacing w:line="252" w:lineRule="auto"/>
              <w:rPr>
                <w:rFonts w:ascii="Arial"/>
                <w:color w:val="auto"/>
                <w:sz w:val="21"/>
                <w:highlight w:val="none"/>
              </w:rPr>
            </w:pPr>
          </w:p>
          <w:p w14:paraId="4439D662">
            <w:pPr>
              <w:spacing w:line="252" w:lineRule="auto"/>
              <w:rPr>
                <w:rFonts w:ascii="Arial"/>
                <w:color w:val="auto"/>
                <w:sz w:val="21"/>
                <w:highlight w:val="none"/>
              </w:rPr>
            </w:pPr>
          </w:p>
          <w:p w14:paraId="010E9387">
            <w:pPr>
              <w:spacing w:line="252" w:lineRule="auto"/>
              <w:rPr>
                <w:rFonts w:ascii="Arial"/>
                <w:color w:val="auto"/>
                <w:sz w:val="21"/>
                <w:highlight w:val="none"/>
              </w:rPr>
            </w:pPr>
          </w:p>
          <w:p w14:paraId="4DBE1AD2">
            <w:pPr>
              <w:spacing w:line="252" w:lineRule="auto"/>
              <w:rPr>
                <w:rFonts w:ascii="Arial"/>
                <w:color w:val="auto"/>
                <w:sz w:val="21"/>
                <w:highlight w:val="none"/>
              </w:rPr>
            </w:pPr>
          </w:p>
          <w:p w14:paraId="13C01349">
            <w:pPr>
              <w:spacing w:line="252" w:lineRule="auto"/>
              <w:rPr>
                <w:rFonts w:ascii="Arial"/>
                <w:color w:val="auto"/>
                <w:sz w:val="21"/>
                <w:highlight w:val="none"/>
              </w:rPr>
            </w:pPr>
          </w:p>
          <w:p w14:paraId="50EBEE4D">
            <w:pPr>
              <w:spacing w:line="252" w:lineRule="auto"/>
              <w:rPr>
                <w:rFonts w:ascii="Arial"/>
                <w:color w:val="auto"/>
                <w:sz w:val="21"/>
                <w:highlight w:val="none"/>
              </w:rPr>
            </w:pPr>
          </w:p>
          <w:p w14:paraId="37380C7D">
            <w:pPr>
              <w:spacing w:line="252" w:lineRule="auto"/>
              <w:rPr>
                <w:rFonts w:ascii="Arial"/>
                <w:color w:val="auto"/>
                <w:sz w:val="21"/>
                <w:highlight w:val="none"/>
              </w:rPr>
            </w:pPr>
          </w:p>
          <w:p w14:paraId="3C3AF266">
            <w:pPr>
              <w:spacing w:line="252" w:lineRule="auto"/>
              <w:rPr>
                <w:rFonts w:ascii="Arial"/>
                <w:color w:val="auto"/>
                <w:sz w:val="21"/>
                <w:highlight w:val="none"/>
              </w:rPr>
            </w:pPr>
          </w:p>
          <w:p w14:paraId="0786AA6C">
            <w:pPr>
              <w:spacing w:line="252" w:lineRule="auto"/>
              <w:rPr>
                <w:rFonts w:ascii="Arial"/>
                <w:color w:val="auto"/>
                <w:sz w:val="21"/>
                <w:highlight w:val="none"/>
              </w:rPr>
            </w:pPr>
          </w:p>
          <w:p w14:paraId="74E338F9">
            <w:pPr>
              <w:spacing w:line="252" w:lineRule="auto"/>
              <w:rPr>
                <w:rFonts w:ascii="Arial"/>
                <w:color w:val="auto"/>
                <w:sz w:val="21"/>
                <w:highlight w:val="none"/>
              </w:rPr>
            </w:pPr>
          </w:p>
          <w:p w14:paraId="0DB61749">
            <w:pPr>
              <w:spacing w:line="252" w:lineRule="auto"/>
              <w:rPr>
                <w:rFonts w:ascii="Arial"/>
                <w:color w:val="auto"/>
                <w:sz w:val="21"/>
                <w:highlight w:val="none"/>
              </w:rPr>
            </w:pPr>
          </w:p>
          <w:p w14:paraId="630CEFB7">
            <w:pPr>
              <w:pStyle w:val="17"/>
              <w:spacing w:before="68" w:line="220" w:lineRule="auto"/>
              <w:ind w:left="110"/>
              <w:rPr>
                <w:color w:val="auto"/>
                <w:sz w:val="21"/>
                <w:szCs w:val="21"/>
                <w:highlight w:val="none"/>
              </w:rPr>
            </w:pPr>
            <w:r>
              <w:rPr>
                <w:color w:val="auto"/>
                <w:spacing w:val="-2"/>
                <w:sz w:val="21"/>
                <w:szCs w:val="21"/>
                <w:highlight w:val="none"/>
              </w:rPr>
              <w:t>异议与投诉</w:t>
            </w:r>
          </w:p>
        </w:tc>
        <w:tc>
          <w:tcPr>
            <w:tcW w:w="5645" w:type="dxa"/>
            <w:tcBorders>
              <w:bottom w:val="single" w:color="000000" w:sz="6" w:space="0"/>
              <w:right w:val="single" w:color="000000" w:sz="6" w:space="0"/>
            </w:tcBorders>
            <w:vAlign w:val="top"/>
          </w:tcPr>
          <w:p w14:paraId="05075AF1">
            <w:pPr>
              <w:pStyle w:val="17"/>
              <w:spacing w:before="48" w:line="220" w:lineRule="auto"/>
              <w:ind w:left="338"/>
              <w:rPr>
                <w:color w:val="auto"/>
                <w:sz w:val="21"/>
                <w:szCs w:val="21"/>
                <w:highlight w:val="none"/>
              </w:rPr>
            </w:pPr>
            <w:r>
              <w:rPr>
                <w:rFonts w:ascii="Times New Roman" w:hAnsi="Times New Roman" w:eastAsia="Times New Roman" w:cs="Times New Roman"/>
                <w:color w:val="auto"/>
                <w:spacing w:val="-12"/>
                <w:sz w:val="21"/>
                <w:szCs w:val="21"/>
                <w:highlight w:val="none"/>
              </w:rPr>
              <w:t>1</w:t>
            </w:r>
            <w:r>
              <w:rPr>
                <w:rFonts w:ascii="Times New Roman" w:hAnsi="Times New Roman" w:eastAsia="Times New Roman" w:cs="Times New Roman"/>
                <w:color w:val="auto"/>
                <w:spacing w:val="-24"/>
                <w:sz w:val="21"/>
                <w:szCs w:val="21"/>
                <w:highlight w:val="none"/>
              </w:rPr>
              <w:t xml:space="preserve"> </w:t>
            </w:r>
            <w:r>
              <w:rPr>
                <w:color w:val="auto"/>
                <w:spacing w:val="-12"/>
                <w:sz w:val="21"/>
                <w:szCs w:val="21"/>
                <w:highlight w:val="none"/>
              </w:rPr>
              <w:t>．异议</w:t>
            </w:r>
          </w:p>
          <w:p w14:paraId="0D5C52AB">
            <w:pPr>
              <w:pStyle w:val="17"/>
              <w:spacing w:before="29"/>
              <w:ind w:left="113" w:right="155" w:firstLine="214"/>
              <w:rPr>
                <w:color w:val="auto"/>
                <w:sz w:val="21"/>
                <w:szCs w:val="21"/>
                <w:highlight w:val="none"/>
              </w:rPr>
            </w:pPr>
            <w:r>
              <w:rPr>
                <w:color w:val="auto"/>
                <w:spacing w:val="-1"/>
                <w:sz w:val="21"/>
                <w:szCs w:val="21"/>
                <w:highlight w:val="none"/>
              </w:rPr>
              <w:t>（一）潜在投标人或者其他利害关系人对招标</w:t>
            </w:r>
            <w:r>
              <w:rPr>
                <w:color w:val="auto"/>
                <w:spacing w:val="-2"/>
                <w:sz w:val="21"/>
                <w:szCs w:val="21"/>
                <w:highlight w:val="none"/>
              </w:rPr>
              <w:t>文件有异</w:t>
            </w:r>
            <w:r>
              <w:rPr>
                <w:color w:val="auto"/>
                <w:sz w:val="21"/>
                <w:szCs w:val="21"/>
                <w:highlight w:val="none"/>
              </w:rPr>
              <w:t xml:space="preserve"> </w:t>
            </w:r>
            <w:r>
              <w:rPr>
                <w:color w:val="auto"/>
                <w:spacing w:val="-19"/>
                <w:sz w:val="21"/>
                <w:szCs w:val="21"/>
                <w:highlight w:val="none"/>
              </w:rPr>
              <w:t xml:space="preserve">议的，应当在投标截止时间 </w:t>
            </w:r>
            <w:r>
              <w:rPr>
                <w:rFonts w:ascii="Times New Roman" w:hAnsi="Times New Roman" w:eastAsia="Times New Roman" w:cs="Times New Roman"/>
                <w:color w:val="auto"/>
                <w:spacing w:val="-19"/>
                <w:sz w:val="21"/>
                <w:szCs w:val="21"/>
                <w:highlight w:val="none"/>
              </w:rPr>
              <w:t>10</w:t>
            </w:r>
            <w:r>
              <w:rPr>
                <w:color w:val="auto"/>
                <w:spacing w:val="-19"/>
                <w:sz w:val="21"/>
                <w:szCs w:val="21"/>
                <w:highlight w:val="none"/>
              </w:rPr>
              <w:t>日前以书面形式向招标人提出。</w:t>
            </w:r>
            <w:r>
              <w:rPr>
                <w:color w:val="auto"/>
                <w:spacing w:val="2"/>
                <w:sz w:val="21"/>
                <w:szCs w:val="21"/>
                <w:highlight w:val="none"/>
              </w:rPr>
              <w:t xml:space="preserve"> </w:t>
            </w:r>
            <w:r>
              <w:rPr>
                <w:color w:val="auto"/>
                <w:spacing w:val="-10"/>
                <w:sz w:val="21"/>
                <w:szCs w:val="21"/>
                <w:highlight w:val="none"/>
              </w:rPr>
              <w:t>招标人应在收到异议之日起</w:t>
            </w:r>
            <w:r>
              <w:rPr>
                <w:rFonts w:ascii="Times New Roman" w:hAnsi="Times New Roman" w:eastAsia="Times New Roman" w:cs="Times New Roman"/>
                <w:color w:val="auto"/>
                <w:spacing w:val="-10"/>
                <w:sz w:val="21"/>
                <w:szCs w:val="21"/>
                <w:highlight w:val="none"/>
              </w:rPr>
              <w:t>3</w:t>
            </w:r>
            <w:r>
              <w:rPr>
                <w:color w:val="auto"/>
                <w:spacing w:val="-10"/>
                <w:sz w:val="21"/>
                <w:szCs w:val="21"/>
                <w:highlight w:val="none"/>
              </w:rPr>
              <w:t>日内作出书面答复；</w:t>
            </w:r>
            <w:r>
              <w:rPr>
                <w:color w:val="auto"/>
                <w:spacing w:val="-28"/>
                <w:sz w:val="21"/>
                <w:szCs w:val="21"/>
                <w:highlight w:val="none"/>
              </w:rPr>
              <w:t xml:space="preserve"> </w:t>
            </w:r>
            <w:r>
              <w:rPr>
                <w:color w:val="auto"/>
                <w:spacing w:val="-10"/>
                <w:sz w:val="21"/>
                <w:szCs w:val="21"/>
                <w:highlight w:val="none"/>
              </w:rPr>
              <w:t>作出答复</w:t>
            </w:r>
            <w:r>
              <w:rPr>
                <w:color w:val="auto"/>
                <w:sz w:val="21"/>
                <w:szCs w:val="21"/>
                <w:highlight w:val="none"/>
              </w:rPr>
              <w:t xml:space="preserve"> </w:t>
            </w:r>
            <w:r>
              <w:rPr>
                <w:color w:val="auto"/>
                <w:spacing w:val="-4"/>
                <w:sz w:val="21"/>
                <w:szCs w:val="21"/>
                <w:highlight w:val="none"/>
              </w:rPr>
              <w:t>前，暂停招标投标活动。</w:t>
            </w:r>
          </w:p>
          <w:p w14:paraId="480D6931">
            <w:pPr>
              <w:pStyle w:val="17"/>
              <w:autoSpaceDE/>
              <w:autoSpaceDN/>
              <w:spacing w:line="240" w:lineRule="exact"/>
              <w:ind w:firstLine="420" w:firstLineChars="200"/>
              <w:rPr>
                <w:rFonts w:hint="default" w:ascii="Times New Roman" w:hAnsi="Times New Roman" w:eastAsia="宋体" w:cs="Times New Roman"/>
                <w:strike/>
                <w:dstrike w:val="0"/>
                <w:color w:val="auto"/>
                <w:sz w:val="21"/>
                <w:szCs w:val="21"/>
                <w:highlight w:val="none"/>
                <w:lang w:val="en-US" w:eastAsia="zh-CN"/>
              </w:rPr>
            </w:pPr>
            <w:r>
              <w:rPr>
                <w:rFonts w:ascii="Times New Roman" w:hAnsi="Times New Roman" w:cs="Times New Roman"/>
                <w:strike/>
                <w:dstrike w:val="0"/>
                <w:color w:val="auto"/>
                <w:sz w:val="21"/>
                <w:szCs w:val="21"/>
                <w:highlight w:val="none"/>
                <w:lang w:eastAsia="zh-CN"/>
              </w:rPr>
              <w:t>（二）投标人认为开标不符合有关规定的，应当在开标时提出异议。招标人将当场对异议给予处理或者告知处理的办法。异议和答复应记入开标记录或者制作专门记录以存档备查</w:t>
            </w:r>
            <w:r>
              <w:rPr>
                <w:rFonts w:hint="eastAsia" w:ascii="Times New Roman" w:hAnsi="Times New Roman" w:cs="Times New Roman"/>
                <w:strike w:val="0"/>
                <w:dstrike w:val="0"/>
                <w:color w:val="auto"/>
                <w:sz w:val="21"/>
                <w:szCs w:val="21"/>
                <w:highlight w:val="none"/>
                <w:lang w:eastAsia="zh-CN"/>
              </w:rPr>
              <w:t>。</w:t>
            </w:r>
            <w:r>
              <w:rPr>
                <w:rFonts w:hint="eastAsia" w:ascii="Times New Roman" w:hAnsi="Times New Roman" w:cs="Times New Roman"/>
                <w:strike w:val="0"/>
                <w:dstrike w:val="0"/>
                <w:color w:val="auto"/>
                <w:sz w:val="21"/>
                <w:szCs w:val="21"/>
                <w:highlight w:val="none"/>
                <w:lang w:val="en-US" w:eastAsia="zh-CN"/>
              </w:rPr>
              <w:t>投标人认为开标不符合有关规定的，应当在开标时通过电子邮箱（</w:t>
            </w:r>
            <w:r>
              <w:rPr>
                <w:rFonts w:hint="eastAsia" w:ascii="Times New Roman" w:hAnsi="Times New Roman" w:cs="Times New Roman"/>
                <w:color w:val="auto"/>
                <w:sz w:val="21"/>
                <w:szCs w:val="21"/>
                <w:highlight w:val="none"/>
                <w:u w:val="none"/>
                <w:lang w:val="en-US" w:eastAsia="zh-CN"/>
              </w:rPr>
              <w:t>2429136371@qq.com</w:t>
            </w:r>
            <w:r>
              <w:rPr>
                <w:rFonts w:ascii="Times New Roman" w:hAnsi="Times New Roman" w:cs="Times New Roman"/>
                <w:color w:val="auto"/>
                <w:sz w:val="21"/>
                <w:szCs w:val="21"/>
                <w:highlight w:val="none"/>
                <w:u w:val="none"/>
              </w:rPr>
              <w:t>）</w:t>
            </w:r>
            <w:r>
              <w:rPr>
                <w:rFonts w:hint="eastAsia" w:ascii="Times New Roman" w:hAnsi="Times New Roman" w:cs="Times New Roman"/>
                <w:color w:val="auto"/>
                <w:sz w:val="21"/>
                <w:szCs w:val="21"/>
                <w:highlight w:val="none"/>
                <w:u w:val="none"/>
                <w:lang w:val="en-US" w:eastAsia="zh-CN"/>
              </w:rPr>
              <w:t>向招标人提出异议并电话告知（13656752180）。招标人将当场对异议给予处理或者告知处理的办法。异议和答复应记入开标记录或者制作专门记录以存档备查。</w:t>
            </w:r>
          </w:p>
          <w:p w14:paraId="2DF8A215">
            <w:pPr>
              <w:pStyle w:val="17"/>
              <w:spacing w:before="30" w:line="237" w:lineRule="auto"/>
              <w:ind w:left="112" w:right="141" w:firstLine="215"/>
              <w:rPr>
                <w:color w:val="auto"/>
                <w:sz w:val="21"/>
                <w:szCs w:val="21"/>
                <w:highlight w:val="none"/>
              </w:rPr>
            </w:pPr>
            <w:r>
              <w:rPr>
                <w:color w:val="auto"/>
                <w:spacing w:val="-1"/>
                <w:sz w:val="21"/>
                <w:szCs w:val="21"/>
                <w:highlight w:val="none"/>
              </w:rPr>
              <w:t>（三）投标人及其他利害关系人对评标结果有异议的，</w:t>
            </w:r>
            <w:r>
              <w:rPr>
                <w:color w:val="auto"/>
                <w:spacing w:val="8"/>
                <w:sz w:val="21"/>
                <w:szCs w:val="21"/>
                <w:highlight w:val="none"/>
              </w:rPr>
              <w:t xml:space="preserve"> </w:t>
            </w:r>
            <w:r>
              <w:rPr>
                <w:color w:val="auto"/>
                <w:spacing w:val="-1"/>
                <w:sz w:val="21"/>
                <w:szCs w:val="21"/>
                <w:highlight w:val="none"/>
              </w:rPr>
              <w:t>应当在中标候选人公示期内以书面形式向招标人提出。招</w:t>
            </w:r>
            <w:r>
              <w:rPr>
                <w:color w:val="auto"/>
                <w:spacing w:val="15"/>
                <w:sz w:val="21"/>
                <w:szCs w:val="21"/>
                <w:highlight w:val="none"/>
              </w:rPr>
              <w:t xml:space="preserve"> </w:t>
            </w:r>
            <w:r>
              <w:rPr>
                <w:color w:val="auto"/>
                <w:spacing w:val="-9"/>
                <w:sz w:val="21"/>
                <w:szCs w:val="21"/>
                <w:highlight w:val="none"/>
              </w:rPr>
              <w:t xml:space="preserve">标人应在收到异议之日起 </w:t>
            </w:r>
            <w:r>
              <w:rPr>
                <w:rFonts w:ascii="Times New Roman" w:hAnsi="Times New Roman" w:eastAsia="Times New Roman" w:cs="Times New Roman"/>
                <w:color w:val="auto"/>
                <w:spacing w:val="-9"/>
                <w:sz w:val="21"/>
                <w:szCs w:val="21"/>
                <w:highlight w:val="none"/>
              </w:rPr>
              <w:t>3</w:t>
            </w:r>
            <w:r>
              <w:rPr>
                <w:color w:val="auto"/>
                <w:spacing w:val="-9"/>
                <w:sz w:val="21"/>
                <w:szCs w:val="21"/>
                <w:highlight w:val="none"/>
              </w:rPr>
              <w:t>日内作出书面答复；作出答复</w:t>
            </w:r>
          </w:p>
          <w:p w14:paraId="71FA89D3">
            <w:pPr>
              <w:pStyle w:val="17"/>
              <w:spacing w:before="30" w:line="220" w:lineRule="auto"/>
              <w:ind w:left="115"/>
              <w:rPr>
                <w:color w:val="auto"/>
                <w:sz w:val="21"/>
                <w:szCs w:val="21"/>
                <w:highlight w:val="none"/>
              </w:rPr>
            </w:pPr>
            <w:r>
              <w:rPr>
                <w:color w:val="auto"/>
                <w:spacing w:val="-14"/>
                <w:sz w:val="21"/>
                <w:szCs w:val="21"/>
                <w:highlight w:val="none"/>
              </w:rPr>
              <w:t>前，暂停招标投标活动。</w:t>
            </w:r>
          </w:p>
          <w:p w14:paraId="4003CA84">
            <w:pPr>
              <w:pStyle w:val="17"/>
              <w:spacing w:before="30" w:line="233" w:lineRule="auto"/>
              <w:ind w:left="113" w:right="167" w:firstLine="214"/>
              <w:rPr>
                <w:color w:val="auto"/>
                <w:sz w:val="21"/>
                <w:szCs w:val="21"/>
                <w:highlight w:val="none"/>
              </w:rPr>
            </w:pPr>
            <w:r>
              <w:rPr>
                <w:color w:val="auto"/>
                <w:spacing w:val="-2"/>
                <w:sz w:val="21"/>
                <w:szCs w:val="21"/>
                <w:highlight w:val="none"/>
              </w:rPr>
              <w:t>（四）对招标文件、开标结果和评标结果的异议，提出</w:t>
            </w:r>
            <w:r>
              <w:rPr>
                <w:color w:val="auto"/>
                <w:spacing w:val="7"/>
                <w:sz w:val="21"/>
                <w:szCs w:val="21"/>
                <w:highlight w:val="none"/>
              </w:rPr>
              <w:t xml:space="preserve"> </w:t>
            </w:r>
            <w:r>
              <w:rPr>
                <w:color w:val="auto"/>
                <w:spacing w:val="-3"/>
                <w:sz w:val="21"/>
                <w:szCs w:val="21"/>
                <w:highlight w:val="none"/>
              </w:rPr>
              <w:t>和答复均应通过</w:t>
            </w:r>
            <w:r>
              <w:rPr>
                <w:rFonts w:ascii="Times New Roman" w:hAnsi="Times New Roman" w:cs="Times New Roman"/>
                <w:color w:val="auto"/>
                <w:sz w:val="21"/>
                <w:szCs w:val="21"/>
                <w:highlight w:val="none"/>
                <w:u w:val="single"/>
              </w:rPr>
              <w:t>纸质或电子扫描件（均需加盖投标单位公章，电子扫描件可加盖电子公章发送至邮箱</w:t>
            </w:r>
            <w:r>
              <w:rPr>
                <w:rFonts w:hint="eastAsia" w:ascii="Times New Roman" w:hAnsi="Times New Roman" w:cs="Times New Roman"/>
                <w:color w:val="auto"/>
                <w:sz w:val="21"/>
                <w:szCs w:val="21"/>
                <w:highlight w:val="none"/>
                <w:u w:val="single"/>
                <w:lang w:val="en-US" w:eastAsia="zh-CN"/>
              </w:rPr>
              <w:t>2429136371@qq.com</w:t>
            </w:r>
            <w:r>
              <w:rPr>
                <w:rFonts w:ascii="Times New Roman" w:hAnsi="Times New Roman" w:cs="Times New Roman"/>
                <w:color w:val="auto"/>
                <w:sz w:val="21"/>
                <w:szCs w:val="21"/>
                <w:highlight w:val="none"/>
                <w:u w:val="single"/>
              </w:rPr>
              <w:t>）</w:t>
            </w:r>
            <w:r>
              <w:rPr>
                <w:color w:val="auto"/>
                <w:spacing w:val="-3"/>
                <w:sz w:val="21"/>
                <w:szCs w:val="21"/>
                <w:highlight w:val="none"/>
              </w:rPr>
              <w:t>。</w:t>
            </w:r>
          </w:p>
          <w:p w14:paraId="2946BAF5">
            <w:pPr>
              <w:pStyle w:val="17"/>
              <w:spacing w:before="30" w:line="220" w:lineRule="auto"/>
              <w:ind w:left="528"/>
              <w:rPr>
                <w:color w:val="auto"/>
                <w:sz w:val="21"/>
                <w:szCs w:val="21"/>
                <w:highlight w:val="none"/>
              </w:rPr>
            </w:pPr>
            <w:r>
              <w:rPr>
                <w:rFonts w:ascii="Times New Roman" w:hAnsi="Times New Roman" w:eastAsia="Times New Roman" w:cs="Times New Roman"/>
                <w:color w:val="auto"/>
                <w:spacing w:val="-7"/>
                <w:sz w:val="21"/>
                <w:szCs w:val="21"/>
                <w:highlight w:val="none"/>
              </w:rPr>
              <w:t>2</w:t>
            </w:r>
            <w:r>
              <w:rPr>
                <w:rFonts w:ascii="Times New Roman" w:hAnsi="Times New Roman" w:eastAsia="Times New Roman" w:cs="Times New Roman"/>
                <w:color w:val="auto"/>
                <w:spacing w:val="-24"/>
                <w:sz w:val="21"/>
                <w:szCs w:val="21"/>
                <w:highlight w:val="none"/>
              </w:rPr>
              <w:t xml:space="preserve"> </w:t>
            </w:r>
            <w:r>
              <w:rPr>
                <w:color w:val="auto"/>
                <w:spacing w:val="-7"/>
                <w:sz w:val="21"/>
                <w:szCs w:val="21"/>
                <w:highlight w:val="none"/>
              </w:rPr>
              <w:t>．投诉</w:t>
            </w:r>
          </w:p>
          <w:p w14:paraId="00EA802D">
            <w:pPr>
              <w:pStyle w:val="17"/>
              <w:spacing w:before="30" w:line="220" w:lineRule="auto"/>
              <w:ind w:left="346"/>
              <w:rPr>
                <w:color w:val="auto"/>
                <w:sz w:val="21"/>
                <w:szCs w:val="21"/>
                <w:highlight w:val="none"/>
              </w:rPr>
            </w:pPr>
            <w:r>
              <w:rPr>
                <w:color w:val="auto"/>
                <w:spacing w:val="21"/>
                <w:sz w:val="21"/>
                <w:szCs w:val="21"/>
                <w:highlight w:val="none"/>
              </w:rPr>
              <w:t>投标人或者其他利害关系人认为招标投标活动不</w:t>
            </w:r>
          </w:p>
          <w:p w14:paraId="60F9C1C3">
            <w:pPr>
              <w:pStyle w:val="17"/>
              <w:spacing w:before="31" w:line="246" w:lineRule="auto"/>
              <w:ind w:left="113" w:right="109"/>
              <w:rPr>
                <w:color w:val="auto"/>
                <w:sz w:val="21"/>
                <w:szCs w:val="21"/>
                <w:highlight w:val="none"/>
              </w:rPr>
            </w:pPr>
            <w:r>
              <w:rPr>
                <w:color w:val="auto"/>
                <w:spacing w:val="2"/>
                <w:sz w:val="21"/>
                <w:szCs w:val="21"/>
                <w:highlight w:val="none"/>
              </w:rPr>
              <w:t>符合法律、行政法规和招标文件规定的，可以自知道或</w:t>
            </w:r>
            <w:r>
              <w:rPr>
                <w:color w:val="auto"/>
                <w:spacing w:val="-16"/>
                <w:sz w:val="21"/>
                <w:szCs w:val="21"/>
                <w:highlight w:val="none"/>
              </w:rPr>
              <w:t>者应当知道之日起</w:t>
            </w:r>
            <w:r>
              <w:rPr>
                <w:color w:val="auto"/>
                <w:spacing w:val="-55"/>
                <w:sz w:val="21"/>
                <w:szCs w:val="21"/>
                <w:highlight w:val="none"/>
              </w:rPr>
              <w:t xml:space="preserve"> </w:t>
            </w:r>
            <w:r>
              <w:rPr>
                <w:rFonts w:ascii="Times New Roman" w:hAnsi="Times New Roman" w:eastAsia="Times New Roman" w:cs="Times New Roman"/>
                <w:color w:val="auto"/>
                <w:spacing w:val="-16"/>
                <w:sz w:val="21"/>
                <w:szCs w:val="21"/>
                <w:highlight w:val="none"/>
              </w:rPr>
              <w:t>10</w:t>
            </w:r>
            <w:r>
              <w:rPr>
                <w:color w:val="auto"/>
                <w:spacing w:val="-16"/>
                <w:sz w:val="21"/>
                <w:szCs w:val="21"/>
                <w:highlight w:val="none"/>
              </w:rPr>
              <w:t>日内向有关行政监督部门投诉。投诉应当</w:t>
            </w:r>
            <w:r>
              <w:rPr>
                <w:color w:val="auto"/>
                <w:spacing w:val="-3"/>
                <w:sz w:val="21"/>
                <w:szCs w:val="21"/>
                <w:highlight w:val="none"/>
              </w:rPr>
              <w:t>有明确的请求和必要的证明资料，具体要求应符合《</w:t>
            </w:r>
            <w:r>
              <w:rPr>
                <w:color w:val="auto"/>
                <w:spacing w:val="-4"/>
                <w:sz w:val="21"/>
                <w:szCs w:val="21"/>
                <w:highlight w:val="none"/>
              </w:rPr>
              <w:t>工程建设项目招标投标活动投诉处理办法》（国家发改委等七</w:t>
            </w:r>
            <w:r>
              <w:rPr>
                <w:color w:val="auto"/>
                <w:spacing w:val="-10"/>
                <w:sz w:val="21"/>
                <w:szCs w:val="21"/>
                <w:highlight w:val="none"/>
              </w:rPr>
              <w:t xml:space="preserve">部委 </w:t>
            </w:r>
            <w:r>
              <w:rPr>
                <w:rFonts w:ascii="Times New Roman" w:hAnsi="Times New Roman" w:eastAsia="Times New Roman" w:cs="Times New Roman"/>
                <w:color w:val="auto"/>
                <w:spacing w:val="-10"/>
                <w:sz w:val="21"/>
                <w:szCs w:val="21"/>
                <w:highlight w:val="none"/>
              </w:rPr>
              <w:t>2004</w:t>
            </w:r>
            <w:r>
              <w:rPr>
                <w:rFonts w:ascii="Times New Roman" w:hAnsi="Times New Roman" w:eastAsia="Times New Roman" w:cs="Times New Roman"/>
                <w:color w:val="auto"/>
                <w:spacing w:val="20"/>
                <w:sz w:val="21"/>
                <w:szCs w:val="21"/>
                <w:highlight w:val="none"/>
              </w:rPr>
              <w:t xml:space="preserve"> </w:t>
            </w:r>
            <w:r>
              <w:rPr>
                <w:color w:val="auto"/>
                <w:spacing w:val="-10"/>
                <w:sz w:val="21"/>
                <w:szCs w:val="21"/>
                <w:highlight w:val="none"/>
              </w:rPr>
              <w:t>年第</w:t>
            </w:r>
            <w:r>
              <w:rPr>
                <w:rFonts w:ascii="Times New Roman" w:hAnsi="Times New Roman" w:eastAsia="Times New Roman" w:cs="Times New Roman"/>
                <w:color w:val="auto"/>
                <w:spacing w:val="-10"/>
                <w:sz w:val="21"/>
                <w:szCs w:val="21"/>
                <w:highlight w:val="none"/>
              </w:rPr>
              <w:t>11</w:t>
            </w:r>
            <w:r>
              <w:rPr>
                <w:color w:val="auto"/>
                <w:spacing w:val="-10"/>
                <w:sz w:val="21"/>
                <w:szCs w:val="21"/>
                <w:highlight w:val="none"/>
              </w:rPr>
              <w:t>号令）规定。</w:t>
            </w:r>
          </w:p>
          <w:p w14:paraId="160749AF">
            <w:pPr>
              <w:pStyle w:val="17"/>
              <w:spacing w:before="1" w:line="245" w:lineRule="auto"/>
              <w:ind w:left="113" w:right="141" w:firstLine="210"/>
              <w:rPr>
                <w:color w:val="auto"/>
                <w:sz w:val="21"/>
                <w:szCs w:val="21"/>
                <w:highlight w:val="none"/>
              </w:rPr>
            </w:pPr>
            <w:r>
              <w:rPr>
                <w:color w:val="auto"/>
                <w:spacing w:val="-1"/>
                <w:sz w:val="21"/>
                <w:szCs w:val="21"/>
                <w:highlight w:val="none"/>
              </w:rPr>
              <w:t>就招标文件、开标和评标结果投诉的，应当先向招标人</w:t>
            </w:r>
            <w:r>
              <w:rPr>
                <w:color w:val="auto"/>
                <w:spacing w:val="13"/>
                <w:sz w:val="21"/>
                <w:szCs w:val="21"/>
                <w:highlight w:val="none"/>
              </w:rPr>
              <w:t xml:space="preserve"> </w:t>
            </w:r>
            <w:r>
              <w:rPr>
                <w:color w:val="auto"/>
                <w:spacing w:val="-2"/>
                <w:sz w:val="21"/>
                <w:szCs w:val="21"/>
                <w:highlight w:val="none"/>
              </w:rPr>
              <w:t>提出异议，异议答复期不计算在前款规定的期限内。</w:t>
            </w:r>
          </w:p>
          <w:p w14:paraId="1FF4FFAB">
            <w:pPr>
              <w:pStyle w:val="17"/>
              <w:spacing w:before="1" w:line="246" w:lineRule="auto"/>
              <w:ind w:left="113" w:right="247" w:firstLine="209"/>
              <w:rPr>
                <w:color w:val="auto"/>
                <w:sz w:val="21"/>
                <w:szCs w:val="21"/>
                <w:highlight w:val="none"/>
              </w:rPr>
            </w:pPr>
            <w:r>
              <w:rPr>
                <w:rFonts w:ascii="Times New Roman" w:hAnsi="Times New Roman" w:eastAsia="Times New Roman" w:cs="Times New Roman"/>
                <w:color w:val="auto"/>
                <w:spacing w:val="-2"/>
                <w:sz w:val="21"/>
                <w:szCs w:val="21"/>
                <w:highlight w:val="none"/>
              </w:rPr>
              <w:t>3</w:t>
            </w:r>
            <w:r>
              <w:rPr>
                <w:rFonts w:ascii="Times New Roman" w:hAnsi="Times New Roman" w:eastAsia="Times New Roman" w:cs="Times New Roman"/>
                <w:color w:val="auto"/>
                <w:spacing w:val="-15"/>
                <w:sz w:val="21"/>
                <w:szCs w:val="21"/>
                <w:highlight w:val="none"/>
              </w:rPr>
              <w:t xml:space="preserve"> </w:t>
            </w:r>
            <w:r>
              <w:rPr>
                <w:color w:val="auto"/>
                <w:spacing w:val="-2"/>
                <w:sz w:val="21"/>
                <w:szCs w:val="21"/>
                <w:highlight w:val="none"/>
              </w:rPr>
              <w:t>．上述时限最后一日如遇国家法定休假日的，顺延至</w:t>
            </w:r>
            <w:r>
              <w:rPr>
                <w:color w:val="auto"/>
                <w:sz w:val="21"/>
                <w:szCs w:val="21"/>
                <w:highlight w:val="none"/>
              </w:rPr>
              <w:t xml:space="preserve"> </w:t>
            </w:r>
            <w:r>
              <w:rPr>
                <w:color w:val="auto"/>
                <w:spacing w:val="-3"/>
                <w:sz w:val="21"/>
                <w:szCs w:val="21"/>
                <w:highlight w:val="none"/>
              </w:rPr>
              <w:t>法定休假日后的第一个工作日。</w:t>
            </w:r>
          </w:p>
          <w:p w14:paraId="6C997FA3">
            <w:pPr>
              <w:pStyle w:val="17"/>
              <w:spacing w:before="6" w:line="238" w:lineRule="auto"/>
              <w:ind w:left="113" w:right="141" w:firstLine="212"/>
              <w:rPr>
                <w:color w:val="auto"/>
                <w:sz w:val="21"/>
                <w:szCs w:val="21"/>
                <w:highlight w:val="none"/>
              </w:rPr>
            </w:pPr>
            <w:r>
              <w:rPr>
                <w:color w:val="auto"/>
                <w:spacing w:val="-1"/>
                <w:sz w:val="21"/>
                <w:szCs w:val="21"/>
                <w:highlight w:val="none"/>
              </w:rPr>
              <w:t>前款所提的应当知道起始时间界定为：</w:t>
            </w:r>
            <w:r>
              <w:rPr>
                <w:rFonts w:ascii="Times New Roman" w:hAnsi="Times New Roman" w:eastAsia="Times New Roman" w:cs="Times New Roman"/>
                <w:color w:val="auto"/>
                <w:spacing w:val="-1"/>
                <w:sz w:val="21"/>
                <w:szCs w:val="21"/>
                <w:highlight w:val="none"/>
              </w:rPr>
              <w:t>1.</w:t>
            </w:r>
            <w:r>
              <w:rPr>
                <w:color w:val="auto"/>
                <w:spacing w:val="-1"/>
                <w:sz w:val="21"/>
                <w:szCs w:val="21"/>
                <w:highlight w:val="none"/>
              </w:rPr>
              <w:t>对招标文件公</w:t>
            </w:r>
            <w:r>
              <w:rPr>
                <w:color w:val="auto"/>
                <w:spacing w:val="12"/>
                <w:sz w:val="21"/>
                <w:szCs w:val="21"/>
                <w:highlight w:val="none"/>
              </w:rPr>
              <w:t xml:space="preserve"> </w:t>
            </w:r>
            <w:r>
              <w:rPr>
                <w:color w:val="auto"/>
                <w:spacing w:val="-1"/>
                <w:sz w:val="21"/>
                <w:szCs w:val="21"/>
                <w:highlight w:val="none"/>
              </w:rPr>
              <w:t>告资格条件的投诉以下载招标文件的第一天为准；</w:t>
            </w:r>
            <w:r>
              <w:rPr>
                <w:rFonts w:ascii="Times New Roman" w:hAnsi="Times New Roman" w:eastAsia="Times New Roman" w:cs="Times New Roman"/>
                <w:color w:val="auto"/>
                <w:spacing w:val="-1"/>
                <w:sz w:val="21"/>
                <w:szCs w:val="21"/>
                <w:highlight w:val="none"/>
              </w:rPr>
              <w:t>2.</w:t>
            </w:r>
            <w:r>
              <w:rPr>
                <w:color w:val="auto"/>
                <w:spacing w:val="-1"/>
                <w:sz w:val="21"/>
                <w:szCs w:val="21"/>
                <w:highlight w:val="none"/>
              </w:rPr>
              <w:t>对除</w:t>
            </w:r>
            <w:r>
              <w:rPr>
                <w:color w:val="auto"/>
                <w:spacing w:val="16"/>
                <w:sz w:val="21"/>
                <w:szCs w:val="21"/>
                <w:highlight w:val="none"/>
              </w:rPr>
              <w:t xml:space="preserve"> </w:t>
            </w:r>
            <w:r>
              <w:rPr>
                <w:color w:val="auto"/>
                <w:spacing w:val="-1"/>
                <w:sz w:val="21"/>
                <w:szCs w:val="21"/>
                <w:highlight w:val="none"/>
              </w:rPr>
              <w:t>公告资格条件外招标文件其他内容的投诉以招标文件下载</w:t>
            </w:r>
            <w:r>
              <w:rPr>
                <w:color w:val="auto"/>
                <w:spacing w:val="14"/>
                <w:sz w:val="21"/>
                <w:szCs w:val="21"/>
                <w:highlight w:val="none"/>
              </w:rPr>
              <w:t xml:space="preserve"> </w:t>
            </w:r>
            <w:r>
              <w:rPr>
                <w:color w:val="auto"/>
                <w:spacing w:val="-1"/>
                <w:sz w:val="21"/>
                <w:szCs w:val="21"/>
                <w:highlight w:val="none"/>
              </w:rPr>
              <w:t>最后一天为准；</w:t>
            </w:r>
            <w:r>
              <w:rPr>
                <w:rFonts w:ascii="Times New Roman" w:hAnsi="Times New Roman" w:eastAsia="Times New Roman" w:cs="Times New Roman"/>
                <w:color w:val="auto"/>
                <w:spacing w:val="-1"/>
                <w:sz w:val="21"/>
                <w:szCs w:val="21"/>
                <w:highlight w:val="none"/>
              </w:rPr>
              <w:t>3.</w:t>
            </w:r>
            <w:r>
              <w:rPr>
                <w:color w:val="auto"/>
                <w:spacing w:val="-1"/>
                <w:sz w:val="21"/>
                <w:szCs w:val="21"/>
                <w:highlight w:val="none"/>
              </w:rPr>
              <w:t>对开标的投诉以开标时间为准；</w:t>
            </w:r>
            <w:r>
              <w:rPr>
                <w:rFonts w:ascii="Times New Roman" w:hAnsi="Times New Roman" w:eastAsia="Times New Roman" w:cs="Times New Roman"/>
                <w:color w:val="auto"/>
                <w:spacing w:val="-1"/>
                <w:sz w:val="21"/>
                <w:szCs w:val="21"/>
                <w:highlight w:val="none"/>
              </w:rPr>
              <w:t>4.</w:t>
            </w:r>
            <w:r>
              <w:rPr>
                <w:color w:val="auto"/>
                <w:spacing w:val="-1"/>
                <w:sz w:val="21"/>
                <w:szCs w:val="21"/>
                <w:highlight w:val="none"/>
              </w:rPr>
              <w:t>对评</w:t>
            </w:r>
            <w:r>
              <w:rPr>
                <w:color w:val="auto"/>
                <w:spacing w:val="8"/>
                <w:sz w:val="21"/>
                <w:szCs w:val="21"/>
                <w:highlight w:val="none"/>
              </w:rPr>
              <w:t xml:space="preserve">  </w:t>
            </w:r>
            <w:r>
              <w:rPr>
                <w:color w:val="auto"/>
                <w:spacing w:val="-1"/>
                <w:sz w:val="21"/>
                <w:szCs w:val="21"/>
                <w:highlight w:val="none"/>
              </w:rPr>
              <w:t>标结果的投诉以中标候选人公示期的起始时间为准（招标</w:t>
            </w:r>
            <w:r>
              <w:rPr>
                <w:color w:val="auto"/>
                <w:spacing w:val="14"/>
                <w:sz w:val="21"/>
                <w:szCs w:val="21"/>
                <w:highlight w:val="none"/>
              </w:rPr>
              <w:t xml:space="preserve"> </w:t>
            </w:r>
            <w:r>
              <w:rPr>
                <w:color w:val="auto"/>
                <w:spacing w:val="-4"/>
                <w:sz w:val="21"/>
                <w:szCs w:val="21"/>
                <w:highlight w:val="none"/>
              </w:rPr>
              <w:t>人发起的投诉除外）。</w:t>
            </w:r>
          </w:p>
        </w:tc>
      </w:tr>
    </w:tbl>
    <w:p w14:paraId="51A35D33">
      <w:pPr>
        <w:pStyle w:val="8"/>
        <w:rPr>
          <w:color w:val="auto"/>
          <w:highlight w:val="none"/>
        </w:rPr>
      </w:pPr>
    </w:p>
    <w:p w14:paraId="0B8CB9D4">
      <w:pPr>
        <w:rPr>
          <w:color w:val="auto"/>
          <w:highlight w:val="none"/>
        </w:rPr>
        <w:sectPr>
          <w:footerReference r:id="rId10" w:type="default"/>
          <w:pgSz w:w="11905" w:h="16840"/>
          <w:pgMar w:top="1431" w:right="1463" w:bottom="1255" w:left="1523" w:header="0" w:footer="1093" w:gutter="0"/>
          <w:pgNumType w:fmt="decimal"/>
          <w:cols w:space="720" w:num="1"/>
        </w:sectPr>
      </w:pPr>
    </w:p>
    <w:p w14:paraId="1A8B8705">
      <w:pPr>
        <w:spacing w:line="89" w:lineRule="auto"/>
        <w:rPr>
          <w:rFonts w:ascii="Arial"/>
          <w:color w:val="auto"/>
          <w:sz w:val="2"/>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444"/>
        <w:gridCol w:w="5506"/>
      </w:tblGrid>
      <w:tr w14:paraId="08A92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952" w:type="dxa"/>
            <w:tcBorders>
              <w:left w:val="single" w:color="000000" w:sz="6" w:space="0"/>
            </w:tcBorders>
            <w:vAlign w:val="top"/>
          </w:tcPr>
          <w:p w14:paraId="57A26A55">
            <w:pPr>
              <w:rPr>
                <w:rFonts w:ascii="Arial"/>
                <w:color w:val="auto"/>
                <w:sz w:val="21"/>
                <w:highlight w:val="none"/>
              </w:rPr>
            </w:pPr>
          </w:p>
        </w:tc>
        <w:tc>
          <w:tcPr>
            <w:tcW w:w="2444" w:type="dxa"/>
            <w:vAlign w:val="top"/>
          </w:tcPr>
          <w:p w14:paraId="26EC01CA">
            <w:pPr>
              <w:rPr>
                <w:rFonts w:ascii="Arial"/>
                <w:color w:val="auto"/>
                <w:sz w:val="21"/>
                <w:highlight w:val="none"/>
              </w:rPr>
            </w:pPr>
          </w:p>
        </w:tc>
        <w:tc>
          <w:tcPr>
            <w:tcW w:w="5506" w:type="dxa"/>
            <w:tcBorders>
              <w:right w:val="single" w:color="000000" w:sz="6" w:space="0"/>
            </w:tcBorders>
            <w:vAlign w:val="top"/>
          </w:tcPr>
          <w:p w14:paraId="534816D0">
            <w:pPr>
              <w:pStyle w:val="17"/>
              <w:spacing w:before="71" w:line="188" w:lineRule="auto"/>
              <w:ind w:left="324"/>
              <w:rPr>
                <w:rFonts w:ascii="微软雅黑" w:hAnsi="微软雅黑" w:eastAsia="微软雅黑" w:cs="微软雅黑"/>
                <w:color w:val="auto"/>
                <w:sz w:val="21"/>
                <w:szCs w:val="21"/>
                <w:highlight w:val="none"/>
              </w:rPr>
            </w:pPr>
            <w:r>
              <w:rPr>
                <w:color w:val="auto"/>
                <w:spacing w:val="-1"/>
                <w:sz w:val="21"/>
                <w:szCs w:val="21"/>
                <w:highlight w:val="none"/>
              </w:rPr>
              <w:t xml:space="preserve">投诉受理机构： </w:t>
            </w:r>
            <w:r>
              <w:rPr>
                <w:color w:val="auto"/>
                <w:spacing w:val="-1"/>
                <w:sz w:val="21"/>
                <w:szCs w:val="21"/>
                <w:highlight w:val="none"/>
                <w:u w:val="single" w:color="auto"/>
              </w:rPr>
              <w:t xml:space="preserve">  </w:t>
            </w:r>
            <w:r>
              <w:rPr>
                <w:rFonts w:hint="eastAsia"/>
                <w:color w:val="auto"/>
                <w:spacing w:val="-1"/>
                <w:sz w:val="21"/>
                <w:szCs w:val="21"/>
                <w:highlight w:val="none"/>
                <w:u w:val="single" w:color="auto"/>
                <w:lang w:val="en-US" w:eastAsia="zh-CN"/>
              </w:rPr>
              <w:t>绍兴市越城区农业农村和水利局；联系电话：0575-89180318</w:t>
            </w:r>
            <w:r>
              <w:rPr>
                <w:color w:val="auto"/>
                <w:spacing w:val="-1"/>
                <w:sz w:val="21"/>
                <w:szCs w:val="21"/>
                <w:highlight w:val="none"/>
                <w:u w:val="single" w:color="auto"/>
              </w:rPr>
              <w:t xml:space="preserve">   </w:t>
            </w:r>
            <w:r>
              <w:rPr>
                <w:rFonts w:ascii="微软雅黑" w:hAnsi="微软雅黑" w:eastAsia="微软雅黑" w:cs="微软雅黑"/>
                <w:color w:val="auto"/>
                <w:spacing w:val="-1"/>
                <w:sz w:val="21"/>
                <w:szCs w:val="21"/>
                <w:highlight w:val="none"/>
              </w:rPr>
              <w:t>。</w:t>
            </w:r>
          </w:p>
        </w:tc>
      </w:tr>
      <w:tr w14:paraId="2F06A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952" w:type="dxa"/>
            <w:tcBorders>
              <w:left w:val="single" w:color="000000" w:sz="6" w:space="0"/>
            </w:tcBorders>
            <w:vAlign w:val="top"/>
          </w:tcPr>
          <w:p w14:paraId="25043386">
            <w:pPr>
              <w:spacing w:before="216" w:line="188" w:lineRule="auto"/>
              <w:ind w:left="38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w:t>
            </w:r>
          </w:p>
        </w:tc>
        <w:tc>
          <w:tcPr>
            <w:tcW w:w="7950" w:type="dxa"/>
            <w:gridSpan w:val="2"/>
            <w:tcBorders>
              <w:right w:val="single" w:color="000000" w:sz="6" w:space="0"/>
            </w:tcBorders>
            <w:vAlign w:val="top"/>
          </w:tcPr>
          <w:p w14:paraId="3364F2CF">
            <w:pPr>
              <w:pStyle w:val="17"/>
              <w:spacing w:before="179" w:line="220" w:lineRule="auto"/>
              <w:ind w:left="3663"/>
              <w:rPr>
                <w:color w:val="auto"/>
                <w:sz w:val="21"/>
                <w:szCs w:val="21"/>
                <w:highlight w:val="none"/>
              </w:rPr>
            </w:pPr>
            <w:r>
              <w:rPr>
                <w:color w:val="auto"/>
                <w:spacing w:val="-2"/>
                <w:sz w:val="21"/>
                <w:szCs w:val="21"/>
                <w:highlight w:val="none"/>
              </w:rPr>
              <w:t>其他内容</w:t>
            </w:r>
          </w:p>
        </w:tc>
      </w:tr>
      <w:tr w14:paraId="68384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52" w:type="dxa"/>
            <w:tcBorders>
              <w:left w:val="single" w:color="000000" w:sz="6" w:space="0"/>
            </w:tcBorders>
            <w:vAlign w:val="top"/>
          </w:tcPr>
          <w:p w14:paraId="08518334">
            <w:pPr>
              <w:spacing w:before="217" w:line="188"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10.1</w:t>
            </w:r>
          </w:p>
        </w:tc>
        <w:tc>
          <w:tcPr>
            <w:tcW w:w="2444" w:type="dxa"/>
            <w:vAlign w:val="top"/>
          </w:tcPr>
          <w:p w14:paraId="40EEF134">
            <w:pPr>
              <w:pStyle w:val="17"/>
              <w:spacing w:before="180" w:line="220" w:lineRule="auto"/>
              <w:ind w:left="108"/>
              <w:rPr>
                <w:color w:val="auto"/>
                <w:sz w:val="21"/>
                <w:szCs w:val="21"/>
                <w:highlight w:val="none"/>
              </w:rPr>
            </w:pPr>
            <w:r>
              <w:rPr>
                <w:color w:val="auto"/>
                <w:spacing w:val="-2"/>
                <w:sz w:val="21"/>
                <w:szCs w:val="21"/>
                <w:highlight w:val="none"/>
              </w:rPr>
              <w:t>类似项目</w:t>
            </w:r>
          </w:p>
        </w:tc>
        <w:tc>
          <w:tcPr>
            <w:tcW w:w="5506" w:type="dxa"/>
            <w:tcBorders>
              <w:right w:val="single" w:color="000000" w:sz="6" w:space="0"/>
            </w:tcBorders>
            <w:vAlign w:val="top"/>
          </w:tcPr>
          <w:p w14:paraId="54DD261E">
            <w:pPr>
              <w:pStyle w:val="17"/>
              <w:spacing w:before="181" w:line="210" w:lineRule="auto"/>
              <w:ind w:left="114"/>
              <w:rPr>
                <w:color w:val="auto"/>
                <w:sz w:val="21"/>
                <w:szCs w:val="21"/>
                <w:highlight w:val="none"/>
              </w:rPr>
            </w:pPr>
            <w:r>
              <w:rPr>
                <w:strike/>
                <w:dstrike w:val="0"/>
                <w:color w:val="auto"/>
                <w:spacing w:val="-5"/>
                <w:sz w:val="21"/>
                <w:szCs w:val="21"/>
                <w:highlight w:val="none"/>
              </w:rPr>
              <w:t>详见招标公告</w:t>
            </w:r>
            <w:r>
              <w:rPr>
                <w:i/>
                <w:iCs/>
                <w:strike/>
                <w:dstrike w:val="0"/>
                <w:color w:val="auto"/>
                <w:spacing w:val="-5"/>
                <w:sz w:val="22"/>
                <w:szCs w:val="22"/>
                <w:highlight w:val="none"/>
              </w:rPr>
              <w:t>（或投标邀请书）</w:t>
            </w:r>
            <w:r>
              <w:rPr>
                <w:strike/>
                <w:dstrike w:val="0"/>
                <w:color w:val="auto"/>
                <w:spacing w:val="-5"/>
                <w:sz w:val="21"/>
                <w:szCs w:val="21"/>
                <w:highlight w:val="none"/>
              </w:rPr>
              <w:t>。</w:t>
            </w:r>
          </w:p>
        </w:tc>
      </w:tr>
      <w:tr w14:paraId="7DCED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0" w:hRule="atLeast"/>
        </w:trPr>
        <w:tc>
          <w:tcPr>
            <w:tcW w:w="952" w:type="dxa"/>
            <w:tcBorders>
              <w:left w:val="single" w:color="000000" w:sz="6" w:space="0"/>
            </w:tcBorders>
            <w:vAlign w:val="top"/>
          </w:tcPr>
          <w:p w14:paraId="0CEAF7D4">
            <w:pPr>
              <w:spacing w:line="265" w:lineRule="auto"/>
              <w:rPr>
                <w:rFonts w:ascii="Arial"/>
                <w:color w:val="auto"/>
                <w:sz w:val="21"/>
                <w:highlight w:val="none"/>
              </w:rPr>
            </w:pPr>
          </w:p>
          <w:p w14:paraId="6A3A154B">
            <w:pPr>
              <w:spacing w:line="265" w:lineRule="auto"/>
              <w:rPr>
                <w:rFonts w:ascii="Arial"/>
                <w:color w:val="auto"/>
                <w:sz w:val="21"/>
                <w:highlight w:val="none"/>
              </w:rPr>
            </w:pPr>
          </w:p>
          <w:p w14:paraId="309F50F8">
            <w:pPr>
              <w:spacing w:line="265" w:lineRule="auto"/>
              <w:rPr>
                <w:rFonts w:ascii="Arial"/>
                <w:color w:val="auto"/>
                <w:sz w:val="21"/>
                <w:highlight w:val="none"/>
              </w:rPr>
            </w:pPr>
          </w:p>
          <w:p w14:paraId="401DC91D">
            <w:pPr>
              <w:spacing w:line="265" w:lineRule="auto"/>
              <w:rPr>
                <w:rFonts w:ascii="Arial"/>
                <w:color w:val="auto"/>
                <w:sz w:val="21"/>
                <w:highlight w:val="none"/>
              </w:rPr>
            </w:pPr>
          </w:p>
          <w:p w14:paraId="19216505">
            <w:pPr>
              <w:spacing w:before="60" w:line="188"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10.2</w:t>
            </w:r>
          </w:p>
        </w:tc>
        <w:tc>
          <w:tcPr>
            <w:tcW w:w="2444" w:type="dxa"/>
            <w:vAlign w:val="top"/>
          </w:tcPr>
          <w:p w14:paraId="390B1C28">
            <w:pPr>
              <w:spacing w:line="253" w:lineRule="auto"/>
              <w:rPr>
                <w:rFonts w:ascii="Arial"/>
                <w:color w:val="auto"/>
                <w:sz w:val="21"/>
                <w:highlight w:val="none"/>
              </w:rPr>
            </w:pPr>
          </w:p>
          <w:p w14:paraId="60E9384D">
            <w:pPr>
              <w:spacing w:line="254" w:lineRule="auto"/>
              <w:rPr>
                <w:rFonts w:ascii="Arial"/>
                <w:color w:val="auto"/>
                <w:sz w:val="21"/>
                <w:highlight w:val="none"/>
              </w:rPr>
            </w:pPr>
          </w:p>
          <w:p w14:paraId="6F1CD0E6">
            <w:pPr>
              <w:spacing w:line="254" w:lineRule="auto"/>
              <w:rPr>
                <w:rFonts w:ascii="Arial"/>
                <w:color w:val="auto"/>
                <w:sz w:val="21"/>
                <w:highlight w:val="none"/>
              </w:rPr>
            </w:pPr>
          </w:p>
          <w:p w14:paraId="06238356">
            <w:pPr>
              <w:spacing w:line="254" w:lineRule="auto"/>
              <w:rPr>
                <w:rFonts w:ascii="Arial"/>
                <w:color w:val="auto"/>
                <w:sz w:val="21"/>
                <w:highlight w:val="none"/>
              </w:rPr>
            </w:pPr>
          </w:p>
          <w:p w14:paraId="429B2335">
            <w:pPr>
              <w:pStyle w:val="17"/>
              <w:spacing w:before="68" w:line="220" w:lineRule="auto"/>
              <w:ind w:left="110"/>
              <w:rPr>
                <w:color w:val="auto"/>
                <w:sz w:val="21"/>
                <w:szCs w:val="21"/>
                <w:highlight w:val="none"/>
              </w:rPr>
            </w:pPr>
            <w:r>
              <w:rPr>
                <w:color w:val="auto"/>
                <w:spacing w:val="-1"/>
                <w:sz w:val="21"/>
                <w:szCs w:val="21"/>
                <w:highlight w:val="none"/>
              </w:rPr>
              <w:t>投标文件的澄清、说明</w:t>
            </w:r>
          </w:p>
        </w:tc>
        <w:tc>
          <w:tcPr>
            <w:tcW w:w="5506" w:type="dxa"/>
            <w:tcBorders>
              <w:right w:val="single" w:color="000000" w:sz="6" w:space="0"/>
            </w:tcBorders>
            <w:vAlign w:val="top"/>
          </w:tcPr>
          <w:p w14:paraId="2F74350D">
            <w:pPr>
              <w:pStyle w:val="17"/>
              <w:spacing w:before="138" w:line="229" w:lineRule="auto"/>
              <w:ind w:left="114" w:right="247" w:firstLine="223"/>
              <w:rPr>
                <w:color w:val="auto"/>
                <w:sz w:val="21"/>
                <w:szCs w:val="21"/>
                <w:highlight w:val="none"/>
              </w:rPr>
            </w:pPr>
            <w:r>
              <w:rPr>
                <w:rFonts w:ascii="Times New Roman" w:hAnsi="Times New Roman" w:eastAsia="Times New Roman" w:cs="Times New Roman"/>
                <w:color w:val="auto"/>
                <w:spacing w:val="-3"/>
                <w:sz w:val="21"/>
                <w:szCs w:val="21"/>
                <w:highlight w:val="none"/>
              </w:rPr>
              <w:t>1</w:t>
            </w:r>
            <w:r>
              <w:rPr>
                <w:rFonts w:ascii="Times New Roman" w:hAnsi="Times New Roman" w:eastAsia="Times New Roman" w:cs="Times New Roman"/>
                <w:color w:val="auto"/>
                <w:spacing w:val="-7"/>
                <w:sz w:val="21"/>
                <w:szCs w:val="21"/>
                <w:highlight w:val="none"/>
              </w:rPr>
              <w:t xml:space="preserve"> </w:t>
            </w:r>
            <w:r>
              <w:rPr>
                <w:color w:val="auto"/>
                <w:spacing w:val="-3"/>
                <w:sz w:val="21"/>
                <w:szCs w:val="21"/>
                <w:highlight w:val="none"/>
              </w:rPr>
              <w:t>．若评标委员会对投标文件进行询标时，投标人逾期</w:t>
            </w:r>
            <w:r>
              <w:rPr>
                <w:color w:val="auto"/>
                <w:sz w:val="21"/>
                <w:szCs w:val="21"/>
                <w:highlight w:val="none"/>
              </w:rPr>
              <w:t xml:space="preserve"> </w:t>
            </w:r>
            <w:r>
              <w:rPr>
                <w:color w:val="auto"/>
                <w:spacing w:val="-2"/>
                <w:sz w:val="21"/>
                <w:szCs w:val="21"/>
                <w:highlight w:val="none"/>
              </w:rPr>
              <w:t>或未按要求澄清回复的，将视为不予回复或确认。</w:t>
            </w:r>
          </w:p>
          <w:p w14:paraId="615A766A">
            <w:pPr>
              <w:pStyle w:val="17"/>
              <w:spacing w:before="23" w:line="236" w:lineRule="auto"/>
              <w:ind w:left="113" w:right="142" w:firstLine="204"/>
              <w:rPr>
                <w:color w:val="auto"/>
                <w:sz w:val="21"/>
                <w:szCs w:val="21"/>
                <w:highlight w:val="none"/>
              </w:rPr>
            </w:pPr>
            <w:r>
              <w:rPr>
                <w:rFonts w:ascii="Times New Roman" w:hAnsi="Times New Roman" w:eastAsia="Times New Roman" w:cs="Times New Roman"/>
                <w:color w:val="auto"/>
                <w:spacing w:val="-2"/>
                <w:sz w:val="21"/>
                <w:szCs w:val="21"/>
                <w:highlight w:val="none"/>
              </w:rPr>
              <w:t>2</w:t>
            </w:r>
            <w:r>
              <w:rPr>
                <w:rFonts w:ascii="Times New Roman" w:hAnsi="Times New Roman" w:eastAsia="Times New Roman" w:cs="Times New Roman"/>
                <w:color w:val="auto"/>
                <w:spacing w:val="-11"/>
                <w:sz w:val="21"/>
                <w:szCs w:val="21"/>
                <w:highlight w:val="none"/>
              </w:rPr>
              <w:t xml:space="preserve"> </w:t>
            </w:r>
            <w:r>
              <w:rPr>
                <w:color w:val="auto"/>
                <w:spacing w:val="-2"/>
                <w:sz w:val="21"/>
                <w:szCs w:val="21"/>
                <w:highlight w:val="none"/>
              </w:rPr>
              <w:t>．评标委员会对投标人提交的澄清、说明或补正有疑</w:t>
            </w:r>
            <w:r>
              <w:rPr>
                <w:color w:val="auto"/>
                <w:sz w:val="21"/>
                <w:szCs w:val="21"/>
                <w:highlight w:val="none"/>
              </w:rPr>
              <w:t xml:space="preserve">  </w:t>
            </w:r>
            <w:r>
              <w:rPr>
                <w:color w:val="auto"/>
                <w:spacing w:val="-1"/>
                <w:sz w:val="21"/>
                <w:szCs w:val="21"/>
                <w:highlight w:val="none"/>
              </w:rPr>
              <w:t>问的，可以要求投标人进一步澄清、说明或补正，直至满</w:t>
            </w:r>
            <w:r>
              <w:rPr>
                <w:color w:val="auto"/>
                <w:spacing w:val="14"/>
                <w:sz w:val="21"/>
                <w:szCs w:val="21"/>
                <w:highlight w:val="none"/>
              </w:rPr>
              <w:t xml:space="preserve"> </w:t>
            </w:r>
            <w:r>
              <w:rPr>
                <w:color w:val="auto"/>
                <w:spacing w:val="-1"/>
                <w:sz w:val="21"/>
                <w:szCs w:val="21"/>
                <w:highlight w:val="none"/>
              </w:rPr>
              <w:t>足评标委员会的要求。投标人的澄清、说明不得超过投标</w:t>
            </w:r>
            <w:r>
              <w:rPr>
                <w:color w:val="auto"/>
                <w:spacing w:val="14"/>
                <w:sz w:val="21"/>
                <w:szCs w:val="21"/>
                <w:highlight w:val="none"/>
              </w:rPr>
              <w:t xml:space="preserve"> </w:t>
            </w:r>
            <w:r>
              <w:rPr>
                <w:color w:val="auto"/>
                <w:spacing w:val="-1"/>
                <w:sz w:val="21"/>
                <w:szCs w:val="21"/>
                <w:highlight w:val="none"/>
              </w:rPr>
              <w:t>文件的范围或者改变投标文件的实质性内容。评标委员会</w:t>
            </w:r>
            <w:r>
              <w:rPr>
                <w:color w:val="auto"/>
                <w:spacing w:val="14"/>
                <w:sz w:val="21"/>
                <w:szCs w:val="21"/>
                <w:highlight w:val="none"/>
              </w:rPr>
              <w:t xml:space="preserve"> </w:t>
            </w:r>
            <w:r>
              <w:rPr>
                <w:color w:val="auto"/>
                <w:spacing w:val="-1"/>
                <w:sz w:val="21"/>
                <w:szCs w:val="21"/>
                <w:highlight w:val="none"/>
              </w:rPr>
              <w:t>不得暗示或者诱导投标人作出澄清、说明，不得接受投标</w:t>
            </w:r>
            <w:r>
              <w:rPr>
                <w:color w:val="auto"/>
                <w:spacing w:val="14"/>
                <w:sz w:val="21"/>
                <w:szCs w:val="21"/>
                <w:highlight w:val="none"/>
              </w:rPr>
              <w:t xml:space="preserve"> </w:t>
            </w:r>
            <w:r>
              <w:rPr>
                <w:color w:val="auto"/>
                <w:spacing w:val="-4"/>
                <w:sz w:val="21"/>
                <w:szCs w:val="21"/>
                <w:highlight w:val="none"/>
              </w:rPr>
              <w:t>人主动提出的澄清、说明。</w:t>
            </w:r>
          </w:p>
        </w:tc>
      </w:tr>
      <w:tr w14:paraId="7FDBB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1" w:hRule="atLeast"/>
        </w:trPr>
        <w:tc>
          <w:tcPr>
            <w:tcW w:w="952" w:type="dxa"/>
            <w:tcBorders>
              <w:left w:val="single" w:color="000000" w:sz="6" w:space="0"/>
              <w:bottom w:val="single" w:color="000000" w:sz="6" w:space="0"/>
            </w:tcBorders>
            <w:vAlign w:val="top"/>
          </w:tcPr>
          <w:p w14:paraId="67F681E1">
            <w:pPr>
              <w:spacing w:line="244" w:lineRule="auto"/>
              <w:rPr>
                <w:rFonts w:ascii="Arial"/>
                <w:color w:val="auto"/>
                <w:sz w:val="21"/>
                <w:highlight w:val="none"/>
              </w:rPr>
            </w:pPr>
          </w:p>
          <w:p w14:paraId="59E0803B">
            <w:pPr>
              <w:spacing w:line="244" w:lineRule="auto"/>
              <w:rPr>
                <w:rFonts w:ascii="Arial"/>
                <w:color w:val="auto"/>
                <w:sz w:val="21"/>
                <w:highlight w:val="none"/>
              </w:rPr>
            </w:pPr>
          </w:p>
          <w:p w14:paraId="0B74E5DE">
            <w:pPr>
              <w:spacing w:line="244" w:lineRule="auto"/>
              <w:rPr>
                <w:rFonts w:ascii="Arial"/>
                <w:color w:val="auto"/>
                <w:sz w:val="21"/>
                <w:highlight w:val="none"/>
              </w:rPr>
            </w:pPr>
          </w:p>
          <w:p w14:paraId="5CFA9A8A">
            <w:pPr>
              <w:spacing w:line="244" w:lineRule="auto"/>
              <w:rPr>
                <w:rFonts w:ascii="Arial"/>
                <w:color w:val="auto"/>
                <w:sz w:val="21"/>
                <w:highlight w:val="none"/>
              </w:rPr>
            </w:pPr>
          </w:p>
          <w:p w14:paraId="35200D20">
            <w:pPr>
              <w:spacing w:line="244" w:lineRule="auto"/>
              <w:rPr>
                <w:rFonts w:ascii="Arial"/>
                <w:color w:val="auto"/>
                <w:sz w:val="21"/>
                <w:highlight w:val="none"/>
              </w:rPr>
            </w:pPr>
          </w:p>
          <w:p w14:paraId="42F2F4A4">
            <w:pPr>
              <w:spacing w:line="244" w:lineRule="auto"/>
              <w:rPr>
                <w:rFonts w:ascii="Arial"/>
                <w:color w:val="auto"/>
                <w:sz w:val="21"/>
                <w:highlight w:val="none"/>
              </w:rPr>
            </w:pPr>
          </w:p>
          <w:p w14:paraId="336A8A5F">
            <w:pPr>
              <w:spacing w:line="245" w:lineRule="auto"/>
              <w:rPr>
                <w:rFonts w:ascii="Arial"/>
                <w:color w:val="auto"/>
                <w:sz w:val="21"/>
                <w:highlight w:val="none"/>
              </w:rPr>
            </w:pPr>
          </w:p>
          <w:p w14:paraId="13B4957A">
            <w:pPr>
              <w:spacing w:line="245" w:lineRule="auto"/>
              <w:rPr>
                <w:rFonts w:ascii="Arial"/>
                <w:color w:val="auto"/>
                <w:sz w:val="21"/>
                <w:highlight w:val="none"/>
              </w:rPr>
            </w:pPr>
          </w:p>
          <w:p w14:paraId="46AA3077">
            <w:pPr>
              <w:spacing w:line="245" w:lineRule="auto"/>
              <w:rPr>
                <w:rFonts w:ascii="Arial"/>
                <w:color w:val="auto"/>
                <w:sz w:val="21"/>
                <w:highlight w:val="none"/>
              </w:rPr>
            </w:pPr>
          </w:p>
          <w:p w14:paraId="3B204191">
            <w:pPr>
              <w:spacing w:line="245" w:lineRule="auto"/>
              <w:rPr>
                <w:rFonts w:ascii="Arial"/>
                <w:color w:val="auto"/>
                <w:sz w:val="21"/>
                <w:highlight w:val="none"/>
              </w:rPr>
            </w:pPr>
          </w:p>
          <w:p w14:paraId="4C568CE7">
            <w:pPr>
              <w:spacing w:line="245" w:lineRule="auto"/>
              <w:rPr>
                <w:rFonts w:ascii="Arial"/>
                <w:color w:val="auto"/>
                <w:sz w:val="21"/>
                <w:highlight w:val="none"/>
              </w:rPr>
            </w:pPr>
          </w:p>
          <w:p w14:paraId="6E778FA1">
            <w:pPr>
              <w:spacing w:line="245" w:lineRule="auto"/>
              <w:rPr>
                <w:rFonts w:ascii="Arial"/>
                <w:color w:val="auto"/>
                <w:sz w:val="21"/>
                <w:highlight w:val="none"/>
              </w:rPr>
            </w:pPr>
          </w:p>
          <w:p w14:paraId="0D32D175">
            <w:pPr>
              <w:spacing w:line="245" w:lineRule="auto"/>
              <w:rPr>
                <w:rFonts w:ascii="Arial"/>
                <w:color w:val="auto"/>
                <w:sz w:val="21"/>
                <w:highlight w:val="none"/>
              </w:rPr>
            </w:pPr>
          </w:p>
          <w:p w14:paraId="3A678C8E">
            <w:pPr>
              <w:spacing w:line="245" w:lineRule="auto"/>
              <w:rPr>
                <w:rFonts w:ascii="Arial"/>
                <w:color w:val="auto"/>
                <w:sz w:val="21"/>
                <w:highlight w:val="none"/>
              </w:rPr>
            </w:pPr>
          </w:p>
          <w:p w14:paraId="3408B222">
            <w:pPr>
              <w:spacing w:line="245" w:lineRule="auto"/>
              <w:rPr>
                <w:rFonts w:ascii="Arial"/>
                <w:color w:val="auto"/>
                <w:sz w:val="21"/>
                <w:highlight w:val="none"/>
              </w:rPr>
            </w:pPr>
          </w:p>
          <w:p w14:paraId="7F2E1997">
            <w:pPr>
              <w:spacing w:line="245" w:lineRule="auto"/>
              <w:rPr>
                <w:rFonts w:ascii="Arial"/>
                <w:color w:val="auto"/>
                <w:sz w:val="21"/>
                <w:highlight w:val="none"/>
              </w:rPr>
            </w:pPr>
          </w:p>
          <w:p w14:paraId="31756658">
            <w:pPr>
              <w:spacing w:line="245" w:lineRule="auto"/>
              <w:rPr>
                <w:rFonts w:ascii="Arial"/>
                <w:color w:val="auto"/>
                <w:sz w:val="21"/>
                <w:highlight w:val="none"/>
              </w:rPr>
            </w:pPr>
          </w:p>
          <w:p w14:paraId="6FF55FB7">
            <w:pPr>
              <w:spacing w:line="245" w:lineRule="auto"/>
              <w:rPr>
                <w:rFonts w:ascii="Arial"/>
                <w:color w:val="auto"/>
                <w:sz w:val="21"/>
                <w:highlight w:val="none"/>
              </w:rPr>
            </w:pPr>
          </w:p>
          <w:p w14:paraId="7047304C">
            <w:pPr>
              <w:spacing w:before="60" w:line="188"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10.3</w:t>
            </w:r>
          </w:p>
        </w:tc>
        <w:tc>
          <w:tcPr>
            <w:tcW w:w="2444" w:type="dxa"/>
            <w:tcBorders>
              <w:bottom w:val="single" w:color="000000" w:sz="6" w:space="0"/>
            </w:tcBorders>
            <w:vAlign w:val="top"/>
          </w:tcPr>
          <w:p w14:paraId="0E9D3343">
            <w:pPr>
              <w:spacing w:line="248" w:lineRule="auto"/>
              <w:rPr>
                <w:rFonts w:ascii="Arial"/>
                <w:color w:val="auto"/>
                <w:sz w:val="21"/>
                <w:highlight w:val="none"/>
              </w:rPr>
            </w:pPr>
          </w:p>
          <w:p w14:paraId="25BA7AFF">
            <w:pPr>
              <w:spacing w:line="248" w:lineRule="auto"/>
              <w:rPr>
                <w:rFonts w:ascii="Arial"/>
                <w:color w:val="auto"/>
                <w:sz w:val="21"/>
                <w:highlight w:val="none"/>
              </w:rPr>
            </w:pPr>
          </w:p>
          <w:p w14:paraId="5836FAA7">
            <w:pPr>
              <w:spacing w:line="248" w:lineRule="auto"/>
              <w:rPr>
                <w:rFonts w:ascii="Arial"/>
                <w:color w:val="auto"/>
                <w:sz w:val="21"/>
                <w:highlight w:val="none"/>
              </w:rPr>
            </w:pPr>
          </w:p>
          <w:p w14:paraId="4CF218FF">
            <w:pPr>
              <w:spacing w:line="248" w:lineRule="auto"/>
              <w:rPr>
                <w:rFonts w:ascii="Arial"/>
                <w:color w:val="auto"/>
                <w:sz w:val="21"/>
                <w:highlight w:val="none"/>
              </w:rPr>
            </w:pPr>
          </w:p>
          <w:p w14:paraId="65C37662">
            <w:pPr>
              <w:spacing w:line="248" w:lineRule="auto"/>
              <w:rPr>
                <w:rFonts w:ascii="Arial"/>
                <w:color w:val="auto"/>
                <w:sz w:val="21"/>
                <w:highlight w:val="none"/>
              </w:rPr>
            </w:pPr>
          </w:p>
          <w:p w14:paraId="5250E300">
            <w:pPr>
              <w:spacing w:line="248" w:lineRule="auto"/>
              <w:rPr>
                <w:rFonts w:ascii="Arial"/>
                <w:color w:val="auto"/>
                <w:sz w:val="21"/>
                <w:highlight w:val="none"/>
              </w:rPr>
            </w:pPr>
          </w:p>
          <w:p w14:paraId="7EE25C86">
            <w:pPr>
              <w:spacing w:line="248" w:lineRule="auto"/>
              <w:rPr>
                <w:rFonts w:ascii="Arial"/>
                <w:color w:val="auto"/>
                <w:sz w:val="21"/>
                <w:highlight w:val="none"/>
              </w:rPr>
            </w:pPr>
          </w:p>
          <w:p w14:paraId="00B34D04">
            <w:pPr>
              <w:spacing w:line="248" w:lineRule="auto"/>
              <w:rPr>
                <w:rFonts w:ascii="Arial"/>
                <w:color w:val="auto"/>
                <w:sz w:val="21"/>
                <w:highlight w:val="none"/>
              </w:rPr>
            </w:pPr>
          </w:p>
          <w:p w14:paraId="09EA6B54">
            <w:pPr>
              <w:spacing w:line="248" w:lineRule="auto"/>
              <w:rPr>
                <w:rFonts w:ascii="Arial"/>
                <w:color w:val="auto"/>
                <w:sz w:val="21"/>
                <w:highlight w:val="none"/>
              </w:rPr>
            </w:pPr>
          </w:p>
          <w:p w14:paraId="671F7CBE">
            <w:pPr>
              <w:spacing w:line="249" w:lineRule="auto"/>
              <w:rPr>
                <w:rFonts w:ascii="Arial"/>
                <w:color w:val="auto"/>
                <w:sz w:val="21"/>
                <w:highlight w:val="none"/>
              </w:rPr>
            </w:pPr>
          </w:p>
          <w:p w14:paraId="054631F9">
            <w:pPr>
              <w:spacing w:line="249" w:lineRule="auto"/>
              <w:rPr>
                <w:rFonts w:ascii="Arial"/>
                <w:color w:val="auto"/>
                <w:sz w:val="21"/>
                <w:highlight w:val="none"/>
              </w:rPr>
            </w:pPr>
          </w:p>
          <w:p w14:paraId="5F175D16">
            <w:pPr>
              <w:spacing w:line="249" w:lineRule="auto"/>
              <w:rPr>
                <w:rFonts w:ascii="Arial"/>
                <w:color w:val="auto"/>
                <w:sz w:val="21"/>
                <w:highlight w:val="none"/>
              </w:rPr>
            </w:pPr>
          </w:p>
          <w:p w14:paraId="3079E162">
            <w:pPr>
              <w:spacing w:line="249" w:lineRule="auto"/>
              <w:rPr>
                <w:rFonts w:ascii="Arial"/>
                <w:color w:val="auto"/>
                <w:sz w:val="21"/>
                <w:highlight w:val="none"/>
              </w:rPr>
            </w:pPr>
          </w:p>
          <w:p w14:paraId="26ACF845">
            <w:pPr>
              <w:spacing w:line="249" w:lineRule="auto"/>
              <w:rPr>
                <w:rFonts w:ascii="Arial"/>
                <w:color w:val="auto"/>
                <w:sz w:val="21"/>
                <w:highlight w:val="none"/>
              </w:rPr>
            </w:pPr>
          </w:p>
          <w:p w14:paraId="4B4B134A">
            <w:pPr>
              <w:spacing w:line="249" w:lineRule="auto"/>
              <w:rPr>
                <w:rFonts w:ascii="Arial"/>
                <w:color w:val="auto"/>
                <w:sz w:val="21"/>
                <w:highlight w:val="none"/>
              </w:rPr>
            </w:pPr>
          </w:p>
          <w:p w14:paraId="7D65D079">
            <w:pPr>
              <w:spacing w:line="249" w:lineRule="auto"/>
              <w:rPr>
                <w:rFonts w:ascii="Arial"/>
                <w:color w:val="auto"/>
                <w:sz w:val="21"/>
                <w:highlight w:val="none"/>
              </w:rPr>
            </w:pPr>
          </w:p>
          <w:p w14:paraId="0BFC7156">
            <w:pPr>
              <w:spacing w:line="249" w:lineRule="auto"/>
              <w:rPr>
                <w:rFonts w:ascii="Arial"/>
                <w:color w:val="auto"/>
                <w:sz w:val="21"/>
                <w:highlight w:val="none"/>
              </w:rPr>
            </w:pPr>
          </w:p>
          <w:p w14:paraId="24CD5AA2">
            <w:pPr>
              <w:pStyle w:val="17"/>
              <w:spacing w:before="68" w:line="242" w:lineRule="auto"/>
              <w:ind w:left="108" w:right="108" w:firstLine="5"/>
              <w:rPr>
                <w:color w:val="auto"/>
                <w:sz w:val="21"/>
                <w:szCs w:val="21"/>
                <w:highlight w:val="none"/>
              </w:rPr>
            </w:pPr>
            <w:r>
              <w:rPr>
                <w:color w:val="auto"/>
                <w:spacing w:val="11"/>
                <w:sz w:val="21"/>
                <w:szCs w:val="21"/>
                <w:highlight w:val="none"/>
              </w:rPr>
              <w:t>实质性响应招标文件资</w:t>
            </w:r>
            <w:r>
              <w:rPr>
                <w:color w:val="auto"/>
                <w:spacing w:val="6"/>
                <w:sz w:val="21"/>
                <w:szCs w:val="21"/>
                <w:highlight w:val="none"/>
              </w:rPr>
              <w:t xml:space="preserve"> </w:t>
            </w:r>
            <w:r>
              <w:rPr>
                <w:color w:val="auto"/>
                <w:spacing w:val="-1"/>
                <w:sz w:val="21"/>
                <w:szCs w:val="21"/>
                <w:highlight w:val="none"/>
              </w:rPr>
              <w:t>料及评审打分资料</w:t>
            </w:r>
          </w:p>
        </w:tc>
        <w:tc>
          <w:tcPr>
            <w:tcW w:w="5506" w:type="dxa"/>
            <w:tcBorders>
              <w:bottom w:val="single" w:color="000000" w:sz="6" w:space="0"/>
              <w:right w:val="single" w:color="000000" w:sz="6" w:space="0"/>
            </w:tcBorders>
            <w:vAlign w:val="top"/>
          </w:tcPr>
          <w:p w14:paraId="1B08E772">
            <w:pPr>
              <w:pStyle w:val="17"/>
              <w:spacing w:before="72" w:line="220" w:lineRule="auto"/>
              <w:ind w:left="325"/>
              <w:rPr>
                <w:color w:val="auto"/>
                <w:sz w:val="21"/>
                <w:szCs w:val="21"/>
                <w:highlight w:val="none"/>
              </w:rPr>
            </w:pPr>
            <w:r>
              <w:rPr>
                <w:color w:val="auto"/>
                <w:spacing w:val="-2"/>
                <w:sz w:val="21"/>
                <w:szCs w:val="21"/>
                <w:highlight w:val="none"/>
              </w:rPr>
              <w:t>一、实质性响应招标文件资料</w:t>
            </w:r>
          </w:p>
          <w:p w14:paraId="40D77A4A">
            <w:pPr>
              <w:pStyle w:val="17"/>
              <w:spacing w:before="59" w:line="273" w:lineRule="auto"/>
              <w:ind w:left="112" w:right="247" w:firstLine="226"/>
              <w:rPr>
                <w:strike w:val="0"/>
                <w:dstrike w:val="0"/>
                <w:color w:val="auto"/>
                <w:sz w:val="21"/>
                <w:szCs w:val="21"/>
                <w:highlight w:val="none"/>
              </w:rPr>
            </w:pPr>
            <w:r>
              <w:rPr>
                <w:rFonts w:ascii="Times New Roman" w:hAnsi="Times New Roman" w:eastAsia="Times New Roman" w:cs="Times New Roman"/>
                <w:color w:val="auto"/>
                <w:spacing w:val="-3"/>
                <w:sz w:val="21"/>
                <w:szCs w:val="21"/>
                <w:highlight w:val="none"/>
              </w:rPr>
              <w:t>1</w:t>
            </w:r>
            <w:r>
              <w:rPr>
                <w:rFonts w:ascii="Times New Roman" w:hAnsi="Times New Roman" w:eastAsia="Times New Roman" w:cs="Times New Roman"/>
                <w:color w:val="auto"/>
                <w:spacing w:val="-7"/>
                <w:sz w:val="21"/>
                <w:szCs w:val="21"/>
                <w:highlight w:val="none"/>
              </w:rPr>
              <w:t xml:space="preserve"> </w:t>
            </w:r>
            <w:r>
              <w:rPr>
                <w:color w:val="auto"/>
                <w:spacing w:val="-3"/>
                <w:sz w:val="21"/>
                <w:szCs w:val="21"/>
                <w:highlight w:val="none"/>
              </w:rPr>
              <w:t>．企业法人营业执照</w:t>
            </w:r>
            <w:r>
              <w:rPr>
                <w:strike w:val="0"/>
                <w:dstrike w:val="0"/>
                <w:color w:val="auto"/>
                <w:spacing w:val="-3"/>
                <w:sz w:val="21"/>
                <w:szCs w:val="21"/>
                <w:highlight w:val="none"/>
              </w:rPr>
              <w:t>（联合体投标的，联合体各方均</w:t>
            </w:r>
            <w:r>
              <w:rPr>
                <w:strike w:val="0"/>
                <w:dstrike w:val="0"/>
                <w:color w:val="auto"/>
                <w:sz w:val="21"/>
                <w:szCs w:val="21"/>
                <w:highlight w:val="none"/>
              </w:rPr>
              <w:t xml:space="preserve"> </w:t>
            </w:r>
            <w:r>
              <w:rPr>
                <w:strike w:val="0"/>
                <w:dstrike w:val="0"/>
                <w:color w:val="auto"/>
                <w:spacing w:val="-12"/>
                <w:sz w:val="21"/>
                <w:szCs w:val="21"/>
                <w:highlight w:val="none"/>
              </w:rPr>
              <w:t>应提供</w:t>
            </w:r>
            <w:r>
              <w:rPr>
                <w:strike w:val="0"/>
                <w:dstrike w:val="0"/>
                <w:color w:val="auto"/>
                <w:spacing w:val="-6"/>
                <w:sz w:val="21"/>
                <w:szCs w:val="21"/>
                <w:highlight w:val="none"/>
              </w:rPr>
              <w:t>）；</w:t>
            </w:r>
          </w:p>
          <w:p w14:paraId="1348147B">
            <w:pPr>
              <w:pStyle w:val="17"/>
              <w:spacing w:before="1" w:line="248" w:lineRule="auto"/>
              <w:ind w:left="111" w:right="141" w:firstLine="232"/>
              <w:rPr>
                <w:color w:val="auto"/>
                <w:sz w:val="21"/>
                <w:szCs w:val="21"/>
                <w:highlight w:val="none"/>
              </w:rPr>
            </w:pPr>
            <w:r>
              <w:rPr>
                <w:rFonts w:hint="eastAsia"/>
                <w:color w:val="auto"/>
                <w:spacing w:val="-3"/>
                <w:sz w:val="21"/>
                <w:szCs w:val="21"/>
                <w:highlight w:val="none"/>
                <w:lang w:eastAsia="zh-CN"/>
              </w:rPr>
              <w:t>☑</w:t>
            </w:r>
            <w:r>
              <w:rPr>
                <w:rFonts w:ascii="Times New Roman" w:hAnsi="Times New Roman" w:eastAsia="Times New Roman" w:cs="Times New Roman"/>
                <w:color w:val="auto"/>
                <w:spacing w:val="-3"/>
                <w:sz w:val="21"/>
                <w:szCs w:val="21"/>
                <w:highlight w:val="none"/>
              </w:rPr>
              <w:t>2</w:t>
            </w:r>
            <w:r>
              <w:rPr>
                <w:rFonts w:ascii="Times New Roman" w:hAnsi="Times New Roman" w:eastAsia="Times New Roman" w:cs="Times New Roman"/>
                <w:color w:val="auto"/>
                <w:spacing w:val="-22"/>
                <w:sz w:val="21"/>
                <w:szCs w:val="21"/>
                <w:highlight w:val="none"/>
              </w:rPr>
              <w:t xml:space="preserve"> </w:t>
            </w:r>
            <w:r>
              <w:rPr>
                <w:color w:val="auto"/>
                <w:spacing w:val="-3"/>
                <w:sz w:val="21"/>
                <w:szCs w:val="21"/>
                <w:highlight w:val="none"/>
              </w:rPr>
              <w:t>．有效的法定代表人授权委托书</w:t>
            </w:r>
            <w:r>
              <w:rPr>
                <w:i/>
                <w:iCs/>
                <w:color w:val="auto"/>
                <w:spacing w:val="-3"/>
                <w:sz w:val="22"/>
                <w:szCs w:val="22"/>
                <w:highlight w:val="none"/>
              </w:rPr>
              <w:t>（</w:t>
            </w:r>
            <w:r>
              <w:rPr>
                <w:color w:val="auto"/>
                <w:spacing w:val="-3"/>
                <w:sz w:val="21"/>
                <w:szCs w:val="21"/>
                <w:highlight w:val="none"/>
              </w:rPr>
              <w:t>投标文件委托代</w:t>
            </w:r>
            <w:r>
              <w:rPr>
                <w:color w:val="auto"/>
                <w:sz w:val="21"/>
                <w:szCs w:val="21"/>
                <w:highlight w:val="none"/>
              </w:rPr>
              <w:t xml:space="preserve">  </w:t>
            </w:r>
            <w:r>
              <w:rPr>
                <w:color w:val="auto"/>
                <w:spacing w:val="-1"/>
                <w:sz w:val="21"/>
                <w:szCs w:val="21"/>
                <w:highlight w:val="none"/>
              </w:rPr>
              <w:t>理人签字的提供</w:t>
            </w:r>
            <w:r>
              <w:rPr>
                <w:strike/>
                <w:dstrike w:val="0"/>
                <w:color w:val="auto"/>
                <w:spacing w:val="-1"/>
                <w:sz w:val="21"/>
                <w:szCs w:val="21"/>
                <w:highlight w:val="none"/>
              </w:rPr>
              <w:t>，联合体投标的，应由联合体牵头人授权</w:t>
            </w:r>
            <w:r>
              <w:rPr>
                <w:strike/>
                <w:dstrike w:val="0"/>
                <w:color w:val="auto"/>
                <w:spacing w:val="16"/>
                <w:sz w:val="21"/>
                <w:szCs w:val="21"/>
                <w:highlight w:val="none"/>
              </w:rPr>
              <w:t xml:space="preserve"> </w:t>
            </w:r>
            <w:r>
              <w:rPr>
                <w:strike/>
                <w:dstrike w:val="0"/>
                <w:color w:val="auto"/>
                <w:spacing w:val="-4"/>
                <w:sz w:val="21"/>
                <w:szCs w:val="21"/>
                <w:highlight w:val="none"/>
              </w:rPr>
              <w:t>委托</w:t>
            </w:r>
            <w:r>
              <w:rPr>
                <w:i/>
                <w:iCs/>
                <w:strike/>
                <w:dstrike w:val="0"/>
                <w:color w:val="auto"/>
                <w:spacing w:val="8"/>
                <w:sz w:val="22"/>
                <w:szCs w:val="22"/>
                <w:highlight w:val="none"/>
              </w:rPr>
              <w:t>）</w:t>
            </w:r>
            <w:r>
              <w:rPr>
                <w:color w:val="auto"/>
                <w:spacing w:val="8"/>
                <w:sz w:val="21"/>
                <w:szCs w:val="21"/>
                <w:highlight w:val="none"/>
              </w:rPr>
              <w:t>；</w:t>
            </w:r>
          </w:p>
          <w:p w14:paraId="5BC91998">
            <w:pPr>
              <w:pStyle w:val="17"/>
              <w:spacing w:before="55" w:line="241" w:lineRule="auto"/>
              <w:ind w:left="113" w:right="247" w:firstLine="230"/>
              <w:rPr>
                <w:strike/>
                <w:dstrike w:val="0"/>
                <w:color w:val="auto"/>
                <w:sz w:val="21"/>
                <w:szCs w:val="21"/>
                <w:highlight w:val="none"/>
              </w:rPr>
            </w:pPr>
            <w:r>
              <w:rPr>
                <w:strike/>
                <w:dstrike w:val="0"/>
                <w:color w:val="auto"/>
                <w:spacing w:val="-3"/>
                <w:sz w:val="21"/>
                <w:szCs w:val="21"/>
                <w:highlight w:val="none"/>
              </w:rPr>
              <w:t>□</w:t>
            </w:r>
            <w:r>
              <w:rPr>
                <w:rFonts w:ascii="Times New Roman" w:hAnsi="Times New Roman" w:eastAsia="Times New Roman" w:cs="Times New Roman"/>
                <w:strike/>
                <w:dstrike w:val="0"/>
                <w:color w:val="auto"/>
                <w:spacing w:val="-3"/>
                <w:sz w:val="21"/>
                <w:szCs w:val="21"/>
                <w:highlight w:val="none"/>
              </w:rPr>
              <w:t>3</w:t>
            </w:r>
            <w:r>
              <w:rPr>
                <w:rFonts w:ascii="Times New Roman" w:hAnsi="Times New Roman" w:eastAsia="Times New Roman" w:cs="Times New Roman"/>
                <w:strike/>
                <w:dstrike w:val="0"/>
                <w:color w:val="auto"/>
                <w:spacing w:val="-12"/>
                <w:sz w:val="21"/>
                <w:szCs w:val="21"/>
                <w:highlight w:val="none"/>
              </w:rPr>
              <w:t xml:space="preserve"> </w:t>
            </w:r>
            <w:r>
              <w:rPr>
                <w:strike/>
                <w:dstrike w:val="0"/>
                <w:color w:val="auto"/>
                <w:spacing w:val="-3"/>
                <w:sz w:val="21"/>
                <w:szCs w:val="21"/>
                <w:highlight w:val="none"/>
              </w:rPr>
              <w:t>．联合体各方签订的共同投标协议（联合体投标的</w:t>
            </w:r>
            <w:r>
              <w:rPr>
                <w:strike/>
                <w:dstrike w:val="0"/>
                <w:color w:val="auto"/>
                <w:sz w:val="21"/>
                <w:szCs w:val="21"/>
                <w:highlight w:val="none"/>
              </w:rPr>
              <w:t xml:space="preserve"> </w:t>
            </w:r>
            <w:r>
              <w:rPr>
                <w:strike/>
                <w:dstrike w:val="0"/>
                <w:color w:val="auto"/>
                <w:spacing w:val="-5"/>
                <w:sz w:val="21"/>
                <w:szCs w:val="21"/>
                <w:highlight w:val="none"/>
              </w:rPr>
              <w:t>提供</w:t>
            </w:r>
            <w:r>
              <w:rPr>
                <w:i/>
                <w:iCs/>
                <w:strike/>
                <w:dstrike w:val="0"/>
                <w:color w:val="auto"/>
                <w:spacing w:val="8"/>
                <w:sz w:val="22"/>
                <w:szCs w:val="22"/>
                <w:highlight w:val="none"/>
              </w:rPr>
              <w:t>）</w:t>
            </w:r>
            <w:r>
              <w:rPr>
                <w:strike/>
                <w:dstrike w:val="0"/>
                <w:color w:val="auto"/>
                <w:spacing w:val="8"/>
                <w:sz w:val="21"/>
                <w:szCs w:val="21"/>
                <w:highlight w:val="none"/>
              </w:rPr>
              <w:t>；</w:t>
            </w:r>
          </w:p>
          <w:p w14:paraId="40F98282">
            <w:pPr>
              <w:pStyle w:val="17"/>
              <w:spacing w:before="22" w:line="231" w:lineRule="auto"/>
              <w:ind w:left="111" w:right="103" w:firstLine="416"/>
              <w:rPr>
                <w:color w:val="auto"/>
                <w:sz w:val="21"/>
                <w:szCs w:val="21"/>
                <w:highlight w:val="none"/>
              </w:rPr>
            </w:pPr>
            <w:r>
              <w:rPr>
                <w:rFonts w:ascii="Times New Roman" w:hAnsi="Times New Roman" w:eastAsia="Times New Roman" w:cs="Times New Roman"/>
                <w:color w:val="auto"/>
                <w:spacing w:val="-15"/>
                <w:sz w:val="21"/>
                <w:szCs w:val="21"/>
                <w:highlight w:val="none"/>
              </w:rPr>
              <w:t>4</w:t>
            </w:r>
            <w:r>
              <w:rPr>
                <w:color w:val="auto"/>
                <w:spacing w:val="-15"/>
                <w:sz w:val="21"/>
                <w:szCs w:val="21"/>
                <w:highlight w:val="none"/>
              </w:rPr>
              <w:t>．建筑业企业资质证书；提供投标人</w:t>
            </w:r>
            <w:r>
              <w:rPr>
                <w:color w:val="auto"/>
                <w:spacing w:val="-15"/>
                <w:sz w:val="21"/>
                <w:szCs w:val="21"/>
                <w:highlight w:val="none"/>
                <w:u w:val="single" w:color="auto"/>
              </w:rPr>
              <w:t xml:space="preserve">  </w:t>
            </w:r>
            <w:r>
              <w:rPr>
                <w:color w:val="auto"/>
                <w:spacing w:val="-90"/>
                <w:sz w:val="21"/>
                <w:szCs w:val="21"/>
                <w:highlight w:val="none"/>
              </w:rPr>
              <w:t xml:space="preserve"> </w:t>
            </w:r>
            <w:r>
              <w:rPr>
                <w:color w:val="auto"/>
                <w:spacing w:val="-15"/>
                <w:sz w:val="21"/>
                <w:szCs w:val="21"/>
                <w:highlight w:val="none"/>
              </w:rPr>
              <w:t>年</w:t>
            </w:r>
            <w:r>
              <w:rPr>
                <w:color w:val="auto"/>
                <w:spacing w:val="-15"/>
                <w:sz w:val="21"/>
                <w:szCs w:val="21"/>
                <w:highlight w:val="none"/>
                <w:u w:val="single" w:color="auto"/>
              </w:rPr>
              <w:t xml:space="preserve">  </w:t>
            </w:r>
            <w:r>
              <w:rPr>
                <w:color w:val="auto"/>
                <w:spacing w:val="-92"/>
                <w:sz w:val="21"/>
                <w:szCs w:val="21"/>
                <w:highlight w:val="none"/>
              </w:rPr>
              <w:t xml:space="preserve"> </w:t>
            </w:r>
            <w:r>
              <w:rPr>
                <w:color w:val="auto"/>
                <w:spacing w:val="-15"/>
                <w:sz w:val="21"/>
                <w:szCs w:val="21"/>
                <w:highlight w:val="none"/>
              </w:rPr>
              <w:t>月</w:t>
            </w:r>
            <w:r>
              <w:rPr>
                <w:color w:val="auto"/>
                <w:spacing w:val="105"/>
                <w:sz w:val="21"/>
                <w:szCs w:val="21"/>
                <w:highlight w:val="none"/>
                <w:u w:val="single" w:color="auto"/>
              </w:rPr>
              <w:t xml:space="preserve"> </w:t>
            </w:r>
            <w:r>
              <w:rPr>
                <w:color w:val="auto"/>
                <w:spacing w:val="-61"/>
                <w:sz w:val="21"/>
                <w:szCs w:val="21"/>
                <w:highlight w:val="none"/>
              </w:rPr>
              <w:t xml:space="preserve"> </w:t>
            </w:r>
            <w:r>
              <w:rPr>
                <w:color w:val="auto"/>
                <w:spacing w:val="-15"/>
                <w:sz w:val="21"/>
                <w:szCs w:val="21"/>
                <w:highlight w:val="none"/>
              </w:rPr>
              <w:t>日（自</w:t>
            </w:r>
            <w:r>
              <w:rPr>
                <w:color w:val="auto"/>
                <w:sz w:val="21"/>
                <w:szCs w:val="21"/>
                <w:highlight w:val="none"/>
              </w:rPr>
              <w:t xml:space="preserve"> </w:t>
            </w:r>
            <w:r>
              <w:rPr>
                <w:color w:val="auto"/>
                <w:spacing w:val="1"/>
                <w:sz w:val="21"/>
                <w:szCs w:val="21"/>
                <w:highlight w:val="none"/>
              </w:rPr>
              <w:t>公告发布之日至投标截止时间在“浙江省建筑市场监管公</w:t>
            </w:r>
            <w:r>
              <w:rPr>
                <w:color w:val="auto"/>
                <w:spacing w:val="4"/>
                <w:sz w:val="21"/>
                <w:szCs w:val="21"/>
                <w:highlight w:val="none"/>
              </w:rPr>
              <w:t xml:space="preserve"> </w:t>
            </w:r>
            <w:r>
              <w:rPr>
                <w:color w:val="auto"/>
                <w:spacing w:val="1"/>
                <w:sz w:val="21"/>
                <w:szCs w:val="21"/>
                <w:highlight w:val="none"/>
              </w:rPr>
              <w:t>共服务系统”上，参与投标资质的“资质动态核查结果证</w:t>
            </w:r>
            <w:r>
              <w:rPr>
                <w:color w:val="auto"/>
                <w:spacing w:val="4"/>
                <w:sz w:val="21"/>
                <w:szCs w:val="21"/>
                <w:highlight w:val="none"/>
              </w:rPr>
              <w:t xml:space="preserve"> </w:t>
            </w:r>
            <w:r>
              <w:rPr>
                <w:color w:val="auto"/>
                <w:spacing w:val="-17"/>
                <w:sz w:val="21"/>
                <w:szCs w:val="21"/>
                <w:highlight w:val="none"/>
              </w:rPr>
              <w:t>明”</w:t>
            </w:r>
            <w:r>
              <w:rPr>
                <w:color w:val="auto"/>
                <w:spacing w:val="-54"/>
                <w:w w:val="97"/>
                <w:sz w:val="21"/>
                <w:szCs w:val="21"/>
                <w:highlight w:val="none"/>
              </w:rPr>
              <w:t>；</w:t>
            </w:r>
            <w:r>
              <w:rPr>
                <w:strike/>
                <w:dstrike w:val="0"/>
                <w:color w:val="auto"/>
                <w:spacing w:val="-54"/>
                <w:w w:val="97"/>
                <w:sz w:val="21"/>
                <w:szCs w:val="21"/>
                <w:highlight w:val="none"/>
              </w:rPr>
              <w:t>（</w:t>
            </w:r>
            <w:r>
              <w:rPr>
                <w:strike/>
                <w:dstrike w:val="0"/>
                <w:color w:val="auto"/>
                <w:spacing w:val="3"/>
                <w:sz w:val="21"/>
                <w:szCs w:val="21"/>
                <w:highlight w:val="none"/>
              </w:rPr>
              <w:t xml:space="preserve"> </w:t>
            </w:r>
            <w:r>
              <w:rPr>
                <w:i/>
                <w:iCs/>
                <w:strike/>
                <w:dstrike w:val="0"/>
                <w:color w:val="auto"/>
                <w:spacing w:val="-17"/>
                <w:sz w:val="22"/>
                <w:szCs w:val="22"/>
                <w:highlight w:val="none"/>
              </w:rPr>
              <w:t>联合体投标的，联合体各方均应提供参与投标资质</w:t>
            </w:r>
            <w:r>
              <w:rPr>
                <w:strike/>
                <w:dstrike w:val="0"/>
                <w:color w:val="auto"/>
                <w:sz w:val="22"/>
                <w:szCs w:val="22"/>
                <w:highlight w:val="none"/>
              </w:rPr>
              <w:t xml:space="preserve"> </w:t>
            </w:r>
            <w:r>
              <w:rPr>
                <w:i/>
                <w:iCs/>
                <w:strike/>
                <w:dstrike w:val="0"/>
                <w:color w:val="auto"/>
                <w:spacing w:val="-4"/>
                <w:sz w:val="22"/>
                <w:szCs w:val="22"/>
                <w:highlight w:val="none"/>
              </w:rPr>
              <w:t>的“资质动态核查结果证明”</w:t>
            </w:r>
            <w:r>
              <w:rPr>
                <w:strike/>
                <w:dstrike w:val="0"/>
                <w:color w:val="auto"/>
                <w:spacing w:val="-4"/>
                <w:sz w:val="21"/>
                <w:szCs w:val="21"/>
                <w:highlight w:val="none"/>
              </w:rPr>
              <w:t>）</w:t>
            </w:r>
          </w:p>
          <w:p w14:paraId="01DD8DC9">
            <w:pPr>
              <w:pStyle w:val="17"/>
              <w:spacing w:before="58" w:line="246" w:lineRule="auto"/>
              <w:ind w:left="113" w:right="247" w:firstLine="211"/>
              <w:rPr>
                <w:strike/>
                <w:dstrike w:val="0"/>
                <w:color w:val="auto"/>
                <w:sz w:val="21"/>
                <w:szCs w:val="21"/>
                <w:highlight w:val="none"/>
              </w:rPr>
            </w:pPr>
            <w:r>
              <w:rPr>
                <w:rFonts w:ascii="Times New Roman" w:hAnsi="Times New Roman" w:eastAsia="Times New Roman" w:cs="Times New Roman"/>
                <w:color w:val="auto"/>
                <w:spacing w:val="-2"/>
                <w:sz w:val="21"/>
                <w:szCs w:val="21"/>
                <w:highlight w:val="none"/>
              </w:rPr>
              <w:t>5</w:t>
            </w:r>
            <w:r>
              <w:rPr>
                <w:rFonts w:ascii="Times New Roman" w:hAnsi="Times New Roman" w:eastAsia="Times New Roman" w:cs="Times New Roman"/>
                <w:color w:val="auto"/>
                <w:spacing w:val="-17"/>
                <w:sz w:val="21"/>
                <w:szCs w:val="21"/>
                <w:highlight w:val="none"/>
              </w:rPr>
              <w:t xml:space="preserve"> </w:t>
            </w:r>
            <w:r>
              <w:rPr>
                <w:color w:val="auto"/>
                <w:spacing w:val="-2"/>
                <w:sz w:val="21"/>
                <w:szCs w:val="21"/>
                <w:highlight w:val="none"/>
              </w:rPr>
              <w:t>．企业安全生产许可证</w:t>
            </w:r>
            <w:r>
              <w:rPr>
                <w:strike/>
                <w:dstrike w:val="0"/>
                <w:color w:val="auto"/>
                <w:spacing w:val="-2"/>
                <w:sz w:val="21"/>
                <w:szCs w:val="21"/>
                <w:highlight w:val="none"/>
              </w:rPr>
              <w:t>（联合体投标的，联合体各方</w:t>
            </w:r>
            <w:r>
              <w:rPr>
                <w:strike/>
                <w:dstrike w:val="0"/>
                <w:color w:val="auto"/>
                <w:sz w:val="21"/>
                <w:szCs w:val="21"/>
                <w:highlight w:val="none"/>
              </w:rPr>
              <w:t xml:space="preserve"> </w:t>
            </w:r>
            <w:r>
              <w:rPr>
                <w:strike/>
                <w:dstrike w:val="0"/>
                <w:color w:val="auto"/>
                <w:spacing w:val="-10"/>
                <w:sz w:val="21"/>
                <w:szCs w:val="21"/>
                <w:highlight w:val="none"/>
              </w:rPr>
              <w:t>均应提供</w:t>
            </w:r>
            <w:r>
              <w:rPr>
                <w:strike/>
                <w:dstrike w:val="0"/>
                <w:color w:val="auto"/>
                <w:spacing w:val="-5"/>
                <w:sz w:val="21"/>
                <w:szCs w:val="21"/>
                <w:highlight w:val="none"/>
              </w:rPr>
              <w:t>）；</w:t>
            </w:r>
          </w:p>
          <w:p w14:paraId="17E9CCEA">
            <w:pPr>
              <w:pStyle w:val="17"/>
              <w:spacing w:before="61" w:line="259" w:lineRule="auto"/>
              <w:ind w:left="114" w:right="141" w:firstLine="208"/>
              <w:rPr>
                <w:color w:val="auto"/>
                <w:sz w:val="21"/>
                <w:szCs w:val="21"/>
                <w:highlight w:val="none"/>
              </w:rPr>
            </w:pPr>
            <w:r>
              <w:rPr>
                <w:rFonts w:ascii="Times New Roman" w:hAnsi="Times New Roman" w:eastAsia="Times New Roman" w:cs="Times New Roman"/>
                <w:color w:val="auto"/>
                <w:spacing w:val="-2"/>
                <w:sz w:val="21"/>
                <w:szCs w:val="21"/>
                <w:highlight w:val="none"/>
              </w:rPr>
              <w:t>6</w:t>
            </w:r>
            <w:r>
              <w:rPr>
                <w:rFonts w:ascii="Times New Roman" w:hAnsi="Times New Roman" w:eastAsia="Times New Roman" w:cs="Times New Roman"/>
                <w:color w:val="auto"/>
                <w:spacing w:val="-16"/>
                <w:sz w:val="21"/>
                <w:szCs w:val="21"/>
                <w:highlight w:val="none"/>
              </w:rPr>
              <w:t xml:space="preserve"> </w:t>
            </w:r>
            <w:r>
              <w:rPr>
                <w:color w:val="auto"/>
                <w:spacing w:val="-2"/>
                <w:sz w:val="21"/>
                <w:szCs w:val="21"/>
                <w:highlight w:val="none"/>
              </w:rPr>
              <w:t>．法定代表人、企业经理、企业分管安全生产的副经</w:t>
            </w:r>
            <w:r>
              <w:rPr>
                <w:color w:val="auto"/>
                <w:sz w:val="21"/>
                <w:szCs w:val="21"/>
                <w:highlight w:val="none"/>
              </w:rPr>
              <w:t xml:space="preserve">  理、企业技术负责人“三类人员”</w:t>
            </w:r>
            <w:r>
              <w:rPr>
                <w:rFonts w:ascii="Times New Roman" w:hAnsi="Times New Roman" w:eastAsia="Times New Roman" w:cs="Times New Roman"/>
                <w:color w:val="auto"/>
                <w:sz w:val="21"/>
                <w:szCs w:val="21"/>
                <w:highlight w:val="none"/>
              </w:rPr>
              <w:t xml:space="preserve">A </w:t>
            </w:r>
            <w:r>
              <w:rPr>
                <w:color w:val="auto"/>
                <w:sz w:val="21"/>
                <w:szCs w:val="21"/>
                <w:highlight w:val="none"/>
              </w:rPr>
              <w:t>类证书</w:t>
            </w:r>
            <w:r>
              <w:rPr>
                <w:color w:val="auto"/>
                <w:spacing w:val="-1"/>
                <w:sz w:val="21"/>
                <w:szCs w:val="21"/>
                <w:highlight w:val="none"/>
              </w:rPr>
              <w:t>，企业经理、</w:t>
            </w:r>
            <w:r>
              <w:rPr>
                <w:color w:val="auto"/>
                <w:sz w:val="21"/>
                <w:szCs w:val="21"/>
                <w:highlight w:val="none"/>
              </w:rPr>
              <w:t xml:space="preserve"> </w:t>
            </w:r>
            <w:r>
              <w:rPr>
                <w:color w:val="auto"/>
                <w:spacing w:val="-1"/>
                <w:sz w:val="21"/>
                <w:szCs w:val="21"/>
                <w:highlight w:val="none"/>
              </w:rPr>
              <w:t>企业技术负责人、企业分管安全生产副经理企业的任命书</w:t>
            </w:r>
            <w:r>
              <w:rPr>
                <w:color w:val="auto"/>
                <w:spacing w:val="13"/>
                <w:sz w:val="21"/>
                <w:szCs w:val="21"/>
                <w:highlight w:val="none"/>
              </w:rPr>
              <w:t xml:space="preserve"> </w:t>
            </w:r>
            <w:r>
              <w:rPr>
                <w:strike/>
                <w:dstrike w:val="0"/>
                <w:color w:val="auto"/>
                <w:spacing w:val="-4"/>
                <w:sz w:val="21"/>
                <w:szCs w:val="21"/>
                <w:highlight w:val="none"/>
              </w:rPr>
              <w:t>（联合体投标的，联合体各方均应提供</w:t>
            </w:r>
            <w:r>
              <w:rPr>
                <w:strike/>
                <w:dstrike w:val="0"/>
                <w:color w:val="auto"/>
                <w:spacing w:val="5"/>
                <w:sz w:val="21"/>
                <w:szCs w:val="21"/>
                <w:highlight w:val="none"/>
              </w:rPr>
              <w:t>）</w:t>
            </w:r>
            <w:r>
              <w:rPr>
                <w:color w:val="auto"/>
                <w:spacing w:val="5"/>
                <w:sz w:val="21"/>
                <w:szCs w:val="21"/>
                <w:highlight w:val="none"/>
              </w:rPr>
              <w:t>；</w:t>
            </w:r>
          </w:p>
          <w:p w14:paraId="399AEB0B">
            <w:pPr>
              <w:pStyle w:val="17"/>
              <w:spacing w:before="61" w:line="256" w:lineRule="auto"/>
              <w:ind w:left="112" w:right="141" w:firstLine="209"/>
              <w:rPr>
                <w:color w:val="auto"/>
                <w:sz w:val="21"/>
                <w:szCs w:val="21"/>
                <w:highlight w:val="none"/>
              </w:rPr>
            </w:pPr>
            <w:r>
              <w:rPr>
                <w:rFonts w:ascii="Times New Roman" w:hAnsi="Times New Roman" w:eastAsia="Times New Roman" w:cs="Times New Roman"/>
                <w:color w:val="auto"/>
                <w:spacing w:val="-4"/>
                <w:sz w:val="21"/>
                <w:szCs w:val="21"/>
                <w:highlight w:val="none"/>
              </w:rPr>
              <w:t>7</w:t>
            </w:r>
            <w:r>
              <w:rPr>
                <w:rFonts w:ascii="Times New Roman" w:hAnsi="Times New Roman" w:eastAsia="Times New Roman" w:cs="Times New Roman"/>
                <w:color w:val="auto"/>
                <w:spacing w:val="-15"/>
                <w:sz w:val="21"/>
                <w:szCs w:val="21"/>
                <w:highlight w:val="none"/>
              </w:rPr>
              <w:t xml:space="preserve"> </w:t>
            </w:r>
            <w:r>
              <w:rPr>
                <w:color w:val="auto"/>
                <w:spacing w:val="-4"/>
                <w:sz w:val="21"/>
                <w:szCs w:val="21"/>
                <w:highlight w:val="none"/>
              </w:rPr>
              <w:t>．项目负责人、技术负责人（</w:t>
            </w:r>
            <w:r>
              <w:rPr>
                <w:i/>
                <w:iCs/>
                <w:color w:val="auto"/>
                <w:spacing w:val="-4"/>
                <w:sz w:val="22"/>
                <w:szCs w:val="22"/>
                <w:highlight w:val="none"/>
              </w:rPr>
              <w:t>如有要求</w:t>
            </w:r>
            <w:r>
              <w:rPr>
                <w:color w:val="auto"/>
                <w:spacing w:val="-4"/>
                <w:sz w:val="21"/>
                <w:szCs w:val="21"/>
                <w:highlight w:val="none"/>
              </w:rPr>
              <w:t>）“全国建筑</w:t>
            </w:r>
            <w:r>
              <w:rPr>
                <w:color w:val="auto"/>
                <w:sz w:val="21"/>
                <w:szCs w:val="21"/>
                <w:highlight w:val="none"/>
              </w:rPr>
              <w:t xml:space="preserve">  </w:t>
            </w:r>
            <w:r>
              <w:rPr>
                <w:color w:val="auto"/>
                <w:spacing w:val="-1"/>
                <w:sz w:val="21"/>
                <w:szCs w:val="21"/>
                <w:highlight w:val="none"/>
              </w:rPr>
              <w:t>市场监管公共服务平台网”注册建造师信息查询页面（最</w:t>
            </w:r>
            <w:r>
              <w:rPr>
                <w:color w:val="auto"/>
                <w:spacing w:val="15"/>
                <w:sz w:val="21"/>
                <w:szCs w:val="21"/>
                <w:highlight w:val="none"/>
              </w:rPr>
              <w:t xml:space="preserve"> </w:t>
            </w:r>
            <w:r>
              <w:rPr>
                <w:color w:val="auto"/>
                <w:spacing w:val="-1"/>
                <w:sz w:val="21"/>
                <w:szCs w:val="21"/>
                <w:highlight w:val="none"/>
              </w:rPr>
              <w:t>终的完整信息页面）打印件（需加盖投标人公章和建造师</w:t>
            </w:r>
            <w:r>
              <w:rPr>
                <w:color w:val="auto"/>
                <w:spacing w:val="15"/>
                <w:sz w:val="21"/>
                <w:szCs w:val="21"/>
                <w:highlight w:val="none"/>
              </w:rPr>
              <w:t xml:space="preserve"> </w:t>
            </w:r>
            <w:r>
              <w:rPr>
                <w:color w:val="auto"/>
                <w:spacing w:val="-1"/>
                <w:sz w:val="21"/>
                <w:szCs w:val="21"/>
                <w:highlight w:val="none"/>
              </w:rPr>
              <w:t>执业章）或注册执业证书（一级建造师提供电子注册证</w:t>
            </w:r>
          </w:p>
          <w:p w14:paraId="0982AAE6">
            <w:pPr>
              <w:pStyle w:val="17"/>
              <w:spacing w:before="63" w:line="245" w:lineRule="auto"/>
              <w:ind w:left="116" w:right="141"/>
              <w:rPr>
                <w:color w:val="auto"/>
                <w:sz w:val="21"/>
                <w:szCs w:val="21"/>
                <w:highlight w:val="none"/>
              </w:rPr>
            </w:pPr>
            <w:r>
              <w:rPr>
                <w:color w:val="auto"/>
                <w:spacing w:val="-1"/>
                <w:sz w:val="21"/>
                <w:szCs w:val="21"/>
                <w:highlight w:val="none"/>
              </w:rPr>
              <w:t>书）或建设行政部门相关名单公告（需提供下载的纸质公</w:t>
            </w:r>
            <w:r>
              <w:rPr>
                <w:color w:val="auto"/>
                <w:spacing w:val="11"/>
                <w:sz w:val="21"/>
                <w:szCs w:val="21"/>
                <w:highlight w:val="none"/>
              </w:rPr>
              <w:t xml:space="preserve"> </w:t>
            </w:r>
            <w:r>
              <w:rPr>
                <w:color w:val="auto"/>
                <w:spacing w:val="-5"/>
                <w:sz w:val="21"/>
                <w:szCs w:val="21"/>
                <w:highlight w:val="none"/>
              </w:rPr>
              <w:t>告和网址，公示名单无效</w:t>
            </w:r>
            <w:r>
              <w:rPr>
                <w:color w:val="auto"/>
                <w:spacing w:val="-2"/>
                <w:sz w:val="21"/>
                <w:szCs w:val="21"/>
                <w:highlight w:val="none"/>
              </w:rPr>
              <w:t>）；</w:t>
            </w:r>
          </w:p>
          <w:p w14:paraId="230CB402">
            <w:pPr>
              <w:pStyle w:val="17"/>
              <w:spacing w:before="61" w:line="219" w:lineRule="auto"/>
              <w:ind w:left="343"/>
              <w:rPr>
                <w:color w:val="auto"/>
                <w:sz w:val="21"/>
                <w:szCs w:val="21"/>
                <w:highlight w:val="none"/>
              </w:rPr>
            </w:pPr>
            <w:r>
              <w:rPr>
                <w:rFonts w:hint="eastAsia"/>
                <w:color w:val="auto"/>
                <w:spacing w:val="-4"/>
                <w:sz w:val="21"/>
                <w:szCs w:val="21"/>
                <w:highlight w:val="none"/>
                <w:lang w:eastAsia="zh-CN"/>
              </w:rPr>
              <w:t>☑</w:t>
            </w:r>
            <w:r>
              <w:rPr>
                <w:rFonts w:ascii="Times New Roman" w:hAnsi="Times New Roman" w:eastAsia="Times New Roman" w:cs="Times New Roman"/>
                <w:color w:val="auto"/>
                <w:spacing w:val="-4"/>
                <w:sz w:val="21"/>
                <w:szCs w:val="21"/>
                <w:highlight w:val="none"/>
              </w:rPr>
              <w:t>8</w:t>
            </w:r>
            <w:r>
              <w:rPr>
                <w:rFonts w:ascii="Times New Roman" w:hAnsi="Times New Roman" w:eastAsia="Times New Roman" w:cs="Times New Roman"/>
                <w:color w:val="auto"/>
                <w:spacing w:val="-24"/>
                <w:sz w:val="21"/>
                <w:szCs w:val="21"/>
                <w:highlight w:val="none"/>
              </w:rPr>
              <w:t xml:space="preserve"> </w:t>
            </w:r>
            <w:r>
              <w:rPr>
                <w:color w:val="auto"/>
                <w:spacing w:val="-4"/>
                <w:sz w:val="21"/>
                <w:szCs w:val="21"/>
                <w:highlight w:val="none"/>
              </w:rPr>
              <w:t>．拟派技术负责人职称证书</w:t>
            </w:r>
            <w:r>
              <w:rPr>
                <w:rFonts w:ascii="Times New Roman" w:hAnsi="Times New Roman" w:cs="Times New Roman"/>
                <w:color w:val="auto"/>
                <w:sz w:val="21"/>
                <w:szCs w:val="21"/>
                <w:highlight w:val="none"/>
                <w:lang w:eastAsia="zh-CN"/>
              </w:rPr>
              <w:t>或注册证书</w:t>
            </w:r>
            <w:r>
              <w:rPr>
                <w:color w:val="auto"/>
                <w:spacing w:val="-4"/>
                <w:sz w:val="21"/>
                <w:szCs w:val="21"/>
                <w:highlight w:val="none"/>
              </w:rPr>
              <w:t>；</w:t>
            </w:r>
          </w:p>
          <w:p w14:paraId="7A51E824">
            <w:pPr>
              <w:pStyle w:val="17"/>
              <w:spacing w:before="63" w:line="245" w:lineRule="auto"/>
              <w:ind w:left="114" w:right="247" w:firstLine="207"/>
              <w:rPr>
                <w:color w:val="auto"/>
                <w:sz w:val="21"/>
                <w:szCs w:val="21"/>
                <w:highlight w:val="none"/>
              </w:rPr>
            </w:pPr>
            <w:r>
              <w:rPr>
                <w:rFonts w:ascii="Times New Roman" w:hAnsi="Times New Roman" w:eastAsia="Times New Roman" w:cs="Times New Roman"/>
                <w:color w:val="auto"/>
                <w:spacing w:val="-2"/>
                <w:sz w:val="21"/>
                <w:szCs w:val="21"/>
                <w:highlight w:val="none"/>
              </w:rPr>
              <w:t>9</w:t>
            </w:r>
            <w:r>
              <w:rPr>
                <w:rFonts w:ascii="Times New Roman" w:hAnsi="Times New Roman" w:eastAsia="Times New Roman" w:cs="Times New Roman"/>
                <w:color w:val="auto"/>
                <w:spacing w:val="-15"/>
                <w:sz w:val="21"/>
                <w:szCs w:val="21"/>
                <w:highlight w:val="none"/>
              </w:rPr>
              <w:t xml:space="preserve"> </w:t>
            </w:r>
            <w:r>
              <w:rPr>
                <w:color w:val="auto"/>
                <w:spacing w:val="-2"/>
                <w:sz w:val="21"/>
                <w:szCs w:val="21"/>
                <w:highlight w:val="none"/>
              </w:rPr>
              <w:t>．项目安全员、质检员和施工员全国水利水电工程施</w:t>
            </w:r>
            <w:r>
              <w:rPr>
                <w:color w:val="auto"/>
                <w:sz w:val="21"/>
                <w:szCs w:val="21"/>
                <w:highlight w:val="none"/>
              </w:rPr>
              <w:t xml:space="preserve"> </w:t>
            </w:r>
            <w:r>
              <w:rPr>
                <w:color w:val="auto"/>
                <w:spacing w:val="-4"/>
                <w:sz w:val="21"/>
                <w:szCs w:val="21"/>
                <w:highlight w:val="none"/>
              </w:rPr>
              <w:t>工现场管理人员培训合格证书；</w:t>
            </w:r>
          </w:p>
          <w:p w14:paraId="0641EDE2">
            <w:pPr>
              <w:pStyle w:val="17"/>
              <w:spacing w:before="60" w:line="219" w:lineRule="auto"/>
              <w:ind w:left="338"/>
              <w:rPr>
                <w:color w:val="auto"/>
                <w:sz w:val="21"/>
                <w:szCs w:val="21"/>
                <w:highlight w:val="none"/>
              </w:rPr>
            </w:pPr>
            <w:r>
              <w:rPr>
                <w:rFonts w:ascii="Times New Roman" w:hAnsi="Times New Roman" w:eastAsia="Times New Roman" w:cs="Times New Roman"/>
                <w:color w:val="auto"/>
                <w:spacing w:val="-4"/>
                <w:sz w:val="21"/>
                <w:szCs w:val="21"/>
                <w:highlight w:val="none"/>
              </w:rPr>
              <w:t>10</w:t>
            </w:r>
            <w:r>
              <w:rPr>
                <w:rFonts w:ascii="Times New Roman" w:hAnsi="Times New Roman" w:eastAsia="Times New Roman" w:cs="Times New Roman"/>
                <w:color w:val="auto"/>
                <w:spacing w:val="-24"/>
                <w:sz w:val="21"/>
                <w:szCs w:val="21"/>
                <w:highlight w:val="none"/>
              </w:rPr>
              <w:t xml:space="preserve"> </w:t>
            </w:r>
            <w:r>
              <w:rPr>
                <w:color w:val="auto"/>
                <w:spacing w:val="-4"/>
                <w:sz w:val="21"/>
                <w:szCs w:val="21"/>
                <w:highlight w:val="none"/>
              </w:rPr>
              <w:t>．拟派项目负责人“三类人员”</w:t>
            </w:r>
            <w:r>
              <w:rPr>
                <w:rFonts w:ascii="Times New Roman" w:hAnsi="Times New Roman" w:eastAsia="Times New Roman" w:cs="Times New Roman"/>
                <w:color w:val="auto"/>
                <w:spacing w:val="-4"/>
                <w:sz w:val="21"/>
                <w:szCs w:val="21"/>
                <w:highlight w:val="none"/>
              </w:rPr>
              <w:t xml:space="preserve">B </w:t>
            </w:r>
            <w:r>
              <w:rPr>
                <w:color w:val="auto"/>
                <w:spacing w:val="-4"/>
                <w:sz w:val="21"/>
                <w:szCs w:val="21"/>
                <w:highlight w:val="none"/>
              </w:rPr>
              <w:t>类证书；</w:t>
            </w:r>
          </w:p>
          <w:p w14:paraId="40D5A5C2">
            <w:pPr>
              <w:pStyle w:val="17"/>
              <w:spacing w:before="63" w:line="207" w:lineRule="auto"/>
              <w:ind w:left="338"/>
              <w:rPr>
                <w:color w:val="auto"/>
                <w:sz w:val="21"/>
                <w:szCs w:val="21"/>
                <w:highlight w:val="none"/>
              </w:rPr>
            </w:pPr>
            <w:r>
              <w:rPr>
                <w:rFonts w:ascii="Times New Roman" w:hAnsi="Times New Roman" w:eastAsia="Times New Roman" w:cs="Times New Roman"/>
                <w:color w:val="auto"/>
                <w:spacing w:val="1"/>
                <w:sz w:val="21"/>
                <w:szCs w:val="21"/>
                <w:highlight w:val="none"/>
              </w:rPr>
              <w:t>11</w:t>
            </w:r>
            <w:r>
              <w:rPr>
                <w:rFonts w:ascii="Times New Roman" w:hAnsi="Times New Roman" w:eastAsia="Times New Roman" w:cs="Times New Roman"/>
                <w:color w:val="auto"/>
                <w:spacing w:val="-7"/>
                <w:sz w:val="21"/>
                <w:szCs w:val="21"/>
                <w:highlight w:val="none"/>
              </w:rPr>
              <w:t xml:space="preserve"> </w:t>
            </w:r>
            <w:r>
              <w:rPr>
                <w:color w:val="auto"/>
                <w:spacing w:val="1"/>
                <w:sz w:val="21"/>
                <w:szCs w:val="21"/>
                <w:highlight w:val="none"/>
              </w:rPr>
              <w:t>．拟派施工现场专职安全生产管理人员“三类人员”</w:t>
            </w:r>
          </w:p>
        </w:tc>
      </w:tr>
    </w:tbl>
    <w:p w14:paraId="1720B384">
      <w:pPr>
        <w:pStyle w:val="8"/>
        <w:rPr>
          <w:color w:val="auto"/>
          <w:highlight w:val="none"/>
        </w:rPr>
      </w:pPr>
    </w:p>
    <w:p w14:paraId="11AA89B4">
      <w:pPr>
        <w:rPr>
          <w:color w:val="auto"/>
          <w:highlight w:val="none"/>
        </w:rPr>
        <w:sectPr>
          <w:footerReference r:id="rId11" w:type="default"/>
          <w:pgSz w:w="11905" w:h="16840"/>
          <w:pgMar w:top="1431" w:right="1463" w:bottom="1255" w:left="1523" w:header="0" w:footer="1093" w:gutter="0"/>
          <w:pgNumType w:fmt="decimal"/>
          <w:cols w:space="720" w:num="1"/>
        </w:sectPr>
      </w:pPr>
    </w:p>
    <w:p w14:paraId="4474B90D">
      <w:pPr>
        <w:spacing w:line="89" w:lineRule="auto"/>
        <w:rPr>
          <w:rFonts w:ascii="Arial"/>
          <w:color w:val="auto"/>
          <w:sz w:val="2"/>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444"/>
        <w:gridCol w:w="5506"/>
      </w:tblGrid>
      <w:tr w14:paraId="29E3BF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52" w:type="dxa"/>
            <w:tcBorders>
              <w:top w:val="single" w:color="000000" w:sz="6" w:space="0"/>
              <w:left w:val="single" w:color="000000" w:sz="6" w:space="0"/>
            </w:tcBorders>
            <w:vAlign w:val="top"/>
          </w:tcPr>
          <w:p w14:paraId="0EA3BACF">
            <w:pPr>
              <w:pStyle w:val="17"/>
              <w:spacing w:before="182" w:line="220" w:lineRule="auto"/>
              <w:ind w:left="160"/>
              <w:rPr>
                <w:color w:val="auto"/>
                <w:sz w:val="21"/>
                <w:szCs w:val="21"/>
                <w:highlight w:val="none"/>
              </w:rPr>
            </w:pPr>
            <w:r>
              <w:rPr>
                <w:b/>
                <w:bCs/>
                <w:color w:val="auto"/>
                <w:spacing w:val="-4"/>
                <w:sz w:val="21"/>
                <w:szCs w:val="21"/>
                <w:highlight w:val="none"/>
              </w:rPr>
              <w:t>条款号</w:t>
            </w:r>
          </w:p>
        </w:tc>
        <w:tc>
          <w:tcPr>
            <w:tcW w:w="2444" w:type="dxa"/>
            <w:tcBorders>
              <w:top w:val="single" w:color="000000" w:sz="6" w:space="0"/>
            </w:tcBorders>
            <w:vAlign w:val="top"/>
          </w:tcPr>
          <w:p w14:paraId="478C0ED5">
            <w:pPr>
              <w:pStyle w:val="17"/>
              <w:spacing w:before="182" w:line="220" w:lineRule="auto"/>
              <w:ind w:left="646"/>
              <w:rPr>
                <w:color w:val="auto"/>
                <w:sz w:val="21"/>
                <w:szCs w:val="21"/>
                <w:highlight w:val="none"/>
              </w:rPr>
            </w:pPr>
            <w:r>
              <w:rPr>
                <w:b/>
                <w:bCs/>
                <w:color w:val="auto"/>
                <w:spacing w:val="-10"/>
                <w:sz w:val="21"/>
                <w:szCs w:val="21"/>
                <w:highlight w:val="none"/>
              </w:rPr>
              <w:t>条</w:t>
            </w:r>
            <w:r>
              <w:rPr>
                <w:color w:val="auto"/>
                <w:spacing w:val="11"/>
                <w:sz w:val="21"/>
                <w:szCs w:val="21"/>
                <w:highlight w:val="none"/>
              </w:rPr>
              <w:t xml:space="preserve"> </w:t>
            </w:r>
            <w:r>
              <w:rPr>
                <w:b/>
                <w:bCs/>
                <w:color w:val="auto"/>
                <w:spacing w:val="-10"/>
                <w:sz w:val="21"/>
                <w:szCs w:val="21"/>
                <w:highlight w:val="none"/>
              </w:rPr>
              <w:t>款</w:t>
            </w:r>
            <w:r>
              <w:rPr>
                <w:color w:val="auto"/>
                <w:spacing w:val="12"/>
                <w:sz w:val="21"/>
                <w:szCs w:val="21"/>
                <w:highlight w:val="none"/>
              </w:rPr>
              <w:t xml:space="preserve"> </w:t>
            </w:r>
            <w:r>
              <w:rPr>
                <w:b/>
                <w:bCs/>
                <w:color w:val="auto"/>
                <w:spacing w:val="-10"/>
                <w:sz w:val="21"/>
                <w:szCs w:val="21"/>
                <w:highlight w:val="none"/>
              </w:rPr>
              <w:t>名</w:t>
            </w:r>
            <w:r>
              <w:rPr>
                <w:color w:val="auto"/>
                <w:spacing w:val="8"/>
                <w:sz w:val="21"/>
                <w:szCs w:val="21"/>
                <w:highlight w:val="none"/>
              </w:rPr>
              <w:t xml:space="preserve"> </w:t>
            </w:r>
            <w:r>
              <w:rPr>
                <w:b/>
                <w:bCs/>
                <w:color w:val="auto"/>
                <w:spacing w:val="-10"/>
                <w:sz w:val="21"/>
                <w:szCs w:val="21"/>
                <w:highlight w:val="none"/>
              </w:rPr>
              <w:t>称</w:t>
            </w:r>
          </w:p>
        </w:tc>
        <w:tc>
          <w:tcPr>
            <w:tcW w:w="5506" w:type="dxa"/>
            <w:tcBorders>
              <w:top w:val="single" w:color="000000" w:sz="6" w:space="0"/>
              <w:right w:val="single" w:color="000000" w:sz="6" w:space="0"/>
            </w:tcBorders>
            <w:vAlign w:val="top"/>
          </w:tcPr>
          <w:p w14:paraId="3B6F4808">
            <w:pPr>
              <w:pStyle w:val="17"/>
              <w:spacing w:before="182" w:line="220" w:lineRule="auto"/>
              <w:ind w:left="1703"/>
              <w:rPr>
                <w:color w:val="auto"/>
                <w:sz w:val="21"/>
                <w:szCs w:val="21"/>
                <w:highlight w:val="none"/>
              </w:rPr>
            </w:pPr>
            <w:r>
              <w:rPr>
                <w:b/>
                <w:bCs/>
                <w:color w:val="auto"/>
                <w:spacing w:val="-17"/>
                <w:sz w:val="21"/>
                <w:szCs w:val="21"/>
                <w:highlight w:val="none"/>
              </w:rPr>
              <w:t>编</w:t>
            </w:r>
            <w:r>
              <w:rPr>
                <w:color w:val="auto"/>
                <w:spacing w:val="4"/>
                <w:sz w:val="21"/>
                <w:szCs w:val="21"/>
                <w:highlight w:val="none"/>
              </w:rPr>
              <w:t xml:space="preserve">    </w:t>
            </w:r>
            <w:r>
              <w:rPr>
                <w:b/>
                <w:bCs/>
                <w:color w:val="auto"/>
                <w:spacing w:val="-17"/>
                <w:sz w:val="21"/>
                <w:szCs w:val="21"/>
                <w:highlight w:val="none"/>
              </w:rPr>
              <w:t>列</w:t>
            </w:r>
            <w:r>
              <w:rPr>
                <w:color w:val="auto"/>
                <w:spacing w:val="9"/>
                <w:sz w:val="21"/>
                <w:szCs w:val="21"/>
                <w:highlight w:val="none"/>
              </w:rPr>
              <w:t xml:space="preserve">    </w:t>
            </w:r>
            <w:r>
              <w:rPr>
                <w:b/>
                <w:bCs/>
                <w:color w:val="auto"/>
                <w:spacing w:val="-17"/>
                <w:sz w:val="21"/>
                <w:szCs w:val="21"/>
                <w:highlight w:val="none"/>
              </w:rPr>
              <w:t>内</w:t>
            </w:r>
            <w:r>
              <w:rPr>
                <w:color w:val="auto"/>
                <w:spacing w:val="3"/>
                <w:sz w:val="21"/>
                <w:szCs w:val="21"/>
                <w:highlight w:val="none"/>
              </w:rPr>
              <w:t xml:space="preserve">    </w:t>
            </w:r>
            <w:r>
              <w:rPr>
                <w:b/>
                <w:bCs/>
                <w:color w:val="auto"/>
                <w:spacing w:val="-17"/>
                <w:sz w:val="21"/>
                <w:szCs w:val="21"/>
                <w:highlight w:val="none"/>
              </w:rPr>
              <w:t>容</w:t>
            </w:r>
          </w:p>
        </w:tc>
      </w:tr>
      <w:tr w14:paraId="61F86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1" w:hRule="atLeast"/>
        </w:trPr>
        <w:tc>
          <w:tcPr>
            <w:tcW w:w="952" w:type="dxa"/>
            <w:tcBorders>
              <w:left w:val="single" w:color="000000" w:sz="6" w:space="0"/>
              <w:bottom w:val="single" w:color="000000" w:sz="6" w:space="0"/>
            </w:tcBorders>
            <w:vAlign w:val="top"/>
          </w:tcPr>
          <w:p w14:paraId="371035F2">
            <w:pPr>
              <w:rPr>
                <w:rFonts w:ascii="Arial"/>
                <w:color w:val="auto"/>
                <w:sz w:val="21"/>
                <w:highlight w:val="none"/>
              </w:rPr>
            </w:pPr>
          </w:p>
        </w:tc>
        <w:tc>
          <w:tcPr>
            <w:tcW w:w="2444" w:type="dxa"/>
            <w:tcBorders>
              <w:bottom w:val="single" w:color="000000" w:sz="6" w:space="0"/>
            </w:tcBorders>
            <w:vAlign w:val="top"/>
          </w:tcPr>
          <w:p w14:paraId="7BFB79A2">
            <w:pPr>
              <w:rPr>
                <w:rFonts w:ascii="Arial"/>
                <w:color w:val="auto"/>
                <w:sz w:val="21"/>
                <w:highlight w:val="none"/>
              </w:rPr>
            </w:pPr>
          </w:p>
        </w:tc>
        <w:tc>
          <w:tcPr>
            <w:tcW w:w="5506" w:type="dxa"/>
            <w:tcBorders>
              <w:bottom w:val="single" w:color="000000" w:sz="6" w:space="0"/>
              <w:right w:val="single" w:color="000000" w:sz="6" w:space="0"/>
            </w:tcBorders>
            <w:vAlign w:val="top"/>
          </w:tcPr>
          <w:p w14:paraId="5AED6808">
            <w:pPr>
              <w:pStyle w:val="17"/>
              <w:spacing w:before="78" w:line="219" w:lineRule="auto"/>
              <w:ind w:left="111"/>
              <w:rPr>
                <w:color w:val="auto"/>
                <w:sz w:val="21"/>
                <w:szCs w:val="21"/>
                <w:highlight w:val="none"/>
              </w:rPr>
            </w:pPr>
            <w:r>
              <w:rPr>
                <w:rFonts w:ascii="Times New Roman" w:hAnsi="Times New Roman" w:eastAsia="Times New Roman" w:cs="Times New Roman"/>
                <w:color w:val="auto"/>
                <w:spacing w:val="-11"/>
                <w:sz w:val="21"/>
                <w:szCs w:val="21"/>
                <w:highlight w:val="none"/>
              </w:rPr>
              <w:t>C</w:t>
            </w:r>
            <w:r>
              <w:rPr>
                <w:rFonts w:ascii="Times New Roman" w:hAnsi="Times New Roman" w:eastAsia="Times New Roman" w:cs="Times New Roman"/>
                <w:color w:val="auto"/>
                <w:spacing w:val="12"/>
                <w:sz w:val="21"/>
                <w:szCs w:val="21"/>
                <w:highlight w:val="none"/>
              </w:rPr>
              <w:t xml:space="preserve"> </w:t>
            </w:r>
            <w:r>
              <w:rPr>
                <w:color w:val="auto"/>
                <w:spacing w:val="-11"/>
                <w:sz w:val="21"/>
                <w:szCs w:val="21"/>
                <w:highlight w:val="none"/>
              </w:rPr>
              <w:t>类证书；</w:t>
            </w:r>
          </w:p>
          <w:p w14:paraId="39EF886B">
            <w:pPr>
              <w:pStyle w:val="17"/>
              <w:spacing w:before="61" w:line="246" w:lineRule="auto"/>
              <w:ind w:left="114" w:right="141" w:firstLine="223"/>
              <w:rPr>
                <w:color w:val="auto"/>
                <w:sz w:val="21"/>
                <w:szCs w:val="21"/>
                <w:highlight w:val="none"/>
              </w:rPr>
            </w:pPr>
            <w:r>
              <w:rPr>
                <w:rFonts w:ascii="Times New Roman" w:hAnsi="Times New Roman" w:eastAsia="Times New Roman" w:cs="Times New Roman"/>
                <w:color w:val="auto"/>
                <w:spacing w:val="-2"/>
                <w:sz w:val="21"/>
                <w:szCs w:val="21"/>
                <w:highlight w:val="none"/>
              </w:rPr>
              <w:t>12</w:t>
            </w:r>
            <w:r>
              <w:rPr>
                <w:rFonts w:ascii="Times New Roman" w:hAnsi="Times New Roman" w:eastAsia="Times New Roman" w:cs="Times New Roman"/>
                <w:color w:val="auto"/>
                <w:spacing w:val="-24"/>
                <w:sz w:val="21"/>
                <w:szCs w:val="21"/>
                <w:highlight w:val="none"/>
              </w:rPr>
              <w:t xml:space="preserve"> </w:t>
            </w:r>
            <w:r>
              <w:rPr>
                <w:color w:val="auto"/>
                <w:spacing w:val="-2"/>
                <w:sz w:val="21"/>
                <w:szCs w:val="21"/>
                <w:highlight w:val="none"/>
              </w:rPr>
              <w:t>．拟派项目组主要人员在浙江省水利厅“</w:t>
            </w:r>
            <w:r>
              <w:rPr>
                <w:color w:val="auto"/>
                <w:spacing w:val="-3"/>
                <w:sz w:val="21"/>
                <w:szCs w:val="21"/>
                <w:highlight w:val="none"/>
              </w:rPr>
              <w:t>浙江省水利</w:t>
            </w:r>
            <w:r>
              <w:rPr>
                <w:color w:val="auto"/>
                <w:sz w:val="21"/>
                <w:szCs w:val="21"/>
                <w:highlight w:val="none"/>
              </w:rPr>
              <w:t xml:space="preserve"> </w:t>
            </w:r>
            <w:r>
              <w:rPr>
                <w:color w:val="auto"/>
                <w:spacing w:val="-1"/>
                <w:sz w:val="21"/>
                <w:szCs w:val="21"/>
                <w:highlight w:val="none"/>
              </w:rPr>
              <w:t>工程建设管理系统（透明工程）” 下载人员信息打印</w:t>
            </w:r>
          </w:p>
          <w:p w14:paraId="04B32EAC">
            <w:pPr>
              <w:pStyle w:val="17"/>
              <w:spacing w:before="59" w:line="220" w:lineRule="auto"/>
              <w:ind w:left="111"/>
              <w:rPr>
                <w:color w:val="auto"/>
                <w:sz w:val="21"/>
                <w:szCs w:val="21"/>
                <w:highlight w:val="none"/>
              </w:rPr>
            </w:pPr>
            <w:r>
              <w:rPr>
                <w:color w:val="auto"/>
                <w:spacing w:val="-3"/>
                <w:sz w:val="21"/>
                <w:szCs w:val="21"/>
                <w:highlight w:val="none"/>
              </w:rPr>
              <w:t>件，打印件应含有“浙江水利透明工程”水印；</w:t>
            </w:r>
          </w:p>
          <w:p w14:paraId="7499F413">
            <w:pPr>
              <w:pStyle w:val="17"/>
              <w:spacing w:before="59" w:line="246" w:lineRule="auto"/>
              <w:ind w:left="112" w:right="561" w:firstLine="226"/>
              <w:rPr>
                <w:color w:val="auto"/>
                <w:sz w:val="21"/>
                <w:szCs w:val="21"/>
                <w:highlight w:val="none"/>
              </w:rPr>
            </w:pPr>
            <w:r>
              <w:rPr>
                <w:rFonts w:ascii="Times New Roman" w:hAnsi="Times New Roman" w:eastAsia="Times New Roman" w:cs="Times New Roman"/>
                <w:color w:val="auto"/>
                <w:spacing w:val="-3"/>
                <w:sz w:val="21"/>
                <w:szCs w:val="21"/>
                <w:highlight w:val="none"/>
              </w:rPr>
              <w:t>13</w:t>
            </w:r>
            <w:r>
              <w:rPr>
                <w:rFonts w:ascii="Times New Roman" w:hAnsi="Times New Roman" w:eastAsia="Times New Roman" w:cs="Times New Roman"/>
                <w:color w:val="auto"/>
                <w:spacing w:val="-10"/>
                <w:sz w:val="21"/>
                <w:szCs w:val="21"/>
                <w:highlight w:val="none"/>
              </w:rPr>
              <w:t xml:space="preserve"> </w:t>
            </w:r>
            <w:r>
              <w:rPr>
                <w:color w:val="auto"/>
                <w:spacing w:val="-3"/>
                <w:sz w:val="21"/>
                <w:szCs w:val="21"/>
                <w:highlight w:val="none"/>
              </w:rPr>
              <w:t>．投标承诺书（按照招标文件提供的格式条款提</w:t>
            </w:r>
            <w:r>
              <w:rPr>
                <w:color w:val="auto"/>
                <w:sz w:val="21"/>
                <w:szCs w:val="21"/>
                <w:highlight w:val="none"/>
              </w:rPr>
              <w:t xml:space="preserve"> </w:t>
            </w:r>
            <w:r>
              <w:rPr>
                <w:color w:val="auto"/>
                <w:spacing w:val="-13"/>
                <w:w w:val="97"/>
                <w:sz w:val="21"/>
                <w:szCs w:val="21"/>
                <w:highlight w:val="none"/>
              </w:rPr>
              <w:t>供</w:t>
            </w:r>
            <w:r>
              <w:rPr>
                <w:color w:val="auto"/>
                <w:spacing w:val="-10"/>
                <w:sz w:val="21"/>
                <w:szCs w:val="21"/>
                <w:highlight w:val="none"/>
              </w:rPr>
              <w:t>）；</w:t>
            </w:r>
          </w:p>
          <w:p w14:paraId="6B91A38F">
            <w:pPr>
              <w:pStyle w:val="17"/>
              <w:spacing w:before="60" w:line="255" w:lineRule="auto"/>
              <w:ind w:left="112" w:right="141" w:firstLine="231"/>
              <w:rPr>
                <w:strike/>
                <w:dstrike w:val="0"/>
                <w:color w:val="auto"/>
                <w:sz w:val="21"/>
                <w:szCs w:val="21"/>
                <w:highlight w:val="none"/>
              </w:rPr>
            </w:pPr>
            <w:r>
              <w:rPr>
                <w:strike/>
                <w:dstrike w:val="0"/>
                <w:color w:val="auto"/>
                <w:spacing w:val="-1"/>
                <w:sz w:val="21"/>
                <w:szCs w:val="21"/>
                <w:highlight w:val="none"/>
              </w:rPr>
              <w:t>□</w:t>
            </w:r>
            <w:r>
              <w:rPr>
                <w:rFonts w:ascii="Times New Roman" w:hAnsi="Times New Roman" w:eastAsia="Times New Roman" w:cs="Times New Roman"/>
                <w:strike/>
                <w:dstrike w:val="0"/>
                <w:color w:val="auto"/>
                <w:spacing w:val="-1"/>
                <w:sz w:val="21"/>
                <w:szCs w:val="21"/>
                <w:highlight w:val="none"/>
              </w:rPr>
              <w:t>14.</w:t>
            </w:r>
            <w:r>
              <w:rPr>
                <w:strike/>
                <w:dstrike w:val="0"/>
                <w:color w:val="auto"/>
                <w:spacing w:val="-1"/>
                <w:sz w:val="21"/>
                <w:szCs w:val="21"/>
                <w:highlight w:val="none"/>
              </w:rPr>
              <w:t>《中小企业声明函》（面向中小企</w:t>
            </w:r>
            <w:r>
              <w:rPr>
                <w:strike/>
                <w:dstrike w:val="0"/>
                <w:color w:val="auto"/>
                <w:spacing w:val="-2"/>
                <w:sz w:val="21"/>
                <w:szCs w:val="21"/>
                <w:highlight w:val="none"/>
              </w:rPr>
              <w:t>业招标的，投</w:t>
            </w:r>
            <w:r>
              <w:rPr>
                <w:strike/>
                <w:dstrike w:val="0"/>
                <w:color w:val="auto"/>
                <w:sz w:val="21"/>
                <w:szCs w:val="21"/>
                <w:highlight w:val="none"/>
              </w:rPr>
              <w:t xml:space="preserve">  </w:t>
            </w:r>
            <w:r>
              <w:rPr>
                <w:strike/>
                <w:dstrike w:val="0"/>
                <w:color w:val="auto"/>
                <w:spacing w:val="-1"/>
                <w:sz w:val="21"/>
                <w:szCs w:val="21"/>
                <w:highlight w:val="none"/>
              </w:rPr>
              <w:t>标人或联合体中的中小企业需提供。按照招标文件提供的</w:t>
            </w:r>
            <w:r>
              <w:rPr>
                <w:strike/>
                <w:dstrike w:val="0"/>
                <w:color w:val="auto"/>
                <w:spacing w:val="15"/>
                <w:sz w:val="21"/>
                <w:szCs w:val="21"/>
                <w:highlight w:val="none"/>
              </w:rPr>
              <w:t xml:space="preserve"> </w:t>
            </w:r>
            <w:r>
              <w:rPr>
                <w:strike/>
                <w:dstrike w:val="0"/>
                <w:color w:val="auto"/>
                <w:spacing w:val="-5"/>
                <w:sz w:val="21"/>
                <w:szCs w:val="21"/>
                <w:highlight w:val="none"/>
              </w:rPr>
              <w:t>格式条款提供）。</w:t>
            </w:r>
          </w:p>
          <w:p w14:paraId="401080F8">
            <w:pPr>
              <w:pStyle w:val="17"/>
              <w:spacing w:before="61" w:line="218" w:lineRule="auto"/>
              <w:jc w:val="right"/>
              <w:rPr>
                <w:color w:val="auto"/>
                <w:sz w:val="21"/>
                <w:szCs w:val="21"/>
                <w:highlight w:val="none"/>
              </w:rPr>
            </w:pP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15</w:t>
            </w:r>
            <w:r>
              <w:rPr>
                <w:strike/>
                <w:dstrike w:val="0"/>
                <w:color w:val="auto"/>
                <w:spacing w:val="-6"/>
                <w:sz w:val="21"/>
                <w:szCs w:val="21"/>
                <w:highlight w:val="none"/>
              </w:rPr>
              <w:t>．符合招标公告要求的类似项目施工业绩证明材料；</w:t>
            </w:r>
          </w:p>
          <w:p w14:paraId="5261A30D">
            <w:pPr>
              <w:pStyle w:val="17"/>
              <w:spacing w:before="61" w:line="255" w:lineRule="auto"/>
              <w:ind w:left="113" w:right="141" w:firstLine="230"/>
              <w:rPr>
                <w:color w:val="auto"/>
                <w:sz w:val="21"/>
                <w:szCs w:val="21"/>
                <w:highlight w:val="none"/>
              </w:rPr>
            </w:pPr>
            <w:r>
              <w:rPr>
                <w:rFonts w:hint="eastAsia"/>
                <w:color w:val="auto"/>
                <w:spacing w:val="-3"/>
                <w:sz w:val="21"/>
                <w:szCs w:val="21"/>
                <w:highlight w:val="none"/>
                <w:lang w:eastAsia="zh-CN"/>
              </w:rPr>
              <w:t>☑</w:t>
            </w:r>
            <w:r>
              <w:rPr>
                <w:rFonts w:ascii="Times New Roman" w:hAnsi="Times New Roman" w:eastAsia="Times New Roman" w:cs="Times New Roman"/>
                <w:color w:val="auto"/>
                <w:spacing w:val="-3"/>
                <w:sz w:val="21"/>
                <w:szCs w:val="21"/>
                <w:highlight w:val="none"/>
              </w:rPr>
              <w:t>16</w:t>
            </w:r>
            <w:r>
              <w:rPr>
                <w:rFonts w:ascii="Times New Roman" w:hAnsi="Times New Roman" w:eastAsia="Times New Roman" w:cs="Times New Roman"/>
                <w:color w:val="auto"/>
                <w:spacing w:val="-9"/>
                <w:sz w:val="21"/>
                <w:szCs w:val="21"/>
                <w:highlight w:val="none"/>
              </w:rPr>
              <w:t xml:space="preserve"> </w:t>
            </w:r>
            <w:r>
              <w:rPr>
                <w:color w:val="auto"/>
                <w:spacing w:val="-3"/>
                <w:sz w:val="21"/>
                <w:szCs w:val="21"/>
                <w:highlight w:val="none"/>
              </w:rPr>
              <w:t>．投标保证金缴纳证明资料（银行转账记录或银行</w:t>
            </w:r>
            <w:r>
              <w:rPr>
                <w:color w:val="auto"/>
                <w:sz w:val="21"/>
                <w:szCs w:val="21"/>
                <w:highlight w:val="none"/>
              </w:rPr>
              <w:t xml:space="preserve"> </w:t>
            </w:r>
            <w:r>
              <w:rPr>
                <w:color w:val="auto"/>
                <w:spacing w:val="-1"/>
                <w:sz w:val="21"/>
                <w:szCs w:val="21"/>
                <w:highlight w:val="none"/>
              </w:rPr>
              <w:t>保函或保险机构保险保单或或融资担保公司保函</w:t>
            </w:r>
            <w:r>
              <w:rPr>
                <w:rFonts w:hint="eastAsia"/>
                <w:color w:val="auto"/>
                <w:spacing w:val="-1"/>
                <w:sz w:val="21"/>
                <w:szCs w:val="21"/>
                <w:highlight w:val="none"/>
                <w:lang w:val="en-US" w:eastAsia="zh-CN"/>
              </w:rPr>
              <w:t>或数字保函</w:t>
            </w:r>
            <w:r>
              <w:rPr>
                <w:strike/>
                <w:dstrike w:val="0"/>
                <w:color w:val="auto"/>
                <w:spacing w:val="-1"/>
                <w:sz w:val="21"/>
                <w:szCs w:val="21"/>
                <w:highlight w:val="none"/>
              </w:rPr>
              <w:t>或保证金</w:t>
            </w:r>
            <w:r>
              <w:rPr>
                <w:strike/>
                <w:dstrike w:val="0"/>
                <w:color w:val="auto"/>
                <w:spacing w:val="14"/>
                <w:sz w:val="21"/>
                <w:szCs w:val="21"/>
                <w:highlight w:val="none"/>
              </w:rPr>
              <w:t xml:space="preserve"> </w:t>
            </w:r>
            <w:r>
              <w:rPr>
                <w:strike/>
                <w:dstrike w:val="0"/>
                <w:color w:val="auto"/>
                <w:spacing w:val="-10"/>
                <w:sz w:val="21"/>
                <w:szCs w:val="21"/>
                <w:highlight w:val="none"/>
              </w:rPr>
              <w:t>联保证明</w:t>
            </w:r>
            <w:r>
              <w:rPr>
                <w:color w:val="auto"/>
                <w:spacing w:val="-5"/>
                <w:sz w:val="21"/>
                <w:szCs w:val="21"/>
                <w:highlight w:val="none"/>
              </w:rPr>
              <w:t>）；</w:t>
            </w:r>
          </w:p>
          <w:p w14:paraId="61B55329">
            <w:pPr>
              <w:pStyle w:val="17"/>
              <w:spacing w:before="59" w:line="273" w:lineRule="auto"/>
              <w:ind w:left="111" w:right="141" w:firstLine="227"/>
              <w:jc w:val="both"/>
              <w:rPr>
                <w:color w:val="auto"/>
                <w:sz w:val="21"/>
                <w:szCs w:val="21"/>
                <w:highlight w:val="none"/>
              </w:rPr>
            </w:pPr>
            <w:r>
              <w:rPr>
                <w:rFonts w:ascii="Times New Roman" w:hAnsi="Times New Roman" w:eastAsia="Times New Roman" w:cs="Times New Roman"/>
                <w:color w:val="auto"/>
                <w:spacing w:val="-2"/>
                <w:sz w:val="21"/>
                <w:szCs w:val="21"/>
                <w:highlight w:val="none"/>
              </w:rPr>
              <w:t>17</w:t>
            </w:r>
            <w:r>
              <w:rPr>
                <w:rFonts w:ascii="Times New Roman" w:hAnsi="Times New Roman" w:eastAsia="Times New Roman" w:cs="Times New Roman"/>
                <w:color w:val="auto"/>
                <w:spacing w:val="-24"/>
                <w:sz w:val="21"/>
                <w:szCs w:val="21"/>
                <w:highlight w:val="none"/>
              </w:rPr>
              <w:t xml:space="preserve"> </w:t>
            </w:r>
            <w:r>
              <w:rPr>
                <w:color w:val="auto"/>
                <w:spacing w:val="-2"/>
                <w:sz w:val="21"/>
                <w:szCs w:val="21"/>
                <w:highlight w:val="none"/>
              </w:rPr>
              <w:t>．如拟派项目组主要人员资格条件证书中</w:t>
            </w:r>
            <w:r>
              <w:rPr>
                <w:color w:val="auto"/>
                <w:spacing w:val="-3"/>
                <w:sz w:val="21"/>
                <w:szCs w:val="21"/>
                <w:highlight w:val="none"/>
              </w:rPr>
              <w:t>不能显示其</w:t>
            </w:r>
            <w:r>
              <w:rPr>
                <w:color w:val="auto"/>
                <w:sz w:val="21"/>
                <w:szCs w:val="21"/>
                <w:highlight w:val="none"/>
              </w:rPr>
              <w:t xml:space="preserve"> </w:t>
            </w:r>
            <w:r>
              <w:rPr>
                <w:color w:val="auto"/>
                <w:spacing w:val="-1"/>
                <w:sz w:val="21"/>
                <w:szCs w:val="21"/>
                <w:highlight w:val="none"/>
              </w:rPr>
              <w:t>投标人单位的，应提供</w:t>
            </w:r>
            <w:r>
              <w:rPr>
                <w:color w:val="auto"/>
                <w:spacing w:val="-1"/>
                <w:sz w:val="21"/>
                <w:szCs w:val="21"/>
                <w:highlight w:val="none"/>
                <w:u w:val="single" w:color="auto"/>
              </w:rPr>
              <w:t xml:space="preserve"> </w:t>
            </w:r>
            <w:r>
              <w:rPr>
                <w:rFonts w:hint="eastAsia"/>
                <w:color w:val="auto"/>
                <w:spacing w:val="-1"/>
                <w:sz w:val="21"/>
                <w:szCs w:val="21"/>
                <w:highlight w:val="none"/>
                <w:u w:val="single" w:color="auto"/>
                <w:lang w:val="en-US" w:eastAsia="zh-CN"/>
              </w:rPr>
              <w:t>2025</w:t>
            </w:r>
            <w:r>
              <w:rPr>
                <w:color w:val="auto"/>
                <w:spacing w:val="-1"/>
                <w:sz w:val="21"/>
                <w:szCs w:val="21"/>
                <w:highlight w:val="none"/>
                <w:u w:val="single" w:color="auto"/>
              </w:rPr>
              <w:t xml:space="preserve">  </w:t>
            </w:r>
            <w:r>
              <w:rPr>
                <w:color w:val="auto"/>
                <w:spacing w:val="-96"/>
                <w:sz w:val="21"/>
                <w:szCs w:val="21"/>
                <w:highlight w:val="none"/>
              </w:rPr>
              <w:t xml:space="preserve"> </w:t>
            </w:r>
            <w:r>
              <w:rPr>
                <w:color w:val="auto"/>
                <w:spacing w:val="-1"/>
                <w:sz w:val="21"/>
                <w:szCs w:val="21"/>
                <w:highlight w:val="none"/>
              </w:rPr>
              <w:t>年</w:t>
            </w:r>
            <w:r>
              <w:rPr>
                <w:color w:val="auto"/>
                <w:spacing w:val="-1"/>
                <w:sz w:val="21"/>
                <w:szCs w:val="21"/>
                <w:highlight w:val="none"/>
                <w:u w:val="single" w:color="auto"/>
              </w:rPr>
              <w:t xml:space="preserve"> </w:t>
            </w:r>
            <w:r>
              <w:rPr>
                <w:rFonts w:hint="eastAsia"/>
                <w:color w:val="auto"/>
                <w:spacing w:val="-1"/>
                <w:sz w:val="21"/>
                <w:szCs w:val="21"/>
                <w:highlight w:val="none"/>
                <w:u w:val="single" w:color="auto"/>
                <w:lang w:val="en-US" w:eastAsia="zh-CN"/>
              </w:rPr>
              <w:t>05</w:t>
            </w:r>
            <w:r>
              <w:rPr>
                <w:color w:val="auto"/>
                <w:spacing w:val="-1"/>
                <w:sz w:val="21"/>
                <w:szCs w:val="21"/>
                <w:highlight w:val="none"/>
                <w:u w:val="single" w:color="auto"/>
              </w:rPr>
              <w:t xml:space="preserve">  </w:t>
            </w:r>
            <w:r>
              <w:rPr>
                <w:color w:val="auto"/>
                <w:spacing w:val="-92"/>
                <w:sz w:val="21"/>
                <w:szCs w:val="21"/>
                <w:highlight w:val="none"/>
              </w:rPr>
              <w:t xml:space="preserve"> </w:t>
            </w:r>
            <w:r>
              <w:rPr>
                <w:color w:val="auto"/>
                <w:spacing w:val="-1"/>
                <w:sz w:val="21"/>
                <w:szCs w:val="21"/>
                <w:highlight w:val="none"/>
              </w:rPr>
              <w:t>月以来投标人为</w:t>
            </w:r>
            <w:r>
              <w:rPr>
                <w:color w:val="auto"/>
                <w:spacing w:val="-2"/>
                <w:sz w:val="21"/>
                <w:szCs w:val="21"/>
                <w:highlight w:val="none"/>
              </w:rPr>
              <w:t>其缴纳的</w:t>
            </w:r>
            <w:r>
              <w:rPr>
                <w:color w:val="auto"/>
                <w:spacing w:val="-1"/>
                <w:sz w:val="21"/>
                <w:szCs w:val="21"/>
                <w:highlight w:val="none"/>
              </w:rPr>
              <w:t>任意一个月的社保证明，否则视同不是本单位人员</w:t>
            </w:r>
            <w:r>
              <w:rPr>
                <w:b/>
                <w:bCs/>
                <w:color w:val="auto"/>
                <w:spacing w:val="-1"/>
                <w:sz w:val="21"/>
                <w:szCs w:val="21"/>
                <w:highlight w:val="none"/>
              </w:rPr>
              <w:t>。</w:t>
            </w:r>
          </w:p>
          <w:p w14:paraId="16A6AE32">
            <w:pPr>
              <w:pStyle w:val="17"/>
              <w:spacing w:before="59" w:line="246" w:lineRule="auto"/>
              <w:ind w:left="112" w:right="561" w:firstLine="226"/>
              <w:rPr>
                <w:rFonts w:hint="eastAsia" w:ascii="宋体" w:hAnsi="宋体" w:eastAsia="宋体" w:cs="宋体"/>
                <w:color w:val="auto"/>
                <w:spacing w:val="-3"/>
                <w:sz w:val="21"/>
                <w:szCs w:val="21"/>
                <w:highlight w:val="none"/>
                <w:u w:val="single"/>
                <w:lang w:val="en-US" w:eastAsia="zh-CN"/>
              </w:rPr>
            </w:pPr>
            <w:r>
              <w:rPr>
                <w:rFonts w:hint="eastAsia" w:eastAsia="宋体"/>
                <w:color w:val="auto"/>
                <w:spacing w:val="-6"/>
                <w:sz w:val="21"/>
                <w:szCs w:val="21"/>
                <w:highlight w:val="none"/>
                <w:lang w:eastAsia="zh-CN"/>
              </w:rPr>
              <w:t>☑</w:t>
            </w:r>
            <w:r>
              <w:rPr>
                <w:rFonts w:hint="eastAsia" w:ascii="宋体" w:hAnsi="宋体" w:eastAsia="宋体" w:cs="宋体"/>
                <w:color w:val="auto"/>
                <w:spacing w:val="-3"/>
                <w:sz w:val="21"/>
                <w:szCs w:val="21"/>
                <w:highlight w:val="none"/>
                <w:u w:val="single"/>
                <w:lang w:val="en-US" w:eastAsia="en-US"/>
              </w:rPr>
              <w:t xml:space="preserve">18. </w:t>
            </w:r>
            <w:r>
              <w:rPr>
                <w:rFonts w:hint="eastAsia" w:ascii="宋体" w:hAnsi="宋体" w:eastAsia="宋体" w:cs="宋体"/>
                <w:color w:val="auto"/>
                <w:spacing w:val="-3"/>
                <w:sz w:val="21"/>
                <w:szCs w:val="21"/>
                <w:highlight w:val="none"/>
                <w:u w:val="single"/>
                <w:lang w:val="en-US" w:eastAsia="zh-CN"/>
              </w:rPr>
              <w:t>拟派项目负责人须为投标企业在职职工（在职职工不包括离、退休返聘人员），须提供缴费期限包含2025年0</w:t>
            </w:r>
            <w:r>
              <w:rPr>
                <w:rFonts w:hint="eastAsia" w:cs="宋体"/>
                <w:color w:val="auto"/>
                <w:spacing w:val="-3"/>
                <w:sz w:val="21"/>
                <w:szCs w:val="21"/>
                <w:highlight w:val="none"/>
                <w:u w:val="single"/>
                <w:lang w:val="en-US" w:eastAsia="zh-CN"/>
              </w:rPr>
              <w:t>5</w:t>
            </w:r>
            <w:r>
              <w:rPr>
                <w:rFonts w:hint="eastAsia" w:ascii="宋体" w:hAnsi="宋体" w:eastAsia="宋体" w:cs="宋体"/>
                <w:color w:val="auto"/>
                <w:spacing w:val="-3"/>
                <w:sz w:val="21"/>
                <w:szCs w:val="21"/>
                <w:highlight w:val="none"/>
                <w:u w:val="single"/>
                <w:lang w:val="en-US" w:eastAsia="zh-CN"/>
              </w:rPr>
              <w:t>月至2025年0</w:t>
            </w:r>
            <w:r>
              <w:rPr>
                <w:rFonts w:hint="eastAsia" w:cs="宋体"/>
                <w:color w:val="auto"/>
                <w:spacing w:val="-3"/>
                <w:sz w:val="21"/>
                <w:szCs w:val="21"/>
                <w:highlight w:val="none"/>
                <w:u w:val="single"/>
                <w:lang w:val="en-US" w:eastAsia="zh-CN"/>
              </w:rPr>
              <w:t>7</w:t>
            </w:r>
            <w:r>
              <w:rPr>
                <w:rFonts w:hint="eastAsia" w:ascii="宋体" w:hAnsi="宋体" w:eastAsia="宋体" w:cs="宋体"/>
                <w:color w:val="auto"/>
                <w:spacing w:val="-3"/>
                <w:sz w:val="21"/>
                <w:szCs w:val="21"/>
                <w:highlight w:val="none"/>
                <w:u w:val="single"/>
                <w:lang w:val="en-US" w:eastAsia="zh-CN"/>
              </w:rPr>
              <w:t>月的投标人所属社保机构养老保险交纳清单或证明【缴费单位和投标单位名称必须一致，非独立法人的分公司社保，也予以认可，并加盖社保缴费证明专用章（或电子专用章）】。</w:t>
            </w:r>
          </w:p>
          <w:p w14:paraId="74ECBCE2">
            <w:pPr>
              <w:pStyle w:val="17"/>
              <w:spacing w:before="59" w:line="246" w:lineRule="auto"/>
              <w:ind w:left="112" w:right="561" w:firstLine="226"/>
              <w:rPr>
                <w:rFonts w:hint="eastAsia" w:ascii="宋体" w:hAnsi="宋体" w:eastAsia="宋体" w:cs="宋体"/>
                <w:color w:val="auto"/>
                <w:spacing w:val="-3"/>
                <w:sz w:val="21"/>
                <w:szCs w:val="21"/>
                <w:highlight w:val="none"/>
                <w:u w:val="single"/>
                <w:lang w:val="en-US" w:eastAsia="zh-CN"/>
              </w:rPr>
            </w:pPr>
            <w:r>
              <w:rPr>
                <w:rFonts w:hint="eastAsia" w:ascii="宋体" w:hAnsi="宋体" w:eastAsia="宋体" w:cs="宋体"/>
                <w:color w:val="auto"/>
                <w:spacing w:val="-3"/>
                <w:sz w:val="21"/>
                <w:szCs w:val="21"/>
                <w:highlight w:val="none"/>
                <w:u w:val="single"/>
                <w:lang w:val="en-US" w:eastAsia="zh-CN"/>
              </w:rPr>
              <w:t>19.根据《住房和城乡建设部办公厅关于全面实行一级建造师电子注册证书的通知》（建办市〔2021〕40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p w14:paraId="7707DBB0">
            <w:pPr>
              <w:pStyle w:val="17"/>
              <w:spacing w:before="59" w:line="246" w:lineRule="auto"/>
              <w:ind w:left="112" w:right="561" w:firstLine="226"/>
              <w:rPr>
                <w:rFonts w:hint="default" w:ascii="宋体" w:hAnsi="宋体" w:eastAsia="宋体" w:cs="宋体"/>
                <w:color w:val="auto"/>
                <w:spacing w:val="-3"/>
                <w:sz w:val="21"/>
                <w:szCs w:val="21"/>
                <w:highlight w:val="none"/>
                <w:lang w:val="en-US" w:eastAsia="en-US"/>
              </w:rPr>
            </w:pPr>
            <w:r>
              <w:rPr>
                <w:rFonts w:hint="eastAsia" w:ascii="宋体" w:hAnsi="宋体" w:eastAsia="宋体" w:cs="宋体"/>
                <w:color w:val="auto"/>
                <w:spacing w:val="-3"/>
                <w:sz w:val="21"/>
                <w:szCs w:val="21"/>
                <w:highlight w:val="none"/>
                <w:lang w:val="en-US" w:eastAsia="zh-CN"/>
              </w:rPr>
              <w:t>20.</w:t>
            </w:r>
            <w:r>
              <w:rPr>
                <w:rFonts w:hint="eastAsia" w:ascii="宋体" w:hAnsi="宋体" w:eastAsia="宋体" w:cs="宋体"/>
                <w:color w:val="auto"/>
                <w:spacing w:val="-3"/>
                <w:sz w:val="21"/>
                <w:szCs w:val="21"/>
                <w:highlight w:val="none"/>
                <w:u w:val="single"/>
                <w:lang w:val="en-US" w:eastAsia="zh-CN"/>
              </w:rPr>
              <w:t>投标人及其法定代表人、拟派项目负责人自2022年1月1日至投标截止时间（不得少于3年）无行贿犯罪记录（以中国裁判文书网（</w:t>
            </w:r>
            <w:r>
              <w:rPr>
                <w:rFonts w:hint="eastAsia" w:ascii="宋体" w:hAnsi="宋体" w:eastAsia="宋体" w:cs="宋体"/>
                <w:color w:val="auto"/>
                <w:spacing w:val="-3"/>
                <w:sz w:val="21"/>
                <w:szCs w:val="21"/>
                <w:highlight w:val="none"/>
                <w:u w:val="single"/>
                <w:lang w:val="en-US" w:eastAsia="zh-CN"/>
              </w:rPr>
              <w:fldChar w:fldCharType="begin"/>
            </w:r>
            <w:r>
              <w:rPr>
                <w:rFonts w:hint="eastAsia" w:ascii="宋体" w:hAnsi="宋体" w:eastAsia="宋体" w:cs="宋体"/>
                <w:color w:val="auto"/>
                <w:spacing w:val="-3"/>
                <w:sz w:val="21"/>
                <w:szCs w:val="21"/>
                <w:highlight w:val="none"/>
                <w:u w:val="single"/>
                <w:lang w:val="en-US" w:eastAsia="zh-CN"/>
              </w:rPr>
              <w:instrText xml:space="preserve"> HYPERLINK "http://wenshu.court.gov.cn/" </w:instrText>
            </w:r>
            <w:r>
              <w:rPr>
                <w:rFonts w:hint="eastAsia" w:ascii="宋体" w:hAnsi="宋体" w:eastAsia="宋体" w:cs="宋体"/>
                <w:color w:val="auto"/>
                <w:spacing w:val="-3"/>
                <w:sz w:val="21"/>
                <w:szCs w:val="21"/>
                <w:highlight w:val="none"/>
                <w:u w:val="single"/>
                <w:lang w:val="en-US" w:eastAsia="zh-CN"/>
              </w:rPr>
              <w:fldChar w:fldCharType="separate"/>
            </w:r>
            <w:r>
              <w:rPr>
                <w:rFonts w:hint="eastAsia" w:ascii="宋体" w:hAnsi="宋体" w:eastAsia="宋体" w:cs="宋体"/>
                <w:color w:val="auto"/>
                <w:spacing w:val="-3"/>
                <w:sz w:val="21"/>
                <w:szCs w:val="21"/>
                <w:highlight w:val="none"/>
                <w:u w:val="single"/>
                <w:lang w:val="en-US" w:eastAsia="zh-CN"/>
              </w:rPr>
              <w:t>http://wenshu.court.gov.cn/</w:t>
            </w:r>
            <w:r>
              <w:rPr>
                <w:rFonts w:hint="eastAsia" w:ascii="宋体" w:hAnsi="宋体" w:eastAsia="宋体" w:cs="宋体"/>
                <w:color w:val="auto"/>
                <w:spacing w:val="-3"/>
                <w:sz w:val="21"/>
                <w:szCs w:val="21"/>
                <w:highlight w:val="none"/>
                <w:u w:val="single"/>
                <w:lang w:val="en-US" w:eastAsia="zh-CN"/>
              </w:rPr>
              <w:fldChar w:fldCharType="end"/>
            </w:r>
            <w:r>
              <w:rPr>
                <w:rFonts w:hint="eastAsia" w:ascii="宋体" w:hAnsi="宋体" w:eastAsia="宋体" w:cs="宋体"/>
                <w:color w:val="auto"/>
                <w:spacing w:val="-3"/>
                <w:sz w:val="21"/>
                <w:szCs w:val="21"/>
                <w:highlight w:val="none"/>
                <w:u w:val="single"/>
                <w:lang w:val="en-US" w:eastAsia="zh-CN"/>
              </w:rPr>
              <w:t>）查询结果为准）。</w:t>
            </w:r>
            <w:r>
              <w:rPr>
                <w:rFonts w:hint="eastAsia" w:ascii="宋体" w:hAnsi="宋体" w:eastAsia="宋体" w:cs="宋体"/>
                <w:b/>
                <w:bCs/>
                <w:color w:val="auto"/>
                <w:spacing w:val="-3"/>
                <w:sz w:val="21"/>
                <w:szCs w:val="21"/>
                <w:highlight w:val="none"/>
                <w:u w:val="single"/>
                <w:lang w:val="en-US" w:eastAsia="zh-CN"/>
              </w:rPr>
              <w:t>（需提供网页查询结果截图）</w:t>
            </w:r>
          </w:p>
          <w:p w14:paraId="62C94C2C">
            <w:pPr>
              <w:pStyle w:val="17"/>
              <w:spacing w:before="59" w:line="246" w:lineRule="auto"/>
              <w:ind w:left="112" w:right="561" w:firstLine="226"/>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21.</w:t>
            </w:r>
            <w:r>
              <w:rPr>
                <w:rFonts w:ascii="Times New Roman" w:hAnsi="Times New Roman" w:cs="Times New Roman"/>
                <w:color w:val="auto"/>
                <w:sz w:val="21"/>
                <w:szCs w:val="21"/>
                <w:highlight w:val="none"/>
                <w:u w:val="single"/>
              </w:rPr>
              <w:t>投标人及其法定代表人、拟派项目负责人未被列入失信被执行人名单（以“信用中国”网站（</w:t>
            </w:r>
            <w:r>
              <w:rPr>
                <w:rFonts w:ascii="Times New Roman" w:hAnsi="Times New Roman" w:eastAsia="Times New Roman" w:cs="Times New Roman"/>
                <w:color w:val="auto"/>
                <w:sz w:val="21"/>
                <w:szCs w:val="21"/>
                <w:highlight w:val="none"/>
                <w:u w:val="single"/>
              </w:rPr>
              <w:t>www.creditchina.gov.cn</w:t>
            </w:r>
            <w:r>
              <w:rPr>
                <w:rFonts w:ascii="Times New Roman" w:hAnsi="Times New Roman" w:cs="Times New Roman"/>
                <w:color w:val="auto"/>
                <w:sz w:val="21"/>
                <w:szCs w:val="21"/>
                <w:highlight w:val="none"/>
                <w:u w:val="single"/>
              </w:rPr>
              <w:t>）查询为准）</w:t>
            </w:r>
            <w:r>
              <w:rPr>
                <w:rFonts w:hint="eastAsia" w:ascii="Times New Roman" w:hAnsi="Times New Roman" w:cs="Times New Roman"/>
                <w:b/>
                <w:bCs/>
                <w:color w:val="auto"/>
                <w:sz w:val="21"/>
                <w:szCs w:val="21"/>
                <w:highlight w:val="none"/>
                <w:u w:val="single"/>
                <w:lang w:eastAsia="zh-CN"/>
              </w:rPr>
              <w:t>（</w:t>
            </w:r>
            <w:r>
              <w:rPr>
                <w:rFonts w:hint="eastAsia" w:ascii="Times New Roman" w:hAnsi="Times New Roman" w:cs="Times New Roman"/>
                <w:b/>
                <w:bCs/>
                <w:color w:val="auto"/>
                <w:sz w:val="21"/>
                <w:szCs w:val="21"/>
                <w:highlight w:val="none"/>
                <w:u w:val="single"/>
                <w:lang w:val="en-US" w:eastAsia="zh-CN"/>
              </w:rPr>
              <w:t>需提供网页查询结果截图</w:t>
            </w:r>
            <w:r>
              <w:rPr>
                <w:rFonts w:hint="eastAsia" w:ascii="Times New Roman" w:hAnsi="Times New Roman" w:cs="Times New Roman"/>
                <w:b/>
                <w:bCs/>
                <w:color w:val="auto"/>
                <w:sz w:val="21"/>
                <w:szCs w:val="21"/>
                <w:highlight w:val="none"/>
                <w:u w:val="single"/>
                <w:lang w:eastAsia="zh-CN"/>
              </w:rPr>
              <w:t>）</w:t>
            </w:r>
          </w:p>
          <w:p w14:paraId="04C925B8">
            <w:pPr>
              <w:pStyle w:val="17"/>
              <w:autoSpaceDE/>
              <w:autoSpaceDN/>
              <w:spacing w:line="240" w:lineRule="exact"/>
              <w:ind w:firstLine="376" w:firstLineChars="200"/>
              <w:rPr>
                <w:rFonts w:ascii="Times New Roman" w:hAnsi="Times New Roman" w:cs="Times New Roman"/>
                <w:strike/>
                <w:color w:val="auto"/>
                <w:sz w:val="22"/>
                <w:szCs w:val="22"/>
                <w:highlight w:val="none"/>
                <w:lang w:eastAsia="zh-CN"/>
              </w:rPr>
            </w:pPr>
            <w:r>
              <w:rPr>
                <w:rFonts w:hint="eastAsia"/>
                <w:color w:val="auto"/>
                <w:spacing w:val="-11"/>
                <w:sz w:val="21"/>
                <w:szCs w:val="21"/>
                <w:highlight w:val="none"/>
                <w:lang w:eastAsia="zh-CN"/>
              </w:rPr>
              <w:t>☑</w:t>
            </w:r>
            <w:r>
              <w:rPr>
                <w:color w:val="auto"/>
                <w:spacing w:val="-11"/>
                <w:sz w:val="21"/>
                <w:szCs w:val="21"/>
                <w:highlight w:val="none"/>
              </w:rPr>
              <w:t>二、评审打分资料</w:t>
            </w:r>
            <w:r>
              <w:rPr>
                <w:color w:val="auto"/>
                <w:spacing w:val="-7"/>
                <w:sz w:val="21"/>
                <w:szCs w:val="21"/>
                <w:highlight w:val="none"/>
              </w:rPr>
              <w:t>：</w:t>
            </w:r>
            <w:r>
              <w:rPr>
                <w:color w:val="auto"/>
                <w:spacing w:val="-44"/>
                <w:sz w:val="21"/>
                <w:szCs w:val="21"/>
                <w:highlight w:val="none"/>
              </w:rPr>
              <w:t xml:space="preserve"> </w:t>
            </w:r>
            <w:r>
              <w:rPr>
                <w:rFonts w:ascii="Times New Roman" w:hAnsi="Times New Roman" w:cs="Times New Roman"/>
                <w:color w:val="auto"/>
                <w:sz w:val="21"/>
                <w:szCs w:val="21"/>
                <w:highlight w:val="none"/>
                <w:u w:val="single"/>
                <w:lang w:eastAsia="zh-CN"/>
              </w:rPr>
              <w:t>1.符合评审打分要求的信用等级证明材料。</w:t>
            </w:r>
          </w:p>
          <w:p w14:paraId="4E2A0E1A">
            <w:pPr>
              <w:pStyle w:val="17"/>
              <w:tabs>
                <w:tab w:val="left" w:pos="731"/>
              </w:tabs>
              <w:spacing w:before="58" w:line="219" w:lineRule="auto"/>
              <w:ind w:left="513"/>
              <w:rPr>
                <w:rFonts w:ascii="Arial"/>
                <w:color w:val="auto"/>
                <w:sz w:val="21"/>
                <w:highlight w:val="none"/>
              </w:rPr>
            </w:pPr>
            <w:r>
              <w:rPr>
                <w:rFonts w:ascii="Times New Roman" w:hAnsi="Times New Roman" w:cs="Times New Roman"/>
                <w:color w:val="auto"/>
                <w:sz w:val="21"/>
                <w:szCs w:val="21"/>
                <w:highlight w:val="none"/>
                <w:u w:val="single"/>
                <w:lang w:eastAsia="zh-CN"/>
              </w:rPr>
              <w:tab/>
            </w:r>
            <w:r>
              <w:rPr>
                <w:rFonts w:ascii="Times New Roman" w:hAnsi="Times New Roman" w:cs="Times New Roman"/>
                <w:color w:val="auto"/>
                <w:sz w:val="21"/>
                <w:szCs w:val="21"/>
                <w:highlight w:val="none"/>
                <w:u w:val="single"/>
                <w:lang w:eastAsia="zh-CN"/>
              </w:rPr>
              <w:t>根据评标办法要求提供</w:t>
            </w:r>
          </w:p>
          <w:p w14:paraId="070289FB">
            <w:pPr>
              <w:pStyle w:val="17"/>
              <w:spacing w:before="69" w:line="272" w:lineRule="auto"/>
              <w:ind w:left="114" w:right="103" w:firstLine="231"/>
              <w:jc w:val="both"/>
              <w:rPr>
                <w:color w:val="auto"/>
                <w:sz w:val="21"/>
                <w:szCs w:val="21"/>
                <w:highlight w:val="none"/>
              </w:rPr>
            </w:pPr>
            <w:r>
              <w:rPr>
                <w:color w:val="auto"/>
                <w:sz w:val="21"/>
                <w:szCs w:val="21"/>
                <w:highlight w:val="none"/>
              </w:rPr>
              <w:t>以上一、二条涉及证书均应在有效期内（已在有效期外</w:t>
            </w:r>
            <w:r>
              <w:rPr>
                <w:color w:val="auto"/>
                <w:spacing w:val="4"/>
                <w:sz w:val="21"/>
                <w:szCs w:val="21"/>
                <w:highlight w:val="none"/>
              </w:rPr>
              <w:t xml:space="preserve"> </w:t>
            </w:r>
            <w:r>
              <w:rPr>
                <w:color w:val="auto"/>
                <w:spacing w:val="1"/>
                <w:sz w:val="21"/>
                <w:szCs w:val="21"/>
                <w:highlight w:val="none"/>
              </w:rPr>
              <w:t xml:space="preserve">尚在办理延期过程中的视为无效；注册建造师证书按实质 </w:t>
            </w:r>
            <w:r>
              <w:rPr>
                <w:color w:val="auto"/>
                <w:spacing w:val="-3"/>
                <w:sz w:val="21"/>
                <w:szCs w:val="21"/>
                <w:highlight w:val="none"/>
              </w:rPr>
              <w:t>性响应招标文件资料第</w:t>
            </w:r>
            <w:r>
              <w:rPr>
                <w:rFonts w:ascii="Times New Roman" w:hAnsi="Times New Roman" w:eastAsia="Times New Roman" w:cs="Times New Roman"/>
                <w:color w:val="auto"/>
                <w:spacing w:val="-3"/>
                <w:sz w:val="21"/>
                <w:szCs w:val="21"/>
                <w:highlight w:val="none"/>
              </w:rPr>
              <w:t>7</w:t>
            </w:r>
            <w:r>
              <w:rPr>
                <w:color w:val="auto"/>
                <w:spacing w:val="-3"/>
                <w:sz w:val="21"/>
                <w:szCs w:val="21"/>
                <w:highlight w:val="none"/>
              </w:rPr>
              <w:t>条处理）。资料应在投标文件中附</w:t>
            </w:r>
            <w:r>
              <w:rPr>
                <w:color w:val="auto"/>
                <w:sz w:val="21"/>
                <w:szCs w:val="21"/>
                <w:highlight w:val="none"/>
              </w:rPr>
              <w:t xml:space="preserve"> </w:t>
            </w:r>
            <w:r>
              <w:rPr>
                <w:color w:val="auto"/>
                <w:spacing w:val="-3"/>
                <w:sz w:val="21"/>
                <w:szCs w:val="21"/>
                <w:highlight w:val="none"/>
              </w:rPr>
              <w:t>复制件，并加盖投标人公章。</w:t>
            </w:r>
          </w:p>
          <w:p w14:paraId="1508BF09">
            <w:pPr>
              <w:pStyle w:val="17"/>
              <w:spacing w:before="2" w:line="272" w:lineRule="auto"/>
              <w:ind w:left="113" w:right="103" w:firstLine="212"/>
              <w:jc w:val="both"/>
              <w:rPr>
                <w:color w:val="auto"/>
                <w:sz w:val="21"/>
                <w:szCs w:val="21"/>
                <w:highlight w:val="none"/>
              </w:rPr>
            </w:pPr>
            <w:r>
              <w:rPr>
                <w:color w:val="auto"/>
                <w:spacing w:val="1"/>
                <w:sz w:val="21"/>
                <w:szCs w:val="21"/>
                <w:highlight w:val="none"/>
              </w:rPr>
              <w:t>如评标委员会要</w:t>
            </w:r>
            <w:r>
              <w:rPr>
                <w:rFonts w:hint="eastAsia"/>
                <w:color w:val="auto"/>
                <w:spacing w:val="1"/>
                <w:sz w:val="21"/>
                <w:szCs w:val="21"/>
                <w:highlight w:val="none"/>
                <w:lang w:val="en-US" w:eastAsia="zh-CN"/>
              </w:rPr>
              <w:t>求</w:t>
            </w:r>
            <w:r>
              <w:rPr>
                <w:color w:val="auto"/>
                <w:spacing w:val="1"/>
                <w:sz w:val="21"/>
                <w:szCs w:val="21"/>
                <w:highlight w:val="none"/>
              </w:rPr>
              <w:t>时，提供的资料不得超过投标文件的范围或者改变投标文件实质性内容，具体要求如</w:t>
            </w:r>
            <w:r>
              <w:rPr>
                <w:color w:val="auto"/>
                <w:spacing w:val="-15"/>
                <w:sz w:val="21"/>
                <w:szCs w:val="21"/>
                <w:highlight w:val="none"/>
              </w:rPr>
              <w:t>下：</w:t>
            </w:r>
          </w:p>
          <w:p w14:paraId="64FB06B7">
            <w:pPr>
              <w:pStyle w:val="17"/>
              <w:spacing w:before="4" w:line="259" w:lineRule="auto"/>
              <w:ind w:left="97" w:right="103" w:firstLine="241"/>
              <w:rPr>
                <w:color w:val="auto"/>
                <w:sz w:val="22"/>
                <w:szCs w:val="22"/>
                <w:highlight w:val="none"/>
              </w:rPr>
            </w:pPr>
            <w:r>
              <w:rPr>
                <w:rFonts w:ascii="Times New Roman" w:hAnsi="Times New Roman" w:eastAsia="Times New Roman" w:cs="Times New Roman"/>
                <w:color w:val="auto"/>
                <w:spacing w:val="-4"/>
                <w:sz w:val="21"/>
                <w:szCs w:val="21"/>
                <w:highlight w:val="none"/>
              </w:rPr>
              <w:t>1</w:t>
            </w:r>
            <w:r>
              <w:rPr>
                <w:color w:val="auto"/>
                <w:spacing w:val="-4"/>
                <w:sz w:val="21"/>
                <w:szCs w:val="21"/>
                <w:highlight w:val="none"/>
              </w:rPr>
              <w:t>）企业营业执照、企业资质证书、安全生产许可证、各</w:t>
            </w:r>
            <w:r>
              <w:rPr>
                <w:color w:val="auto"/>
                <w:spacing w:val="7"/>
                <w:sz w:val="21"/>
                <w:szCs w:val="21"/>
                <w:highlight w:val="none"/>
              </w:rPr>
              <w:t xml:space="preserve"> </w:t>
            </w:r>
            <w:r>
              <w:rPr>
                <w:color w:val="auto"/>
                <w:spacing w:val="1"/>
                <w:sz w:val="21"/>
                <w:szCs w:val="21"/>
                <w:highlight w:val="none"/>
              </w:rPr>
              <w:t>类人员证书等已在有关行政主管部门（包括浙江省水利厅</w:t>
            </w:r>
            <w:r>
              <w:rPr>
                <w:color w:val="auto"/>
                <w:spacing w:val="18"/>
                <w:sz w:val="21"/>
                <w:szCs w:val="21"/>
                <w:highlight w:val="none"/>
              </w:rPr>
              <w:t xml:space="preserve"> </w:t>
            </w:r>
            <w:r>
              <w:rPr>
                <w:color w:val="auto"/>
                <w:spacing w:val="1"/>
                <w:sz w:val="21"/>
                <w:szCs w:val="21"/>
                <w:highlight w:val="none"/>
              </w:rPr>
              <w:t>“浙江省水利建设市场信息”公示）或有电子件的，投标</w:t>
            </w:r>
            <w:r>
              <w:rPr>
                <w:color w:val="auto"/>
                <w:spacing w:val="18"/>
                <w:sz w:val="21"/>
                <w:szCs w:val="21"/>
                <w:highlight w:val="none"/>
              </w:rPr>
              <w:t xml:space="preserve"> </w:t>
            </w:r>
            <w:r>
              <w:rPr>
                <w:color w:val="auto"/>
                <w:spacing w:val="10"/>
                <w:sz w:val="21"/>
                <w:szCs w:val="21"/>
                <w:highlight w:val="none"/>
              </w:rPr>
              <w:t>人必须在评标委员会规定的时间内提供网页截图或电子</w:t>
            </w:r>
            <w:r>
              <w:rPr>
                <w:color w:val="auto"/>
                <w:spacing w:val="13"/>
                <w:sz w:val="21"/>
                <w:szCs w:val="21"/>
                <w:highlight w:val="none"/>
              </w:rPr>
              <w:t xml:space="preserve"> </w:t>
            </w:r>
            <w:r>
              <w:rPr>
                <w:color w:val="auto"/>
                <w:spacing w:val="-12"/>
                <w:sz w:val="21"/>
                <w:szCs w:val="21"/>
                <w:highlight w:val="none"/>
              </w:rPr>
              <w:t>件。</w:t>
            </w:r>
            <w:r>
              <w:rPr>
                <w:color w:val="auto"/>
                <w:spacing w:val="-48"/>
                <w:sz w:val="21"/>
                <w:szCs w:val="21"/>
                <w:highlight w:val="none"/>
              </w:rPr>
              <w:t xml:space="preserve"> </w:t>
            </w:r>
            <w:r>
              <w:rPr>
                <w:i/>
                <w:iCs/>
                <w:color w:val="auto"/>
                <w:spacing w:val="-12"/>
                <w:sz w:val="22"/>
                <w:szCs w:val="22"/>
                <w:highlight w:val="none"/>
              </w:rPr>
              <w:t>（不再要求提交原件）</w:t>
            </w:r>
          </w:p>
          <w:p w14:paraId="24AEE5EC">
            <w:pPr>
              <w:pStyle w:val="17"/>
              <w:spacing w:before="61" w:line="254" w:lineRule="auto"/>
              <w:ind w:left="113" w:right="103" w:firstLine="205"/>
              <w:rPr>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2</w:t>
            </w:r>
            <w:r>
              <w:rPr>
                <w:strike/>
                <w:dstrike w:val="0"/>
                <w:color w:val="auto"/>
                <w:spacing w:val="-3"/>
                <w:sz w:val="21"/>
                <w:szCs w:val="21"/>
                <w:highlight w:val="none"/>
              </w:rPr>
              <w:t>）其他未在有关行政主管部门（包括浙江省水利厅“浙</w:t>
            </w:r>
            <w:r>
              <w:rPr>
                <w:strike/>
                <w:dstrike w:val="0"/>
                <w:color w:val="auto"/>
                <w:spacing w:val="2"/>
                <w:sz w:val="21"/>
                <w:szCs w:val="21"/>
                <w:highlight w:val="none"/>
              </w:rPr>
              <w:t xml:space="preserve"> </w:t>
            </w:r>
            <w:r>
              <w:rPr>
                <w:strike/>
                <w:dstrike w:val="0"/>
                <w:color w:val="auto"/>
                <w:spacing w:val="1"/>
                <w:sz w:val="21"/>
                <w:szCs w:val="21"/>
                <w:highlight w:val="none"/>
              </w:rPr>
              <w:t>江省水利建设市场信息”公示）的材料，投标人必须在评</w:t>
            </w:r>
            <w:r>
              <w:rPr>
                <w:strike/>
                <w:dstrike w:val="0"/>
                <w:color w:val="auto"/>
                <w:spacing w:val="3"/>
                <w:sz w:val="21"/>
                <w:szCs w:val="21"/>
                <w:highlight w:val="none"/>
              </w:rPr>
              <w:t xml:space="preserve"> </w:t>
            </w:r>
            <w:r>
              <w:rPr>
                <w:strike/>
                <w:dstrike w:val="0"/>
                <w:color w:val="auto"/>
                <w:spacing w:val="-3"/>
                <w:sz w:val="21"/>
                <w:szCs w:val="21"/>
                <w:highlight w:val="none"/>
              </w:rPr>
              <w:t>标委员会规定的时间内送达。</w:t>
            </w:r>
            <w:r>
              <w:rPr>
                <w:rFonts w:hint="eastAsia" w:ascii="Times New Roman" w:hAnsi="Times New Roman" w:cs="Times New Roman"/>
                <w:color w:val="auto"/>
                <w:sz w:val="21"/>
                <w:szCs w:val="21"/>
                <w:highlight w:val="none"/>
                <w:lang w:eastAsia="zh-CN"/>
              </w:rPr>
              <w:t>中标后由招标人对</w:t>
            </w:r>
            <w:r>
              <w:rPr>
                <w:rFonts w:ascii="Times New Roman" w:hAnsi="Times New Roman" w:cs="Times New Roman"/>
                <w:color w:val="auto"/>
                <w:sz w:val="21"/>
                <w:szCs w:val="21"/>
                <w:highlight w:val="none"/>
                <w:lang w:eastAsia="zh-CN"/>
              </w:rPr>
              <w:t>原件核查</w:t>
            </w:r>
            <w:r>
              <w:rPr>
                <w:rFonts w:hint="eastAsia" w:ascii="Times New Roman" w:hAnsi="Times New Roman" w:cs="Times New Roman"/>
                <w:color w:val="auto"/>
                <w:sz w:val="21"/>
                <w:szCs w:val="21"/>
                <w:highlight w:val="none"/>
                <w:lang w:eastAsia="zh-CN"/>
              </w:rPr>
              <w:t>，如有造假，取消其中标资格；并投标保证金不予退还。</w:t>
            </w:r>
          </w:p>
          <w:p w14:paraId="5C8D25E7">
            <w:pPr>
              <w:pStyle w:val="17"/>
              <w:spacing w:before="62" w:line="256" w:lineRule="auto"/>
              <w:ind w:left="111" w:right="103" w:firstLine="211"/>
              <w:jc w:val="both"/>
              <w:rPr>
                <w:color w:val="auto"/>
                <w:sz w:val="21"/>
                <w:szCs w:val="21"/>
                <w:highlight w:val="none"/>
              </w:rPr>
            </w:pPr>
            <w:r>
              <w:rPr>
                <w:color w:val="auto"/>
                <w:spacing w:val="1"/>
                <w:sz w:val="21"/>
                <w:szCs w:val="21"/>
                <w:highlight w:val="none"/>
              </w:rPr>
              <w:t>若投标文件中未附上述资料或未能在规定的时间内提供</w:t>
            </w:r>
            <w:r>
              <w:rPr>
                <w:color w:val="auto"/>
                <w:spacing w:val="3"/>
                <w:sz w:val="21"/>
                <w:szCs w:val="21"/>
                <w:highlight w:val="none"/>
              </w:rPr>
              <w:t xml:space="preserve"> </w:t>
            </w:r>
            <w:r>
              <w:rPr>
                <w:color w:val="auto"/>
                <w:spacing w:val="1"/>
                <w:sz w:val="21"/>
                <w:szCs w:val="21"/>
                <w:highlight w:val="none"/>
              </w:rPr>
              <w:t>截图（或电子件）的，属招标文件实质性要求响应资料的，评标委员会将按相关证明资料缺少或无效</w:t>
            </w:r>
            <w:r>
              <w:rPr>
                <w:color w:val="auto"/>
                <w:spacing w:val="-2"/>
                <w:sz w:val="21"/>
                <w:szCs w:val="21"/>
                <w:highlight w:val="none"/>
              </w:rPr>
              <w:t>处理；属打分评审资料的，按相应评分内容不得分处理。</w:t>
            </w:r>
          </w:p>
        </w:tc>
      </w:tr>
      <w:tr w14:paraId="74E16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952" w:type="dxa"/>
            <w:tcBorders>
              <w:left w:val="single" w:color="000000" w:sz="6" w:space="0"/>
            </w:tcBorders>
            <w:vAlign w:val="top"/>
          </w:tcPr>
          <w:p w14:paraId="126D21E1">
            <w:pPr>
              <w:spacing w:before="232" w:line="188"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10.4</w:t>
            </w:r>
          </w:p>
        </w:tc>
        <w:tc>
          <w:tcPr>
            <w:tcW w:w="2444" w:type="dxa"/>
            <w:vAlign w:val="top"/>
          </w:tcPr>
          <w:p w14:paraId="10C3DD83">
            <w:pPr>
              <w:pStyle w:val="17"/>
              <w:spacing w:before="60" w:line="235" w:lineRule="auto"/>
              <w:ind w:left="107" w:right="108" w:firstLine="20"/>
              <w:rPr>
                <w:color w:val="auto"/>
                <w:sz w:val="21"/>
                <w:szCs w:val="21"/>
                <w:highlight w:val="none"/>
              </w:rPr>
            </w:pPr>
            <w:r>
              <w:rPr>
                <w:color w:val="auto"/>
                <w:spacing w:val="10"/>
                <w:sz w:val="21"/>
                <w:szCs w:val="21"/>
                <w:highlight w:val="none"/>
              </w:rPr>
              <w:t>中标后须提交的投标文</w:t>
            </w:r>
            <w:r>
              <w:rPr>
                <w:color w:val="auto"/>
                <w:spacing w:val="1"/>
                <w:sz w:val="21"/>
                <w:szCs w:val="21"/>
                <w:highlight w:val="none"/>
              </w:rPr>
              <w:t xml:space="preserve"> </w:t>
            </w:r>
            <w:r>
              <w:rPr>
                <w:color w:val="auto"/>
                <w:spacing w:val="-2"/>
                <w:sz w:val="21"/>
                <w:szCs w:val="21"/>
                <w:highlight w:val="none"/>
              </w:rPr>
              <w:t>件副本份数</w:t>
            </w:r>
          </w:p>
        </w:tc>
        <w:tc>
          <w:tcPr>
            <w:tcW w:w="5506" w:type="dxa"/>
            <w:tcBorders>
              <w:right w:val="single" w:color="000000" w:sz="6" w:space="0"/>
            </w:tcBorders>
            <w:vAlign w:val="top"/>
          </w:tcPr>
          <w:p w14:paraId="205FBF17">
            <w:pPr>
              <w:pStyle w:val="17"/>
              <w:tabs>
                <w:tab w:val="left" w:pos="735"/>
              </w:tabs>
              <w:spacing w:before="195" w:line="220" w:lineRule="auto"/>
              <w:ind w:left="103"/>
              <w:rPr>
                <w:color w:val="auto"/>
                <w:sz w:val="21"/>
                <w:szCs w:val="21"/>
                <w:highlight w:val="none"/>
              </w:rPr>
            </w:pPr>
            <w:r>
              <w:rPr>
                <w:rFonts w:hint="eastAsia"/>
                <w:color w:val="auto"/>
                <w:sz w:val="21"/>
                <w:szCs w:val="21"/>
                <w:highlight w:val="none"/>
                <w:u w:val="single" w:color="auto"/>
                <w:lang w:val="en-US" w:eastAsia="zh-CN"/>
              </w:rPr>
              <w:t>/</w:t>
            </w:r>
            <w:r>
              <w:rPr>
                <w:color w:val="auto"/>
                <w:spacing w:val="-97"/>
                <w:sz w:val="21"/>
                <w:szCs w:val="21"/>
                <w:highlight w:val="none"/>
              </w:rPr>
              <w:t xml:space="preserve"> </w:t>
            </w:r>
            <w:r>
              <w:rPr>
                <w:color w:val="auto"/>
                <w:spacing w:val="-10"/>
                <w:sz w:val="21"/>
                <w:szCs w:val="21"/>
                <w:highlight w:val="none"/>
              </w:rPr>
              <w:t>份。</w:t>
            </w:r>
          </w:p>
        </w:tc>
      </w:tr>
      <w:tr w14:paraId="3B184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8" w:hRule="atLeast"/>
        </w:trPr>
        <w:tc>
          <w:tcPr>
            <w:tcW w:w="952" w:type="dxa"/>
            <w:tcBorders>
              <w:left w:val="single" w:color="000000" w:sz="6" w:space="0"/>
            </w:tcBorders>
            <w:vAlign w:val="top"/>
          </w:tcPr>
          <w:p w14:paraId="5846C851">
            <w:pPr>
              <w:spacing w:line="243" w:lineRule="auto"/>
              <w:rPr>
                <w:rFonts w:ascii="Arial"/>
                <w:color w:val="auto"/>
                <w:sz w:val="21"/>
                <w:highlight w:val="none"/>
              </w:rPr>
            </w:pPr>
          </w:p>
          <w:p w14:paraId="09602CEA">
            <w:pPr>
              <w:spacing w:line="243" w:lineRule="auto"/>
              <w:rPr>
                <w:rFonts w:ascii="Arial"/>
                <w:color w:val="auto"/>
                <w:sz w:val="21"/>
                <w:highlight w:val="none"/>
              </w:rPr>
            </w:pPr>
          </w:p>
          <w:p w14:paraId="05A47461">
            <w:pPr>
              <w:spacing w:line="243" w:lineRule="auto"/>
              <w:rPr>
                <w:rFonts w:ascii="Arial"/>
                <w:color w:val="auto"/>
                <w:sz w:val="21"/>
                <w:highlight w:val="none"/>
              </w:rPr>
            </w:pPr>
          </w:p>
          <w:p w14:paraId="4CB46F45">
            <w:pPr>
              <w:spacing w:line="243" w:lineRule="auto"/>
              <w:rPr>
                <w:rFonts w:ascii="Arial"/>
                <w:color w:val="auto"/>
                <w:sz w:val="21"/>
                <w:highlight w:val="none"/>
              </w:rPr>
            </w:pPr>
          </w:p>
          <w:p w14:paraId="2D839996">
            <w:pPr>
              <w:spacing w:line="243" w:lineRule="auto"/>
              <w:rPr>
                <w:rFonts w:ascii="Arial"/>
                <w:color w:val="auto"/>
                <w:sz w:val="21"/>
                <w:highlight w:val="none"/>
              </w:rPr>
            </w:pPr>
          </w:p>
          <w:p w14:paraId="54C6DF49">
            <w:pPr>
              <w:spacing w:line="243" w:lineRule="auto"/>
              <w:rPr>
                <w:rFonts w:ascii="Arial"/>
                <w:color w:val="auto"/>
                <w:sz w:val="21"/>
                <w:highlight w:val="none"/>
              </w:rPr>
            </w:pPr>
          </w:p>
          <w:p w14:paraId="5AF05A7E">
            <w:pPr>
              <w:spacing w:line="243" w:lineRule="auto"/>
              <w:rPr>
                <w:rFonts w:ascii="Arial"/>
                <w:color w:val="auto"/>
                <w:sz w:val="21"/>
                <w:highlight w:val="none"/>
              </w:rPr>
            </w:pPr>
          </w:p>
          <w:p w14:paraId="38DBC706">
            <w:pPr>
              <w:spacing w:line="243" w:lineRule="auto"/>
              <w:rPr>
                <w:rFonts w:ascii="Arial"/>
                <w:color w:val="auto"/>
                <w:sz w:val="21"/>
                <w:highlight w:val="none"/>
              </w:rPr>
            </w:pPr>
          </w:p>
          <w:p w14:paraId="511B85AE">
            <w:pPr>
              <w:spacing w:line="243" w:lineRule="auto"/>
              <w:rPr>
                <w:rFonts w:ascii="Arial"/>
                <w:color w:val="auto"/>
                <w:sz w:val="21"/>
                <w:highlight w:val="none"/>
              </w:rPr>
            </w:pPr>
          </w:p>
          <w:p w14:paraId="55C82D84">
            <w:pPr>
              <w:spacing w:line="243" w:lineRule="auto"/>
              <w:rPr>
                <w:rFonts w:ascii="Arial"/>
                <w:color w:val="auto"/>
                <w:sz w:val="21"/>
                <w:highlight w:val="none"/>
              </w:rPr>
            </w:pPr>
          </w:p>
          <w:p w14:paraId="0510C5E7">
            <w:pPr>
              <w:spacing w:line="244" w:lineRule="auto"/>
              <w:rPr>
                <w:rFonts w:ascii="Arial"/>
                <w:color w:val="auto"/>
                <w:sz w:val="21"/>
                <w:highlight w:val="none"/>
              </w:rPr>
            </w:pPr>
          </w:p>
          <w:p w14:paraId="2504B65D">
            <w:pPr>
              <w:spacing w:before="61" w:line="188"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10.5</w:t>
            </w:r>
          </w:p>
        </w:tc>
        <w:tc>
          <w:tcPr>
            <w:tcW w:w="2444" w:type="dxa"/>
            <w:vAlign w:val="top"/>
          </w:tcPr>
          <w:p w14:paraId="3EE4AD49">
            <w:pPr>
              <w:spacing w:line="249" w:lineRule="auto"/>
              <w:rPr>
                <w:rFonts w:ascii="Arial"/>
                <w:color w:val="auto"/>
                <w:sz w:val="21"/>
                <w:highlight w:val="none"/>
              </w:rPr>
            </w:pPr>
          </w:p>
          <w:p w14:paraId="536D9EBB">
            <w:pPr>
              <w:spacing w:line="249" w:lineRule="auto"/>
              <w:rPr>
                <w:rFonts w:ascii="Arial"/>
                <w:color w:val="auto"/>
                <w:sz w:val="21"/>
                <w:highlight w:val="none"/>
              </w:rPr>
            </w:pPr>
          </w:p>
          <w:p w14:paraId="23F61F92">
            <w:pPr>
              <w:spacing w:line="249" w:lineRule="auto"/>
              <w:rPr>
                <w:rFonts w:ascii="Arial"/>
                <w:color w:val="auto"/>
                <w:sz w:val="21"/>
                <w:highlight w:val="none"/>
              </w:rPr>
            </w:pPr>
          </w:p>
          <w:p w14:paraId="5A05A9EA">
            <w:pPr>
              <w:spacing w:line="249" w:lineRule="auto"/>
              <w:rPr>
                <w:rFonts w:ascii="Arial"/>
                <w:color w:val="auto"/>
                <w:sz w:val="21"/>
                <w:highlight w:val="none"/>
              </w:rPr>
            </w:pPr>
          </w:p>
          <w:p w14:paraId="07FA9E93">
            <w:pPr>
              <w:spacing w:line="249" w:lineRule="auto"/>
              <w:rPr>
                <w:rFonts w:ascii="Arial"/>
                <w:color w:val="auto"/>
                <w:sz w:val="21"/>
                <w:highlight w:val="none"/>
              </w:rPr>
            </w:pPr>
          </w:p>
          <w:p w14:paraId="74D136C0">
            <w:pPr>
              <w:spacing w:line="249" w:lineRule="auto"/>
              <w:rPr>
                <w:rFonts w:ascii="Arial"/>
                <w:color w:val="auto"/>
                <w:sz w:val="21"/>
                <w:highlight w:val="none"/>
              </w:rPr>
            </w:pPr>
          </w:p>
          <w:p w14:paraId="13DE5120">
            <w:pPr>
              <w:spacing w:line="250" w:lineRule="auto"/>
              <w:rPr>
                <w:rFonts w:ascii="Arial"/>
                <w:color w:val="auto"/>
                <w:sz w:val="21"/>
                <w:highlight w:val="none"/>
              </w:rPr>
            </w:pPr>
          </w:p>
          <w:p w14:paraId="7DEB48BF">
            <w:pPr>
              <w:spacing w:line="250" w:lineRule="auto"/>
              <w:rPr>
                <w:rFonts w:ascii="Arial"/>
                <w:color w:val="auto"/>
                <w:sz w:val="21"/>
                <w:highlight w:val="none"/>
              </w:rPr>
            </w:pPr>
          </w:p>
          <w:p w14:paraId="4BCB62CE">
            <w:pPr>
              <w:spacing w:line="250" w:lineRule="auto"/>
              <w:rPr>
                <w:rFonts w:ascii="Arial"/>
                <w:color w:val="auto"/>
                <w:sz w:val="21"/>
                <w:highlight w:val="none"/>
              </w:rPr>
            </w:pPr>
          </w:p>
          <w:p w14:paraId="2BAA8F4E">
            <w:pPr>
              <w:spacing w:line="250" w:lineRule="auto"/>
              <w:rPr>
                <w:rFonts w:ascii="Arial"/>
                <w:color w:val="auto"/>
                <w:sz w:val="21"/>
                <w:highlight w:val="none"/>
              </w:rPr>
            </w:pPr>
          </w:p>
          <w:p w14:paraId="6F88D942">
            <w:pPr>
              <w:pStyle w:val="17"/>
              <w:spacing w:before="69" w:line="242" w:lineRule="auto"/>
              <w:ind w:left="109" w:right="108"/>
              <w:rPr>
                <w:color w:val="auto"/>
                <w:sz w:val="21"/>
                <w:szCs w:val="21"/>
                <w:highlight w:val="none"/>
              </w:rPr>
            </w:pPr>
            <w:r>
              <w:rPr>
                <w:color w:val="auto"/>
                <w:spacing w:val="12"/>
                <w:sz w:val="21"/>
                <w:szCs w:val="21"/>
                <w:highlight w:val="none"/>
              </w:rPr>
              <w:t>招标人最高投标限价或</w:t>
            </w:r>
            <w:r>
              <w:rPr>
                <w:color w:val="auto"/>
                <w:sz w:val="21"/>
                <w:szCs w:val="21"/>
                <w:highlight w:val="none"/>
              </w:rPr>
              <w:t xml:space="preserve"> </w:t>
            </w:r>
            <w:r>
              <w:rPr>
                <w:color w:val="auto"/>
                <w:spacing w:val="-2"/>
                <w:sz w:val="21"/>
                <w:szCs w:val="21"/>
                <w:highlight w:val="none"/>
              </w:rPr>
              <w:t>其计算方法</w:t>
            </w:r>
          </w:p>
        </w:tc>
        <w:tc>
          <w:tcPr>
            <w:tcW w:w="5506" w:type="dxa"/>
            <w:tcBorders>
              <w:right w:val="single" w:color="000000" w:sz="6" w:space="0"/>
            </w:tcBorders>
            <w:vAlign w:val="top"/>
          </w:tcPr>
          <w:p w14:paraId="4E595F2F">
            <w:pPr>
              <w:pStyle w:val="17"/>
              <w:spacing w:before="180" w:line="243" w:lineRule="auto"/>
              <w:ind w:left="222" w:right="101" w:hanging="89"/>
              <w:rPr>
                <w:color w:val="auto"/>
                <w:sz w:val="21"/>
                <w:szCs w:val="21"/>
                <w:highlight w:val="none"/>
              </w:rPr>
            </w:pPr>
            <w:r>
              <w:rPr>
                <w:rFonts w:hint="eastAsia"/>
                <w:color w:val="auto"/>
                <w:spacing w:val="-1"/>
                <w:sz w:val="21"/>
                <w:szCs w:val="21"/>
                <w:highlight w:val="none"/>
                <w:lang w:eastAsia="zh-CN"/>
              </w:rPr>
              <w:t>☑</w:t>
            </w:r>
            <w:r>
              <w:rPr>
                <w:color w:val="auto"/>
                <w:spacing w:val="34"/>
                <w:sz w:val="21"/>
                <w:szCs w:val="21"/>
                <w:highlight w:val="none"/>
              </w:rPr>
              <w:t xml:space="preserve"> </w:t>
            </w:r>
            <w:r>
              <w:rPr>
                <w:color w:val="auto"/>
                <w:spacing w:val="-1"/>
                <w:sz w:val="21"/>
                <w:szCs w:val="21"/>
                <w:highlight w:val="none"/>
              </w:rPr>
              <w:t xml:space="preserve">最高投标限价人民币（大写） </w:t>
            </w:r>
            <w:r>
              <w:rPr>
                <w:color w:val="auto"/>
                <w:spacing w:val="-1"/>
                <w:sz w:val="21"/>
                <w:szCs w:val="21"/>
                <w:highlight w:val="none"/>
                <w:u w:val="single" w:color="auto"/>
              </w:rPr>
              <w:t xml:space="preserve"> </w:t>
            </w:r>
            <w:r>
              <w:rPr>
                <w:rFonts w:hint="eastAsia"/>
                <w:color w:val="auto"/>
                <w:spacing w:val="-1"/>
                <w:sz w:val="21"/>
                <w:szCs w:val="21"/>
                <w:highlight w:val="none"/>
                <w:u w:val="single" w:color="auto"/>
                <w:lang w:val="en-US" w:eastAsia="zh-CN"/>
              </w:rPr>
              <w:t>贰仟伍佰壹拾壹万陆仟壹佰贰拾贰</w:t>
            </w:r>
            <w:r>
              <w:rPr>
                <w:rFonts w:hint="eastAsia"/>
                <w:color w:val="auto"/>
                <w:spacing w:val="-1"/>
                <w:sz w:val="21"/>
                <w:szCs w:val="21"/>
                <w:highlight w:val="none"/>
                <w:u w:val="single" w:color="auto"/>
              </w:rPr>
              <w:t>元</w:t>
            </w:r>
            <w:r>
              <w:rPr>
                <w:rFonts w:hint="eastAsia"/>
                <w:color w:val="auto"/>
                <w:spacing w:val="-1"/>
                <w:sz w:val="21"/>
                <w:szCs w:val="21"/>
                <w:highlight w:val="none"/>
                <w:u w:val="single" w:color="auto"/>
                <w:lang w:val="en-US" w:eastAsia="zh-CN"/>
              </w:rPr>
              <w:t>整</w:t>
            </w:r>
            <w:r>
              <w:rPr>
                <w:rFonts w:hint="eastAsia"/>
                <w:color w:val="auto"/>
                <w:spacing w:val="-1"/>
                <w:sz w:val="21"/>
                <w:szCs w:val="21"/>
                <w:highlight w:val="none"/>
                <w:u w:val="single" w:color="auto"/>
              </w:rPr>
              <w:t>（￥</w:t>
            </w:r>
            <w:r>
              <w:rPr>
                <w:rFonts w:hint="eastAsia"/>
                <w:color w:val="auto"/>
                <w:spacing w:val="-1"/>
                <w:sz w:val="21"/>
                <w:szCs w:val="21"/>
                <w:highlight w:val="none"/>
                <w:u w:val="single" w:color="auto"/>
                <w:lang w:val="en-US" w:eastAsia="zh-CN"/>
              </w:rPr>
              <w:t xml:space="preserve">25,116,122.00 </w:t>
            </w:r>
            <w:r>
              <w:rPr>
                <w:rFonts w:hint="eastAsia"/>
                <w:color w:val="auto"/>
                <w:spacing w:val="-1"/>
                <w:sz w:val="21"/>
                <w:szCs w:val="21"/>
                <w:highlight w:val="none"/>
                <w:u w:val="single" w:color="auto"/>
              </w:rPr>
              <w:t>）</w:t>
            </w:r>
            <w:r>
              <w:rPr>
                <w:color w:val="auto"/>
                <w:spacing w:val="2"/>
                <w:sz w:val="21"/>
                <w:szCs w:val="21"/>
                <w:highlight w:val="none"/>
              </w:rPr>
              <w:t>。</w:t>
            </w:r>
          </w:p>
          <w:p w14:paraId="15432FBD">
            <w:pPr>
              <w:pStyle w:val="17"/>
              <w:spacing w:before="46" w:line="241" w:lineRule="auto"/>
              <w:ind w:left="113" w:right="103" w:firstLine="20"/>
              <w:rPr>
                <w:strike/>
                <w:dstrike w:val="0"/>
                <w:color w:val="auto"/>
                <w:sz w:val="21"/>
                <w:szCs w:val="21"/>
                <w:highlight w:val="none"/>
              </w:rPr>
            </w:pPr>
            <w:r>
              <w:rPr>
                <w:rFonts w:hint="eastAsia"/>
                <w:strike/>
                <w:dstrike w:val="0"/>
                <w:color w:val="auto"/>
                <w:spacing w:val="-6"/>
                <w:sz w:val="21"/>
                <w:szCs w:val="21"/>
                <w:highlight w:val="none"/>
                <w:lang w:eastAsia="zh-CN"/>
              </w:rPr>
              <w:t>☑</w:t>
            </w:r>
            <w:r>
              <w:rPr>
                <w:strike/>
                <w:dstrike w:val="0"/>
                <w:color w:val="auto"/>
                <w:spacing w:val="-6"/>
                <w:sz w:val="21"/>
                <w:szCs w:val="21"/>
                <w:highlight w:val="none"/>
              </w:rPr>
              <w:t xml:space="preserve"> 投标截止时间前</w:t>
            </w:r>
            <w:r>
              <w:rPr>
                <w:rFonts w:ascii="Times New Roman" w:hAnsi="Times New Roman" w:eastAsia="Times New Roman" w:cs="Times New Roman"/>
                <w:strike/>
                <w:dstrike w:val="0"/>
                <w:color w:val="auto"/>
                <w:spacing w:val="-6"/>
                <w:sz w:val="21"/>
                <w:szCs w:val="21"/>
                <w:highlight w:val="none"/>
                <w:u w:val="single" w:color="auto"/>
              </w:rPr>
              <w:t>15</w:t>
            </w:r>
            <w:r>
              <w:rPr>
                <w:rFonts w:ascii="Times New Roman" w:hAnsi="Times New Roman" w:eastAsia="Times New Roman" w:cs="Times New Roman"/>
                <w:strike/>
                <w:dstrike w:val="0"/>
                <w:color w:val="auto"/>
                <w:spacing w:val="-6"/>
                <w:sz w:val="21"/>
                <w:szCs w:val="21"/>
                <w:highlight w:val="none"/>
              </w:rPr>
              <w:t xml:space="preserve"> </w:t>
            </w:r>
            <w:r>
              <w:rPr>
                <w:strike/>
                <w:dstrike w:val="0"/>
                <w:color w:val="auto"/>
                <w:spacing w:val="-6"/>
                <w:sz w:val="21"/>
                <w:szCs w:val="21"/>
                <w:highlight w:val="none"/>
              </w:rPr>
              <w:t>日之前，以补充文件形式告知所有投</w:t>
            </w:r>
            <w:r>
              <w:rPr>
                <w:strike/>
                <w:dstrike w:val="0"/>
                <w:color w:val="auto"/>
                <w:spacing w:val="18"/>
                <w:sz w:val="21"/>
                <w:szCs w:val="21"/>
                <w:highlight w:val="none"/>
              </w:rPr>
              <w:t xml:space="preserve"> </w:t>
            </w:r>
            <w:r>
              <w:rPr>
                <w:strike/>
                <w:dstrike w:val="0"/>
                <w:color w:val="auto"/>
                <w:spacing w:val="-4"/>
                <w:sz w:val="21"/>
                <w:szCs w:val="21"/>
                <w:highlight w:val="none"/>
              </w:rPr>
              <w:t>标人最高投标限价。</w:t>
            </w:r>
          </w:p>
          <w:p w14:paraId="763ED369">
            <w:pPr>
              <w:pStyle w:val="17"/>
              <w:spacing w:before="52" w:line="258" w:lineRule="auto"/>
              <w:ind w:left="111" w:right="141" w:firstLine="22"/>
              <w:rPr>
                <w:strike/>
                <w:dstrike w:val="0"/>
                <w:color w:val="auto"/>
                <w:sz w:val="21"/>
                <w:szCs w:val="21"/>
                <w:highlight w:val="none"/>
              </w:rPr>
            </w:pPr>
            <w:r>
              <w:rPr>
                <w:strike/>
                <w:dstrike w:val="0"/>
                <w:color w:val="auto"/>
                <w:spacing w:val="-8"/>
                <w:sz w:val="21"/>
                <w:szCs w:val="21"/>
                <w:highlight w:val="none"/>
              </w:rPr>
              <w:t>□ 招标预算人民币（大写</w:t>
            </w:r>
            <w:r>
              <w:rPr>
                <w:strike/>
                <w:dstrike w:val="0"/>
                <w:color w:val="auto"/>
                <w:spacing w:val="4"/>
                <w:sz w:val="21"/>
                <w:szCs w:val="21"/>
                <w:highlight w:val="none"/>
              </w:rPr>
              <w:t>）：</w:t>
            </w:r>
            <w:r>
              <w:rPr>
                <w:strike/>
                <w:dstrike w:val="0"/>
                <w:color w:val="auto"/>
                <w:sz w:val="21"/>
                <w:szCs w:val="21"/>
                <w:highlight w:val="none"/>
                <w:u w:val="single" w:color="auto"/>
              </w:rPr>
              <w:t xml:space="preserve">          </w:t>
            </w:r>
            <w:r>
              <w:rPr>
                <w:strike/>
                <w:dstrike w:val="0"/>
                <w:color w:val="auto"/>
                <w:spacing w:val="15"/>
                <w:sz w:val="21"/>
                <w:szCs w:val="21"/>
                <w:highlight w:val="none"/>
              </w:rPr>
              <w:t xml:space="preserve"> </w:t>
            </w:r>
            <w:r>
              <w:rPr>
                <w:strike/>
                <w:dstrike w:val="0"/>
                <w:color w:val="auto"/>
                <w:spacing w:val="-8"/>
                <w:sz w:val="21"/>
                <w:szCs w:val="21"/>
                <w:highlight w:val="none"/>
              </w:rPr>
              <w:t>(￥</w:t>
            </w:r>
            <w:r>
              <w:rPr>
                <w:strike/>
                <w:dstrike w:val="0"/>
                <w:color w:val="auto"/>
                <w:spacing w:val="-84"/>
                <w:sz w:val="21"/>
                <w:szCs w:val="21"/>
                <w:highlight w:val="none"/>
              </w:rPr>
              <w:t xml:space="preserve"> </w:t>
            </w:r>
            <w:r>
              <w:rPr>
                <w:strike/>
                <w:dstrike w:val="0"/>
                <w:color w:val="auto"/>
                <w:spacing w:val="17"/>
                <w:sz w:val="21"/>
                <w:szCs w:val="21"/>
                <w:highlight w:val="none"/>
                <w:u w:val="single" w:color="auto"/>
              </w:rPr>
              <w:t xml:space="preserve">      </w:t>
            </w:r>
            <w:r>
              <w:rPr>
                <w:strike/>
                <w:dstrike w:val="0"/>
                <w:color w:val="auto"/>
                <w:spacing w:val="-72"/>
                <w:sz w:val="21"/>
                <w:szCs w:val="21"/>
                <w:highlight w:val="none"/>
              </w:rPr>
              <w:t xml:space="preserve"> </w:t>
            </w:r>
            <w:r>
              <w:rPr>
                <w:strike/>
                <w:dstrike w:val="0"/>
                <w:color w:val="auto"/>
                <w:spacing w:val="-8"/>
                <w:sz w:val="21"/>
                <w:szCs w:val="21"/>
                <w:highlight w:val="none"/>
              </w:rPr>
              <w:t>)</w:t>
            </w:r>
            <w:r>
              <w:rPr>
                <w:strike/>
                <w:dstrike w:val="0"/>
                <w:color w:val="auto"/>
                <w:sz w:val="21"/>
                <w:szCs w:val="21"/>
                <w:highlight w:val="none"/>
              </w:rPr>
              <w:t xml:space="preserve">  </w:t>
            </w:r>
            <w:r>
              <w:rPr>
                <w:strike/>
                <w:dstrike w:val="0"/>
                <w:color w:val="auto"/>
                <w:spacing w:val="1"/>
                <w:sz w:val="21"/>
                <w:szCs w:val="21"/>
                <w:highlight w:val="none"/>
              </w:rPr>
              <w:t>预留金人民币（大写</w:t>
            </w:r>
            <w:r>
              <w:rPr>
                <w:strike/>
                <w:dstrike w:val="0"/>
                <w:color w:val="auto"/>
                <w:spacing w:val="3"/>
                <w:sz w:val="21"/>
                <w:szCs w:val="21"/>
                <w:highlight w:val="none"/>
              </w:rPr>
              <w:t>）：</w:t>
            </w:r>
            <w:r>
              <w:rPr>
                <w:strike/>
                <w:dstrike w:val="0"/>
                <w:color w:val="auto"/>
                <w:sz w:val="21"/>
                <w:szCs w:val="21"/>
                <w:highlight w:val="none"/>
                <w:u w:val="single" w:color="auto"/>
              </w:rPr>
              <w:t xml:space="preserve">          </w:t>
            </w:r>
            <w:r>
              <w:rPr>
                <w:strike/>
                <w:dstrike w:val="0"/>
                <w:color w:val="auto"/>
                <w:spacing w:val="14"/>
                <w:sz w:val="21"/>
                <w:szCs w:val="21"/>
                <w:highlight w:val="none"/>
              </w:rPr>
              <w:t xml:space="preserve"> </w:t>
            </w:r>
            <w:r>
              <w:rPr>
                <w:strike/>
                <w:dstrike w:val="0"/>
                <w:color w:val="auto"/>
                <w:spacing w:val="1"/>
                <w:sz w:val="21"/>
                <w:szCs w:val="21"/>
                <w:highlight w:val="none"/>
              </w:rPr>
              <w:t>(￥</w:t>
            </w:r>
            <w:r>
              <w:rPr>
                <w:strike/>
                <w:dstrike w:val="0"/>
                <w:color w:val="auto"/>
                <w:spacing w:val="-83"/>
                <w:sz w:val="21"/>
                <w:szCs w:val="21"/>
                <w:highlight w:val="none"/>
              </w:rPr>
              <w:t xml:space="preserve"> </w:t>
            </w:r>
            <w:r>
              <w:rPr>
                <w:strike/>
                <w:dstrike w:val="0"/>
                <w:color w:val="auto"/>
                <w:spacing w:val="17"/>
                <w:sz w:val="21"/>
                <w:szCs w:val="21"/>
                <w:highlight w:val="none"/>
                <w:u w:val="single" w:color="auto"/>
              </w:rPr>
              <w:t xml:space="preserve">      </w:t>
            </w:r>
            <w:r>
              <w:rPr>
                <w:strike/>
                <w:dstrike w:val="0"/>
                <w:color w:val="auto"/>
                <w:spacing w:val="-72"/>
                <w:sz w:val="21"/>
                <w:szCs w:val="21"/>
                <w:highlight w:val="none"/>
              </w:rPr>
              <w:t xml:space="preserve"> </w:t>
            </w:r>
            <w:r>
              <w:rPr>
                <w:strike/>
                <w:dstrike w:val="0"/>
                <w:color w:val="auto"/>
                <w:spacing w:val="1"/>
                <w:sz w:val="21"/>
                <w:szCs w:val="21"/>
                <w:highlight w:val="none"/>
              </w:rPr>
              <w:t>)暂估</w:t>
            </w:r>
            <w:r>
              <w:rPr>
                <w:strike/>
                <w:dstrike w:val="0"/>
                <w:color w:val="auto"/>
                <w:sz w:val="21"/>
                <w:szCs w:val="21"/>
                <w:highlight w:val="none"/>
              </w:rPr>
              <w:t xml:space="preserve">  </w:t>
            </w:r>
            <w:r>
              <w:rPr>
                <w:strike/>
                <w:dstrike w:val="0"/>
                <w:color w:val="auto"/>
                <w:spacing w:val="2"/>
                <w:sz w:val="21"/>
                <w:szCs w:val="21"/>
                <w:highlight w:val="none"/>
              </w:rPr>
              <w:t>价人民币（大写</w:t>
            </w:r>
            <w:r>
              <w:rPr>
                <w:strike/>
                <w:dstrike w:val="0"/>
                <w:color w:val="auto"/>
                <w:sz w:val="21"/>
                <w:szCs w:val="21"/>
                <w:highlight w:val="none"/>
              </w:rPr>
              <w:t>）：</w:t>
            </w:r>
            <w:r>
              <w:rPr>
                <w:strike/>
                <w:dstrike w:val="0"/>
                <w:color w:val="auto"/>
                <w:sz w:val="21"/>
                <w:szCs w:val="21"/>
                <w:highlight w:val="none"/>
                <w:u w:val="single" w:color="auto"/>
              </w:rPr>
              <w:t xml:space="preserve">          </w:t>
            </w:r>
            <w:r>
              <w:rPr>
                <w:strike/>
                <w:dstrike w:val="0"/>
                <w:color w:val="auto"/>
                <w:spacing w:val="15"/>
                <w:sz w:val="21"/>
                <w:szCs w:val="21"/>
                <w:highlight w:val="none"/>
              </w:rPr>
              <w:t xml:space="preserve"> </w:t>
            </w:r>
            <w:r>
              <w:rPr>
                <w:strike/>
                <w:dstrike w:val="0"/>
                <w:color w:val="auto"/>
                <w:spacing w:val="2"/>
                <w:sz w:val="21"/>
                <w:szCs w:val="21"/>
                <w:highlight w:val="none"/>
              </w:rPr>
              <w:t>(￥</w:t>
            </w:r>
            <w:r>
              <w:rPr>
                <w:strike/>
                <w:dstrike w:val="0"/>
                <w:color w:val="auto"/>
                <w:spacing w:val="-85"/>
                <w:sz w:val="21"/>
                <w:szCs w:val="21"/>
                <w:highlight w:val="none"/>
              </w:rPr>
              <w:t xml:space="preserve"> </w:t>
            </w:r>
            <w:r>
              <w:rPr>
                <w:strike/>
                <w:dstrike w:val="0"/>
                <w:color w:val="auto"/>
                <w:sz w:val="21"/>
                <w:szCs w:val="21"/>
                <w:highlight w:val="none"/>
                <w:u w:val="single" w:color="auto"/>
              </w:rPr>
              <w:t xml:space="preserve">       </w:t>
            </w:r>
            <w:r>
              <w:rPr>
                <w:strike/>
                <w:dstrike w:val="0"/>
                <w:color w:val="auto"/>
                <w:spacing w:val="-74"/>
                <w:sz w:val="21"/>
                <w:szCs w:val="21"/>
                <w:highlight w:val="none"/>
              </w:rPr>
              <w:t xml:space="preserve"> </w:t>
            </w:r>
            <w:r>
              <w:rPr>
                <w:strike/>
                <w:dstrike w:val="0"/>
                <w:color w:val="auto"/>
                <w:spacing w:val="2"/>
                <w:sz w:val="21"/>
                <w:szCs w:val="21"/>
                <w:highlight w:val="none"/>
              </w:rPr>
              <w:t>)。最高投</w:t>
            </w:r>
            <w:r>
              <w:rPr>
                <w:strike/>
                <w:dstrike w:val="0"/>
                <w:color w:val="auto"/>
                <w:sz w:val="21"/>
                <w:szCs w:val="21"/>
                <w:highlight w:val="none"/>
              </w:rPr>
              <w:t xml:space="preserve">  </w:t>
            </w:r>
            <w:r>
              <w:rPr>
                <w:strike/>
                <w:dstrike w:val="0"/>
                <w:color w:val="auto"/>
                <w:spacing w:val="-1"/>
                <w:sz w:val="21"/>
                <w:szCs w:val="21"/>
                <w:highlight w:val="none"/>
              </w:rPr>
              <w:t>标限价的计算方法：最高投标限价</w:t>
            </w:r>
            <w:r>
              <w:rPr>
                <w:rFonts w:ascii="Times New Roman" w:hAnsi="Times New Roman" w:eastAsia="Times New Roman" w:cs="Times New Roman"/>
                <w:strike/>
                <w:dstrike w:val="0"/>
                <w:color w:val="auto"/>
                <w:spacing w:val="-1"/>
                <w:sz w:val="21"/>
                <w:szCs w:val="21"/>
                <w:highlight w:val="none"/>
              </w:rPr>
              <w:t>=</w:t>
            </w:r>
            <w:r>
              <w:rPr>
                <w:strike/>
                <w:dstrike w:val="0"/>
                <w:color w:val="auto"/>
                <w:spacing w:val="-1"/>
                <w:sz w:val="21"/>
                <w:szCs w:val="21"/>
                <w:highlight w:val="none"/>
              </w:rPr>
              <w:t>（预算价</w:t>
            </w:r>
            <w:r>
              <w:rPr>
                <w:rFonts w:ascii="Times New Roman" w:hAnsi="Times New Roman" w:eastAsia="Times New Roman" w:cs="Times New Roman"/>
                <w:strike/>
                <w:dstrike w:val="0"/>
                <w:color w:val="auto"/>
                <w:spacing w:val="-1"/>
                <w:sz w:val="21"/>
                <w:szCs w:val="21"/>
                <w:highlight w:val="none"/>
              </w:rPr>
              <w:t>-</w:t>
            </w:r>
            <w:r>
              <w:rPr>
                <w:strike/>
                <w:dstrike w:val="0"/>
                <w:color w:val="auto"/>
                <w:spacing w:val="-1"/>
                <w:sz w:val="21"/>
                <w:szCs w:val="21"/>
                <w:highlight w:val="none"/>
              </w:rPr>
              <w:t>预留金</w:t>
            </w:r>
            <w:r>
              <w:rPr>
                <w:rFonts w:ascii="Times New Roman" w:hAnsi="Times New Roman" w:eastAsia="Times New Roman" w:cs="Times New Roman"/>
                <w:strike/>
                <w:dstrike w:val="0"/>
                <w:color w:val="auto"/>
                <w:spacing w:val="-1"/>
                <w:sz w:val="21"/>
                <w:szCs w:val="21"/>
                <w:highlight w:val="none"/>
              </w:rPr>
              <w:t>-</w:t>
            </w:r>
            <w:r>
              <w:rPr>
                <w:strike/>
                <w:dstrike w:val="0"/>
                <w:color w:val="auto"/>
                <w:spacing w:val="-1"/>
                <w:sz w:val="21"/>
                <w:szCs w:val="21"/>
                <w:highlight w:val="none"/>
              </w:rPr>
              <w:t>暂</w:t>
            </w:r>
            <w:r>
              <w:rPr>
                <w:strike/>
                <w:dstrike w:val="0"/>
                <w:color w:val="auto"/>
                <w:spacing w:val="8"/>
                <w:sz w:val="21"/>
                <w:szCs w:val="21"/>
                <w:highlight w:val="none"/>
              </w:rPr>
              <w:t xml:space="preserve">  </w:t>
            </w:r>
            <w:r>
              <w:rPr>
                <w:strike/>
                <w:dstrike w:val="0"/>
                <w:color w:val="auto"/>
                <w:sz w:val="21"/>
                <w:szCs w:val="21"/>
                <w:highlight w:val="none"/>
              </w:rPr>
              <w:t>估价）×（</w:t>
            </w:r>
            <w:r>
              <w:rPr>
                <w:rFonts w:ascii="Times New Roman" w:hAnsi="Times New Roman" w:eastAsia="Times New Roman" w:cs="Times New Roman"/>
                <w:strike/>
                <w:dstrike w:val="0"/>
                <w:color w:val="auto"/>
                <w:sz w:val="21"/>
                <w:szCs w:val="21"/>
                <w:highlight w:val="none"/>
              </w:rPr>
              <w:t>1-</w:t>
            </w:r>
            <w:r>
              <w:rPr>
                <w:strike/>
                <w:dstrike w:val="0"/>
                <w:color w:val="auto"/>
                <w:sz w:val="21"/>
                <w:szCs w:val="21"/>
                <w:highlight w:val="none"/>
              </w:rPr>
              <w:t>下浮值）</w:t>
            </w:r>
            <w:r>
              <w:rPr>
                <w:rFonts w:ascii="Times New Roman" w:hAnsi="Times New Roman" w:eastAsia="Times New Roman" w:cs="Times New Roman"/>
                <w:strike/>
                <w:dstrike w:val="0"/>
                <w:color w:val="auto"/>
                <w:sz w:val="21"/>
                <w:szCs w:val="21"/>
                <w:highlight w:val="none"/>
              </w:rPr>
              <w:t>+</w:t>
            </w:r>
            <w:r>
              <w:rPr>
                <w:strike/>
                <w:dstrike w:val="0"/>
                <w:color w:val="auto"/>
                <w:sz w:val="21"/>
                <w:szCs w:val="21"/>
                <w:highlight w:val="none"/>
              </w:rPr>
              <w:t>预留金</w:t>
            </w:r>
            <w:r>
              <w:rPr>
                <w:rFonts w:ascii="Times New Roman" w:hAnsi="Times New Roman" w:eastAsia="Times New Roman" w:cs="Times New Roman"/>
                <w:strike/>
                <w:dstrike w:val="0"/>
                <w:color w:val="auto"/>
                <w:sz w:val="21"/>
                <w:szCs w:val="21"/>
                <w:highlight w:val="none"/>
              </w:rPr>
              <w:t>+</w:t>
            </w:r>
            <w:r>
              <w:rPr>
                <w:strike/>
                <w:dstrike w:val="0"/>
                <w:color w:val="auto"/>
                <w:sz w:val="21"/>
                <w:szCs w:val="21"/>
                <w:highlight w:val="none"/>
              </w:rPr>
              <w:t>暂估价</w:t>
            </w:r>
            <w:r>
              <w:rPr>
                <w:strike/>
                <w:dstrike w:val="0"/>
                <w:color w:val="auto"/>
                <w:spacing w:val="-1"/>
                <w:sz w:val="21"/>
                <w:szCs w:val="21"/>
                <w:highlight w:val="none"/>
              </w:rPr>
              <w:t>，下浮值由招标人</w:t>
            </w:r>
            <w:r>
              <w:rPr>
                <w:strike/>
                <w:dstrike w:val="0"/>
                <w:color w:val="auto"/>
                <w:sz w:val="21"/>
                <w:szCs w:val="21"/>
                <w:highlight w:val="none"/>
              </w:rPr>
              <w:t xml:space="preserve"> </w:t>
            </w:r>
            <w:r>
              <w:rPr>
                <w:strike/>
                <w:dstrike w:val="0"/>
                <w:color w:val="auto"/>
                <w:spacing w:val="-4"/>
                <w:sz w:val="21"/>
                <w:szCs w:val="21"/>
                <w:highlight w:val="none"/>
              </w:rPr>
              <w:t>在开标时从</w:t>
            </w:r>
            <w:r>
              <w:rPr>
                <w:strike/>
                <w:dstrike w:val="0"/>
                <w:color w:val="auto"/>
                <w:spacing w:val="-4"/>
                <w:sz w:val="21"/>
                <w:szCs w:val="21"/>
                <w:highlight w:val="none"/>
                <w:u w:val="single" w:color="auto"/>
              </w:rPr>
              <w:t xml:space="preserve">   、</w:t>
            </w:r>
            <w:r>
              <w:rPr>
                <w:strike/>
                <w:dstrike w:val="0"/>
                <w:color w:val="auto"/>
                <w:spacing w:val="17"/>
                <w:sz w:val="21"/>
                <w:szCs w:val="21"/>
                <w:highlight w:val="none"/>
                <w:u w:val="single" w:color="auto"/>
              </w:rPr>
              <w:t xml:space="preserve">  </w:t>
            </w:r>
            <w:r>
              <w:rPr>
                <w:strike/>
                <w:dstrike w:val="0"/>
                <w:color w:val="auto"/>
                <w:spacing w:val="-4"/>
                <w:sz w:val="21"/>
                <w:szCs w:val="21"/>
                <w:highlight w:val="none"/>
                <w:u w:val="single" w:color="auto"/>
              </w:rPr>
              <w:t>、</w:t>
            </w:r>
            <w:r>
              <w:rPr>
                <w:strike/>
                <w:dstrike w:val="0"/>
                <w:color w:val="auto"/>
                <w:spacing w:val="11"/>
                <w:sz w:val="21"/>
                <w:szCs w:val="21"/>
                <w:highlight w:val="none"/>
                <w:u w:val="single" w:color="auto"/>
              </w:rPr>
              <w:t xml:space="preserve">  </w:t>
            </w:r>
            <w:r>
              <w:rPr>
                <w:strike/>
                <w:dstrike w:val="0"/>
                <w:color w:val="auto"/>
                <w:spacing w:val="-4"/>
                <w:sz w:val="21"/>
                <w:szCs w:val="21"/>
                <w:highlight w:val="none"/>
                <w:u w:val="single" w:color="auto"/>
              </w:rPr>
              <w:t>、</w:t>
            </w:r>
            <w:r>
              <w:rPr>
                <w:strike/>
                <w:dstrike w:val="0"/>
                <w:color w:val="auto"/>
                <w:spacing w:val="12"/>
                <w:sz w:val="21"/>
                <w:szCs w:val="21"/>
                <w:highlight w:val="none"/>
                <w:u w:val="single" w:color="auto"/>
              </w:rPr>
              <w:t xml:space="preserve">  </w:t>
            </w:r>
            <w:r>
              <w:rPr>
                <w:strike/>
                <w:dstrike w:val="0"/>
                <w:color w:val="auto"/>
                <w:spacing w:val="-4"/>
                <w:sz w:val="21"/>
                <w:szCs w:val="21"/>
                <w:highlight w:val="none"/>
                <w:u w:val="single" w:color="auto"/>
              </w:rPr>
              <w:t xml:space="preserve">、  </w:t>
            </w:r>
            <w:r>
              <w:rPr>
                <w:strike/>
                <w:dstrike w:val="0"/>
                <w:color w:val="auto"/>
                <w:spacing w:val="-95"/>
                <w:sz w:val="21"/>
                <w:szCs w:val="21"/>
                <w:highlight w:val="none"/>
              </w:rPr>
              <w:t xml:space="preserve"> </w:t>
            </w:r>
            <w:r>
              <w:rPr>
                <w:strike/>
                <w:dstrike w:val="0"/>
                <w:color w:val="auto"/>
                <w:spacing w:val="-4"/>
                <w:sz w:val="21"/>
                <w:szCs w:val="21"/>
                <w:highlight w:val="none"/>
              </w:rPr>
              <w:t>等</w:t>
            </w:r>
            <w:r>
              <w:rPr>
                <w:rFonts w:ascii="Times New Roman" w:hAnsi="Times New Roman" w:eastAsia="Times New Roman" w:cs="Times New Roman"/>
                <w:strike/>
                <w:dstrike w:val="0"/>
                <w:color w:val="auto"/>
                <w:spacing w:val="-4"/>
                <w:sz w:val="21"/>
                <w:szCs w:val="21"/>
                <w:highlight w:val="none"/>
              </w:rPr>
              <w:t>5</w:t>
            </w:r>
            <w:r>
              <w:rPr>
                <w:strike/>
                <w:dstrike w:val="0"/>
                <w:color w:val="auto"/>
                <w:spacing w:val="-4"/>
                <w:sz w:val="21"/>
                <w:szCs w:val="21"/>
                <w:highlight w:val="none"/>
              </w:rPr>
              <w:t>个数组成的等差数列</w:t>
            </w:r>
            <w:r>
              <w:rPr>
                <w:strike/>
                <w:dstrike w:val="0"/>
                <w:color w:val="auto"/>
                <w:sz w:val="21"/>
                <w:szCs w:val="21"/>
                <w:highlight w:val="none"/>
              </w:rPr>
              <w:t xml:space="preserve"> </w:t>
            </w:r>
            <w:r>
              <w:rPr>
                <w:strike/>
                <w:dstrike w:val="0"/>
                <w:color w:val="auto"/>
                <w:spacing w:val="-1"/>
                <w:sz w:val="21"/>
                <w:szCs w:val="21"/>
                <w:highlight w:val="none"/>
              </w:rPr>
              <w:t>中随机抽取其中一值作为下浮值的方式确定，投标报价不</w:t>
            </w:r>
            <w:r>
              <w:rPr>
                <w:strike/>
                <w:dstrike w:val="0"/>
                <w:color w:val="auto"/>
                <w:spacing w:val="16"/>
                <w:sz w:val="21"/>
                <w:szCs w:val="21"/>
                <w:highlight w:val="none"/>
              </w:rPr>
              <w:t xml:space="preserve"> </w:t>
            </w:r>
            <w:r>
              <w:rPr>
                <w:strike/>
                <w:dstrike w:val="0"/>
                <w:color w:val="auto"/>
                <w:sz w:val="21"/>
                <w:szCs w:val="21"/>
                <w:highlight w:val="none"/>
              </w:rPr>
              <w:t>得超过最高限价。（招标人在编制招标文件</w:t>
            </w:r>
            <w:r>
              <w:rPr>
                <w:strike/>
                <w:dstrike w:val="0"/>
                <w:color w:val="auto"/>
                <w:spacing w:val="-1"/>
                <w:sz w:val="21"/>
                <w:szCs w:val="21"/>
                <w:highlight w:val="none"/>
              </w:rPr>
              <w:t>时从</w:t>
            </w:r>
            <w:r>
              <w:rPr>
                <w:rFonts w:ascii="Times New Roman" w:hAnsi="Times New Roman" w:eastAsia="Times New Roman" w:cs="Times New Roman"/>
                <w:strike/>
                <w:dstrike w:val="0"/>
                <w:color w:val="auto"/>
                <w:spacing w:val="-1"/>
                <w:sz w:val="21"/>
                <w:szCs w:val="21"/>
                <w:highlight w:val="none"/>
              </w:rPr>
              <w:t>0.5%</w:t>
            </w:r>
            <w:r>
              <w:rPr>
                <w:strike/>
                <w:dstrike w:val="0"/>
                <w:color w:val="auto"/>
                <w:spacing w:val="-1"/>
                <w:sz w:val="21"/>
                <w:szCs w:val="21"/>
                <w:highlight w:val="none"/>
              </w:rPr>
              <w:t>、</w:t>
            </w:r>
          </w:p>
          <w:p w14:paraId="5079D513">
            <w:pPr>
              <w:pStyle w:val="17"/>
              <w:spacing w:before="88" w:line="180" w:lineRule="auto"/>
              <w:ind w:left="128"/>
              <w:rPr>
                <w:strike/>
                <w:dstrike w:val="0"/>
                <w:color w:val="auto"/>
                <w:sz w:val="21"/>
                <w:szCs w:val="21"/>
                <w:highlight w:val="none"/>
              </w:rPr>
            </w:pPr>
            <w:r>
              <w:rPr>
                <w:rFonts w:ascii="Times New Roman" w:hAnsi="Times New Roman" w:eastAsia="Times New Roman" w:cs="Times New Roman"/>
                <w:strike/>
                <w:dstrike w:val="0"/>
                <w:color w:val="auto"/>
                <w:spacing w:val="-6"/>
                <w:sz w:val="21"/>
                <w:szCs w:val="21"/>
                <w:highlight w:val="none"/>
              </w:rPr>
              <w:t>1%</w:t>
            </w:r>
            <w:r>
              <w:rPr>
                <w:rFonts w:ascii="Times New Roman" w:hAnsi="Times New Roman" w:eastAsia="Times New Roman" w:cs="Times New Roman"/>
                <w:strike/>
                <w:dstrike w:val="0"/>
                <w:color w:val="auto"/>
                <w:spacing w:val="-29"/>
                <w:sz w:val="21"/>
                <w:szCs w:val="21"/>
                <w:highlight w:val="none"/>
              </w:rPr>
              <w:t xml:space="preserve"> </w:t>
            </w: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1.5%</w:t>
            </w:r>
            <w:r>
              <w:rPr>
                <w:rFonts w:ascii="Times New Roman" w:hAnsi="Times New Roman" w:eastAsia="Times New Roman" w:cs="Times New Roman"/>
                <w:strike/>
                <w:dstrike w:val="0"/>
                <w:color w:val="auto"/>
                <w:spacing w:val="-29"/>
                <w:sz w:val="21"/>
                <w:szCs w:val="21"/>
                <w:highlight w:val="none"/>
              </w:rPr>
              <w:t xml:space="preserve"> </w:t>
            </w: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2%</w:t>
            </w:r>
            <w:r>
              <w:rPr>
                <w:rFonts w:ascii="Times New Roman" w:hAnsi="Times New Roman" w:eastAsia="Times New Roman" w:cs="Times New Roman"/>
                <w:strike/>
                <w:dstrike w:val="0"/>
                <w:color w:val="auto"/>
                <w:spacing w:val="-30"/>
                <w:sz w:val="21"/>
                <w:szCs w:val="21"/>
                <w:highlight w:val="none"/>
              </w:rPr>
              <w:t xml:space="preserve"> </w:t>
            </w: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2.5%</w:t>
            </w:r>
            <w:r>
              <w:rPr>
                <w:rFonts w:ascii="Times New Roman" w:hAnsi="Times New Roman" w:eastAsia="Times New Roman" w:cs="Times New Roman"/>
                <w:strike/>
                <w:dstrike w:val="0"/>
                <w:color w:val="auto"/>
                <w:spacing w:val="-29"/>
                <w:sz w:val="21"/>
                <w:szCs w:val="21"/>
                <w:highlight w:val="none"/>
              </w:rPr>
              <w:t xml:space="preserve"> </w:t>
            </w: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3%</w:t>
            </w:r>
            <w:r>
              <w:rPr>
                <w:rFonts w:ascii="Times New Roman" w:hAnsi="Times New Roman" w:eastAsia="Times New Roman" w:cs="Times New Roman"/>
                <w:strike/>
                <w:dstrike w:val="0"/>
                <w:color w:val="auto"/>
                <w:spacing w:val="-29"/>
                <w:sz w:val="21"/>
                <w:szCs w:val="21"/>
                <w:highlight w:val="none"/>
              </w:rPr>
              <w:t xml:space="preserve"> </w:t>
            </w: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3.5%</w:t>
            </w:r>
            <w:r>
              <w:rPr>
                <w:rFonts w:ascii="Times New Roman" w:hAnsi="Times New Roman" w:eastAsia="Times New Roman" w:cs="Times New Roman"/>
                <w:strike/>
                <w:dstrike w:val="0"/>
                <w:color w:val="auto"/>
                <w:spacing w:val="-30"/>
                <w:sz w:val="21"/>
                <w:szCs w:val="21"/>
                <w:highlight w:val="none"/>
              </w:rPr>
              <w:t xml:space="preserve"> </w:t>
            </w: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4%</w:t>
            </w:r>
            <w:r>
              <w:rPr>
                <w:rFonts w:ascii="Times New Roman" w:hAnsi="Times New Roman" w:eastAsia="Times New Roman" w:cs="Times New Roman"/>
                <w:strike/>
                <w:dstrike w:val="0"/>
                <w:color w:val="auto"/>
                <w:spacing w:val="-29"/>
                <w:sz w:val="21"/>
                <w:szCs w:val="21"/>
                <w:highlight w:val="none"/>
              </w:rPr>
              <w:t xml:space="preserve"> </w:t>
            </w: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4.5%</w:t>
            </w:r>
            <w:r>
              <w:rPr>
                <w:rFonts w:ascii="Times New Roman" w:hAnsi="Times New Roman" w:eastAsia="Times New Roman" w:cs="Times New Roman"/>
                <w:strike/>
                <w:dstrike w:val="0"/>
                <w:color w:val="auto"/>
                <w:spacing w:val="-30"/>
                <w:sz w:val="21"/>
                <w:szCs w:val="21"/>
                <w:highlight w:val="none"/>
              </w:rPr>
              <w:t xml:space="preserve"> </w:t>
            </w:r>
            <w:r>
              <w:rPr>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rPr>
              <w:t>5%</w:t>
            </w:r>
            <w:r>
              <w:rPr>
                <w:strike/>
                <w:dstrike w:val="0"/>
                <w:color w:val="auto"/>
                <w:spacing w:val="-6"/>
                <w:sz w:val="21"/>
                <w:szCs w:val="21"/>
                <w:highlight w:val="none"/>
              </w:rPr>
              <w:t>、</w:t>
            </w:r>
          </w:p>
          <w:p w14:paraId="578D6A5E">
            <w:pPr>
              <w:pStyle w:val="17"/>
              <w:spacing w:before="58" w:line="242" w:lineRule="auto"/>
              <w:ind w:left="112" w:right="299" w:firstLine="1"/>
              <w:rPr>
                <w:strike/>
                <w:dstrike w:val="0"/>
                <w:color w:val="auto"/>
                <w:sz w:val="21"/>
                <w:szCs w:val="21"/>
                <w:highlight w:val="none"/>
              </w:rPr>
            </w:pPr>
            <w:r>
              <w:rPr>
                <w:rFonts w:ascii="Times New Roman" w:hAnsi="Times New Roman" w:eastAsia="Times New Roman" w:cs="Times New Roman"/>
                <w:strike/>
                <w:dstrike w:val="0"/>
                <w:color w:val="auto"/>
                <w:spacing w:val="-4"/>
                <w:sz w:val="21"/>
                <w:szCs w:val="21"/>
                <w:highlight w:val="none"/>
              </w:rPr>
              <w:t>5.5%</w:t>
            </w:r>
            <w:r>
              <w:rPr>
                <w:rFonts w:ascii="Times New Roman" w:hAnsi="Times New Roman" w:eastAsia="Times New Roman" w:cs="Times New Roman"/>
                <w:strike/>
                <w:dstrike w:val="0"/>
                <w:color w:val="auto"/>
                <w:spacing w:val="-24"/>
                <w:sz w:val="21"/>
                <w:szCs w:val="21"/>
                <w:highlight w:val="none"/>
              </w:rPr>
              <w:t xml:space="preserve"> </w:t>
            </w:r>
            <w:r>
              <w:rPr>
                <w:strike/>
                <w:dstrike w:val="0"/>
                <w:color w:val="auto"/>
                <w:spacing w:val="-4"/>
                <w:sz w:val="21"/>
                <w:szCs w:val="21"/>
                <w:highlight w:val="none"/>
              </w:rPr>
              <w:t>、</w:t>
            </w:r>
            <w:r>
              <w:rPr>
                <w:rFonts w:ascii="Times New Roman" w:hAnsi="Times New Roman" w:eastAsia="Times New Roman" w:cs="Times New Roman"/>
                <w:strike/>
                <w:dstrike w:val="0"/>
                <w:color w:val="auto"/>
                <w:spacing w:val="-4"/>
                <w:sz w:val="21"/>
                <w:szCs w:val="21"/>
                <w:highlight w:val="none"/>
              </w:rPr>
              <w:t>6%</w:t>
            </w:r>
            <w:r>
              <w:rPr>
                <w:rFonts w:ascii="Times New Roman" w:hAnsi="Times New Roman" w:eastAsia="Times New Roman" w:cs="Times New Roman"/>
                <w:strike/>
                <w:dstrike w:val="0"/>
                <w:color w:val="auto"/>
                <w:spacing w:val="-29"/>
                <w:sz w:val="21"/>
                <w:szCs w:val="21"/>
                <w:highlight w:val="none"/>
              </w:rPr>
              <w:t xml:space="preserve"> </w:t>
            </w:r>
            <w:r>
              <w:rPr>
                <w:strike/>
                <w:dstrike w:val="0"/>
                <w:color w:val="auto"/>
                <w:spacing w:val="-4"/>
                <w:sz w:val="21"/>
                <w:szCs w:val="21"/>
                <w:highlight w:val="none"/>
              </w:rPr>
              <w:t>、</w:t>
            </w:r>
            <w:r>
              <w:rPr>
                <w:rFonts w:ascii="Times New Roman" w:hAnsi="Times New Roman" w:eastAsia="Times New Roman" w:cs="Times New Roman"/>
                <w:strike/>
                <w:dstrike w:val="0"/>
                <w:color w:val="auto"/>
                <w:spacing w:val="-4"/>
                <w:sz w:val="21"/>
                <w:szCs w:val="21"/>
                <w:highlight w:val="none"/>
              </w:rPr>
              <w:t>6.5%</w:t>
            </w:r>
            <w:r>
              <w:rPr>
                <w:rFonts w:ascii="Times New Roman" w:hAnsi="Times New Roman" w:eastAsia="Times New Roman" w:cs="Times New Roman"/>
                <w:strike/>
                <w:dstrike w:val="0"/>
                <w:color w:val="auto"/>
                <w:spacing w:val="-30"/>
                <w:sz w:val="21"/>
                <w:szCs w:val="21"/>
                <w:highlight w:val="none"/>
              </w:rPr>
              <w:t xml:space="preserve"> </w:t>
            </w:r>
            <w:r>
              <w:rPr>
                <w:strike/>
                <w:dstrike w:val="0"/>
                <w:color w:val="auto"/>
                <w:spacing w:val="-4"/>
                <w:sz w:val="21"/>
                <w:szCs w:val="21"/>
                <w:highlight w:val="none"/>
              </w:rPr>
              <w:t>、</w:t>
            </w:r>
            <w:r>
              <w:rPr>
                <w:rFonts w:ascii="Times New Roman" w:hAnsi="Times New Roman" w:eastAsia="Times New Roman" w:cs="Times New Roman"/>
                <w:strike/>
                <w:dstrike w:val="0"/>
                <w:color w:val="auto"/>
                <w:spacing w:val="-4"/>
                <w:sz w:val="21"/>
                <w:szCs w:val="21"/>
                <w:highlight w:val="none"/>
              </w:rPr>
              <w:t>7%</w:t>
            </w:r>
            <w:r>
              <w:rPr>
                <w:rFonts w:ascii="Times New Roman" w:hAnsi="Times New Roman" w:eastAsia="Times New Roman" w:cs="Times New Roman"/>
                <w:strike/>
                <w:dstrike w:val="0"/>
                <w:color w:val="auto"/>
                <w:spacing w:val="-29"/>
                <w:sz w:val="21"/>
                <w:szCs w:val="21"/>
                <w:highlight w:val="none"/>
              </w:rPr>
              <w:t xml:space="preserve"> </w:t>
            </w:r>
            <w:r>
              <w:rPr>
                <w:strike/>
                <w:dstrike w:val="0"/>
                <w:color w:val="auto"/>
                <w:spacing w:val="-4"/>
                <w:sz w:val="21"/>
                <w:szCs w:val="21"/>
                <w:highlight w:val="none"/>
              </w:rPr>
              <w:t>、</w:t>
            </w:r>
            <w:r>
              <w:rPr>
                <w:rFonts w:ascii="Times New Roman" w:hAnsi="Times New Roman" w:eastAsia="Times New Roman" w:cs="Times New Roman"/>
                <w:strike/>
                <w:dstrike w:val="0"/>
                <w:color w:val="auto"/>
                <w:spacing w:val="-4"/>
                <w:sz w:val="21"/>
                <w:szCs w:val="21"/>
                <w:highlight w:val="none"/>
              </w:rPr>
              <w:t>7.5%</w:t>
            </w:r>
            <w:r>
              <w:rPr>
                <w:rFonts w:ascii="Times New Roman" w:hAnsi="Times New Roman" w:eastAsia="Times New Roman" w:cs="Times New Roman"/>
                <w:strike/>
                <w:dstrike w:val="0"/>
                <w:color w:val="auto"/>
                <w:spacing w:val="-29"/>
                <w:sz w:val="21"/>
                <w:szCs w:val="21"/>
                <w:highlight w:val="none"/>
              </w:rPr>
              <w:t xml:space="preserve"> </w:t>
            </w:r>
            <w:r>
              <w:rPr>
                <w:strike/>
                <w:dstrike w:val="0"/>
                <w:color w:val="auto"/>
                <w:spacing w:val="-4"/>
                <w:sz w:val="21"/>
                <w:szCs w:val="21"/>
                <w:highlight w:val="none"/>
              </w:rPr>
              <w:t>、</w:t>
            </w:r>
            <w:r>
              <w:rPr>
                <w:rFonts w:ascii="Times New Roman" w:hAnsi="Times New Roman" w:eastAsia="Times New Roman" w:cs="Times New Roman"/>
                <w:strike/>
                <w:dstrike w:val="0"/>
                <w:color w:val="auto"/>
                <w:spacing w:val="-4"/>
                <w:sz w:val="21"/>
                <w:szCs w:val="21"/>
                <w:highlight w:val="none"/>
              </w:rPr>
              <w:t>8%</w:t>
            </w:r>
            <w:r>
              <w:rPr>
                <w:strike/>
                <w:dstrike w:val="0"/>
                <w:color w:val="auto"/>
                <w:spacing w:val="-4"/>
                <w:sz w:val="21"/>
                <w:szCs w:val="21"/>
                <w:highlight w:val="none"/>
              </w:rPr>
              <w:t>等</w:t>
            </w:r>
            <w:r>
              <w:rPr>
                <w:rFonts w:ascii="Times New Roman" w:hAnsi="Times New Roman" w:eastAsia="Times New Roman" w:cs="Times New Roman"/>
                <w:strike/>
                <w:dstrike w:val="0"/>
                <w:color w:val="auto"/>
                <w:spacing w:val="-4"/>
                <w:sz w:val="21"/>
                <w:szCs w:val="21"/>
                <w:highlight w:val="none"/>
              </w:rPr>
              <w:t>16</w:t>
            </w:r>
            <w:r>
              <w:rPr>
                <w:strike/>
                <w:dstrike w:val="0"/>
                <w:color w:val="auto"/>
                <w:spacing w:val="-4"/>
                <w:sz w:val="21"/>
                <w:szCs w:val="21"/>
                <w:highlight w:val="none"/>
              </w:rPr>
              <w:t>个数中确定一组</w:t>
            </w:r>
            <w:r>
              <w:rPr>
                <w:strike/>
                <w:dstrike w:val="0"/>
                <w:color w:val="auto"/>
                <w:sz w:val="21"/>
                <w:szCs w:val="21"/>
                <w:highlight w:val="none"/>
              </w:rPr>
              <w:t xml:space="preserve"> </w:t>
            </w:r>
            <w:r>
              <w:rPr>
                <w:strike/>
                <w:dstrike w:val="0"/>
                <w:color w:val="auto"/>
                <w:spacing w:val="-3"/>
                <w:sz w:val="21"/>
                <w:szCs w:val="21"/>
                <w:highlight w:val="none"/>
              </w:rPr>
              <w:t>其中</w:t>
            </w:r>
            <w:r>
              <w:rPr>
                <w:rFonts w:ascii="Times New Roman" w:hAnsi="Times New Roman" w:eastAsia="Times New Roman" w:cs="Times New Roman"/>
                <w:strike/>
                <w:dstrike w:val="0"/>
                <w:color w:val="auto"/>
                <w:spacing w:val="-3"/>
                <w:sz w:val="21"/>
                <w:szCs w:val="21"/>
                <w:highlight w:val="none"/>
              </w:rPr>
              <w:t>5</w:t>
            </w:r>
            <w:r>
              <w:rPr>
                <w:strike/>
                <w:dstrike w:val="0"/>
                <w:color w:val="auto"/>
                <w:spacing w:val="-3"/>
                <w:sz w:val="21"/>
                <w:szCs w:val="21"/>
                <w:highlight w:val="none"/>
              </w:rPr>
              <w:t>个数组成的等差数列）。</w:t>
            </w:r>
          </w:p>
          <w:p w14:paraId="76426140">
            <w:pPr>
              <w:pStyle w:val="17"/>
              <w:spacing w:before="49" w:line="265" w:lineRule="auto"/>
              <w:ind w:left="112" w:right="142"/>
              <w:jc w:val="both"/>
              <w:rPr>
                <w:color w:val="auto"/>
                <w:sz w:val="21"/>
                <w:szCs w:val="21"/>
                <w:highlight w:val="none"/>
              </w:rPr>
            </w:pPr>
            <w:r>
              <w:rPr>
                <w:strike/>
                <w:dstrike w:val="0"/>
                <w:color w:val="auto"/>
                <w:spacing w:val="-1"/>
                <w:sz w:val="21"/>
                <w:szCs w:val="21"/>
                <w:highlight w:val="none"/>
              </w:rPr>
              <w:t>招标预算指根据浙江省现行水利工程造价计价依据和有关</w:t>
            </w:r>
            <w:r>
              <w:rPr>
                <w:strike/>
                <w:dstrike w:val="0"/>
                <w:color w:val="auto"/>
                <w:spacing w:val="14"/>
                <w:sz w:val="21"/>
                <w:szCs w:val="21"/>
                <w:highlight w:val="none"/>
              </w:rPr>
              <w:t xml:space="preserve"> </w:t>
            </w:r>
            <w:r>
              <w:rPr>
                <w:strike/>
                <w:dstrike w:val="0"/>
                <w:color w:val="auto"/>
                <w:spacing w:val="-1"/>
                <w:sz w:val="21"/>
                <w:szCs w:val="21"/>
                <w:highlight w:val="none"/>
              </w:rPr>
              <w:t>规定，以及拟定的招标文件，结合工程具体情况、市场价</w:t>
            </w:r>
            <w:r>
              <w:rPr>
                <w:strike/>
                <w:dstrike w:val="0"/>
                <w:color w:val="auto"/>
                <w:spacing w:val="15"/>
                <w:sz w:val="21"/>
                <w:szCs w:val="21"/>
                <w:highlight w:val="none"/>
              </w:rPr>
              <w:t xml:space="preserve"> </w:t>
            </w:r>
            <w:r>
              <w:rPr>
                <w:strike/>
                <w:dstrike w:val="0"/>
                <w:color w:val="auto"/>
                <w:spacing w:val="-4"/>
                <w:sz w:val="21"/>
                <w:szCs w:val="21"/>
                <w:highlight w:val="none"/>
              </w:rPr>
              <w:t>格进行编制的造价文件。</w:t>
            </w:r>
          </w:p>
        </w:tc>
      </w:tr>
      <w:tr w14:paraId="51629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2" w:hRule="atLeast"/>
        </w:trPr>
        <w:tc>
          <w:tcPr>
            <w:tcW w:w="952" w:type="dxa"/>
            <w:tcBorders>
              <w:left w:val="single" w:color="000000" w:sz="6" w:space="0"/>
            </w:tcBorders>
            <w:vAlign w:val="top"/>
          </w:tcPr>
          <w:p w14:paraId="5A7CEE1B">
            <w:pPr>
              <w:spacing w:line="249" w:lineRule="auto"/>
              <w:rPr>
                <w:rFonts w:ascii="Arial"/>
                <w:color w:val="auto"/>
                <w:sz w:val="21"/>
                <w:highlight w:val="none"/>
              </w:rPr>
            </w:pPr>
          </w:p>
          <w:p w14:paraId="4710F33F">
            <w:pPr>
              <w:spacing w:line="249" w:lineRule="auto"/>
              <w:rPr>
                <w:rFonts w:ascii="Arial"/>
                <w:color w:val="auto"/>
                <w:sz w:val="21"/>
                <w:highlight w:val="none"/>
              </w:rPr>
            </w:pPr>
          </w:p>
          <w:p w14:paraId="5A0FF688">
            <w:pPr>
              <w:spacing w:line="249" w:lineRule="auto"/>
              <w:rPr>
                <w:rFonts w:ascii="Arial"/>
                <w:color w:val="auto"/>
                <w:sz w:val="21"/>
                <w:highlight w:val="none"/>
              </w:rPr>
            </w:pPr>
          </w:p>
          <w:p w14:paraId="3C9E2340">
            <w:pPr>
              <w:spacing w:line="249" w:lineRule="auto"/>
              <w:rPr>
                <w:rFonts w:ascii="Arial"/>
                <w:color w:val="auto"/>
                <w:sz w:val="21"/>
                <w:highlight w:val="none"/>
              </w:rPr>
            </w:pPr>
          </w:p>
          <w:p w14:paraId="26BEF072">
            <w:pPr>
              <w:spacing w:line="249" w:lineRule="auto"/>
              <w:rPr>
                <w:rFonts w:ascii="Arial"/>
                <w:color w:val="auto"/>
                <w:sz w:val="21"/>
                <w:highlight w:val="none"/>
              </w:rPr>
            </w:pPr>
          </w:p>
          <w:p w14:paraId="737436E9">
            <w:pPr>
              <w:spacing w:line="249" w:lineRule="auto"/>
              <w:rPr>
                <w:rFonts w:ascii="Arial"/>
                <w:color w:val="auto"/>
                <w:sz w:val="21"/>
                <w:highlight w:val="none"/>
              </w:rPr>
            </w:pPr>
          </w:p>
          <w:p w14:paraId="6A630C1D">
            <w:pPr>
              <w:spacing w:line="249" w:lineRule="auto"/>
              <w:rPr>
                <w:rFonts w:ascii="Arial"/>
                <w:color w:val="auto"/>
                <w:sz w:val="21"/>
                <w:highlight w:val="none"/>
              </w:rPr>
            </w:pPr>
          </w:p>
          <w:p w14:paraId="79F634E4">
            <w:pPr>
              <w:spacing w:line="249" w:lineRule="auto"/>
              <w:rPr>
                <w:rFonts w:ascii="Arial"/>
                <w:color w:val="auto"/>
                <w:sz w:val="21"/>
                <w:highlight w:val="none"/>
              </w:rPr>
            </w:pPr>
          </w:p>
          <w:p w14:paraId="60C3C71E">
            <w:pPr>
              <w:spacing w:line="250" w:lineRule="auto"/>
              <w:rPr>
                <w:rFonts w:ascii="Arial"/>
                <w:color w:val="auto"/>
                <w:sz w:val="21"/>
                <w:highlight w:val="none"/>
              </w:rPr>
            </w:pPr>
          </w:p>
          <w:p w14:paraId="4B232955">
            <w:pPr>
              <w:spacing w:line="250" w:lineRule="auto"/>
              <w:rPr>
                <w:rFonts w:ascii="Arial"/>
                <w:color w:val="auto"/>
                <w:sz w:val="21"/>
                <w:highlight w:val="none"/>
              </w:rPr>
            </w:pPr>
          </w:p>
          <w:p w14:paraId="5E491A41">
            <w:pPr>
              <w:spacing w:line="250" w:lineRule="auto"/>
              <w:rPr>
                <w:rFonts w:ascii="Arial"/>
                <w:color w:val="auto"/>
                <w:sz w:val="21"/>
                <w:highlight w:val="none"/>
              </w:rPr>
            </w:pPr>
          </w:p>
          <w:p w14:paraId="268F470F">
            <w:pPr>
              <w:spacing w:line="250" w:lineRule="auto"/>
              <w:rPr>
                <w:rFonts w:ascii="Arial"/>
                <w:color w:val="auto"/>
                <w:sz w:val="21"/>
                <w:highlight w:val="none"/>
              </w:rPr>
            </w:pPr>
          </w:p>
          <w:p w14:paraId="728576E5">
            <w:pPr>
              <w:spacing w:before="61" w:line="188"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10.6</w:t>
            </w:r>
          </w:p>
        </w:tc>
        <w:tc>
          <w:tcPr>
            <w:tcW w:w="2444" w:type="dxa"/>
            <w:vAlign w:val="top"/>
          </w:tcPr>
          <w:p w14:paraId="1A2F620B">
            <w:pPr>
              <w:spacing w:line="255" w:lineRule="auto"/>
              <w:rPr>
                <w:rFonts w:ascii="Arial"/>
                <w:color w:val="auto"/>
                <w:sz w:val="21"/>
                <w:highlight w:val="none"/>
              </w:rPr>
            </w:pPr>
          </w:p>
          <w:p w14:paraId="23C58844">
            <w:pPr>
              <w:spacing w:line="255" w:lineRule="auto"/>
              <w:rPr>
                <w:rFonts w:ascii="Arial"/>
                <w:color w:val="auto"/>
                <w:sz w:val="21"/>
                <w:highlight w:val="none"/>
              </w:rPr>
            </w:pPr>
          </w:p>
          <w:p w14:paraId="3C6B3DED">
            <w:pPr>
              <w:spacing w:line="255" w:lineRule="auto"/>
              <w:rPr>
                <w:rFonts w:ascii="Arial"/>
                <w:color w:val="auto"/>
                <w:sz w:val="21"/>
                <w:highlight w:val="none"/>
              </w:rPr>
            </w:pPr>
          </w:p>
          <w:p w14:paraId="4C8A1EAB">
            <w:pPr>
              <w:spacing w:line="255" w:lineRule="auto"/>
              <w:rPr>
                <w:rFonts w:ascii="Arial"/>
                <w:color w:val="auto"/>
                <w:sz w:val="21"/>
                <w:highlight w:val="none"/>
              </w:rPr>
            </w:pPr>
          </w:p>
          <w:p w14:paraId="2F185DEE">
            <w:pPr>
              <w:spacing w:line="255" w:lineRule="auto"/>
              <w:rPr>
                <w:rFonts w:ascii="Arial"/>
                <w:color w:val="auto"/>
                <w:sz w:val="21"/>
                <w:highlight w:val="none"/>
              </w:rPr>
            </w:pPr>
          </w:p>
          <w:p w14:paraId="263B7174">
            <w:pPr>
              <w:spacing w:line="256" w:lineRule="auto"/>
              <w:rPr>
                <w:rFonts w:ascii="Arial"/>
                <w:color w:val="auto"/>
                <w:sz w:val="21"/>
                <w:highlight w:val="none"/>
              </w:rPr>
            </w:pPr>
          </w:p>
          <w:p w14:paraId="40626066">
            <w:pPr>
              <w:spacing w:line="256" w:lineRule="auto"/>
              <w:rPr>
                <w:rFonts w:ascii="Arial"/>
                <w:color w:val="auto"/>
                <w:sz w:val="21"/>
                <w:highlight w:val="none"/>
              </w:rPr>
            </w:pPr>
          </w:p>
          <w:p w14:paraId="3CF71FAC">
            <w:pPr>
              <w:spacing w:line="256" w:lineRule="auto"/>
              <w:rPr>
                <w:rFonts w:ascii="Arial"/>
                <w:color w:val="auto"/>
                <w:sz w:val="21"/>
                <w:highlight w:val="none"/>
              </w:rPr>
            </w:pPr>
          </w:p>
          <w:p w14:paraId="6DD91695">
            <w:pPr>
              <w:spacing w:line="256" w:lineRule="auto"/>
              <w:rPr>
                <w:rFonts w:ascii="Arial"/>
                <w:color w:val="auto"/>
                <w:sz w:val="21"/>
                <w:highlight w:val="none"/>
              </w:rPr>
            </w:pPr>
          </w:p>
          <w:p w14:paraId="72B9D334">
            <w:pPr>
              <w:spacing w:line="256" w:lineRule="auto"/>
              <w:rPr>
                <w:rFonts w:ascii="Arial"/>
                <w:color w:val="auto"/>
                <w:sz w:val="21"/>
                <w:highlight w:val="none"/>
              </w:rPr>
            </w:pPr>
          </w:p>
          <w:p w14:paraId="5E5A2588">
            <w:pPr>
              <w:spacing w:line="256" w:lineRule="auto"/>
              <w:rPr>
                <w:rFonts w:ascii="Arial"/>
                <w:color w:val="auto"/>
                <w:sz w:val="21"/>
                <w:highlight w:val="none"/>
              </w:rPr>
            </w:pPr>
          </w:p>
          <w:p w14:paraId="01A321AA">
            <w:pPr>
              <w:pStyle w:val="17"/>
              <w:spacing w:before="68" w:line="242" w:lineRule="auto"/>
              <w:ind w:left="107" w:right="108"/>
              <w:rPr>
                <w:color w:val="auto"/>
                <w:sz w:val="21"/>
                <w:szCs w:val="21"/>
                <w:highlight w:val="none"/>
              </w:rPr>
            </w:pPr>
            <w:r>
              <w:rPr>
                <w:color w:val="auto"/>
                <w:spacing w:val="12"/>
                <w:sz w:val="21"/>
                <w:szCs w:val="21"/>
                <w:highlight w:val="none"/>
              </w:rPr>
              <w:t>在建合同工程的认定及</w:t>
            </w:r>
            <w:r>
              <w:rPr>
                <w:color w:val="auto"/>
                <w:spacing w:val="2"/>
                <w:sz w:val="21"/>
                <w:szCs w:val="21"/>
                <w:highlight w:val="none"/>
              </w:rPr>
              <w:t xml:space="preserve"> </w:t>
            </w:r>
            <w:r>
              <w:rPr>
                <w:color w:val="auto"/>
                <w:spacing w:val="-2"/>
                <w:sz w:val="21"/>
                <w:szCs w:val="21"/>
                <w:highlight w:val="none"/>
              </w:rPr>
              <w:t>变更证明</w:t>
            </w:r>
          </w:p>
        </w:tc>
        <w:tc>
          <w:tcPr>
            <w:tcW w:w="5506" w:type="dxa"/>
            <w:tcBorders>
              <w:right w:val="single" w:color="000000" w:sz="6" w:space="0"/>
            </w:tcBorders>
            <w:vAlign w:val="top"/>
          </w:tcPr>
          <w:p w14:paraId="5CEF4483">
            <w:pPr>
              <w:pStyle w:val="17"/>
              <w:spacing w:before="38" w:line="220" w:lineRule="auto"/>
              <w:ind w:left="338"/>
              <w:rPr>
                <w:color w:val="auto"/>
                <w:sz w:val="21"/>
                <w:szCs w:val="21"/>
                <w:highlight w:val="none"/>
              </w:rPr>
            </w:pPr>
            <w:r>
              <w:rPr>
                <w:rFonts w:ascii="Times New Roman" w:hAnsi="Times New Roman" w:eastAsia="Times New Roman" w:cs="Times New Roman"/>
                <w:color w:val="auto"/>
                <w:spacing w:val="-5"/>
                <w:sz w:val="21"/>
                <w:szCs w:val="21"/>
                <w:highlight w:val="none"/>
              </w:rPr>
              <w:t>1</w:t>
            </w:r>
            <w:r>
              <w:rPr>
                <w:rFonts w:ascii="Times New Roman" w:hAnsi="Times New Roman" w:eastAsia="Times New Roman" w:cs="Times New Roman"/>
                <w:color w:val="auto"/>
                <w:spacing w:val="-10"/>
                <w:sz w:val="21"/>
                <w:szCs w:val="21"/>
                <w:highlight w:val="none"/>
              </w:rPr>
              <w:t xml:space="preserve"> </w:t>
            </w:r>
            <w:r>
              <w:rPr>
                <w:color w:val="auto"/>
                <w:spacing w:val="-5"/>
                <w:sz w:val="21"/>
                <w:szCs w:val="21"/>
                <w:highlight w:val="none"/>
              </w:rPr>
              <w:t>．对项目负责人“有在建合同工程”的认定标准：</w:t>
            </w:r>
          </w:p>
          <w:p w14:paraId="163E699B">
            <w:pPr>
              <w:pStyle w:val="17"/>
              <w:spacing w:before="24" w:line="239" w:lineRule="auto"/>
              <w:ind w:left="111" w:right="141" w:firstLine="210"/>
              <w:rPr>
                <w:color w:val="auto"/>
                <w:sz w:val="21"/>
                <w:szCs w:val="21"/>
                <w:highlight w:val="none"/>
              </w:rPr>
            </w:pPr>
            <w:r>
              <w:rPr>
                <w:color w:val="auto"/>
                <w:spacing w:val="-1"/>
                <w:sz w:val="21"/>
                <w:szCs w:val="21"/>
                <w:highlight w:val="none"/>
              </w:rPr>
              <w:t>拟派项目负责人在投标截止时间尚有在其他在建合同工</w:t>
            </w:r>
            <w:r>
              <w:rPr>
                <w:color w:val="auto"/>
                <w:spacing w:val="14"/>
                <w:sz w:val="21"/>
                <w:szCs w:val="21"/>
                <w:highlight w:val="none"/>
              </w:rPr>
              <w:t xml:space="preserve"> </w:t>
            </w:r>
            <w:r>
              <w:rPr>
                <w:color w:val="auto"/>
                <w:spacing w:val="-1"/>
                <w:sz w:val="21"/>
                <w:szCs w:val="21"/>
                <w:highlight w:val="none"/>
              </w:rPr>
              <w:t>程中担任项目负责人（包括工程总承包项目中的施工负责</w:t>
            </w:r>
            <w:r>
              <w:rPr>
                <w:color w:val="auto"/>
                <w:spacing w:val="16"/>
                <w:sz w:val="21"/>
                <w:szCs w:val="21"/>
                <w:highlight w:val="none"/>
              </w:rPr>
              <w:t xml:space="preserve"> </w:t>
            </w:r>
            <w:r>
              <w:rPr>
                <w:color w:val="auto"/>
                <w:spacing w:val="-3"/>
                <w:sz w:val="21"/>
                <w:szCs w:val="21"/>
                <w:highlight w:val="none"/>
              </w:rPr>
              <w:t>人）的情形为“有在建合同工程”。</w:t>
            </w:r>
          </w:p>
          <w:p w14:paraId="5D45AE13">
            <w:pPr>
              <w:pStyle w:val="17"/>
              <w:spacing w:before="1" w:line="239" w:lineRule="auto"/>
              <w:ind w:left="115" w:right="141" w:firstLine="205"/>
              <w:rPr>
                <w:color w:val="auto"/>
                <w:sz w:val="21"/>
                <w:szCs w:val="21"/>
                <w:highlight w:val="none"/>
              </w:rPr>
            </w:pPr>
            <w:r>
              <w:rPr>
                <w:color w:val="auto"/>
                <w:spacing w:val="-1"/>
                <w:sz w:val="21"/>
                <w:szCs w:val="21"/>
                <w:highlight w:val="none"/>
              </w:rPr>
              <w:t>在建合同工程项目，包括在中华人民共和国境内所有建</w:t>
            </w:r>
            <w:r>
              <w:rPr>
                <w:color w:val="auto"/>
                <w:spacing w:val="15"/>
                <w:sz w:val="21"/>
                <w:szCs w:val="21"/>
                <w:highlight w:val="none"/>
              </w:rPr>
              <w:t xml:space="preserve"> </w:t>
            </w:r>
            <w:r>
              <w:rPr>
                <w:color w:val="auto"/>
                <w:spacing w:val="-2"/>
                <w:sz w:val="21"/>
                <w:szCs w:val="21"/>
                <w:highlight w:val="none"/>
              </w:rPr>
              <w:t>设工程，不受地域、行业和投资性质的限制。</w:t>
            </w:r>
          </w:p>
          <w:p w14:paraId="47A9DBD0">
            <w:pPr>
              <w:pStyle w:val="17"/>
              <w:spacing w:before="1" w:line="239" w:lineRule="auto"/>
              <w:ind w:left="113" w:right="141" w:firstLine="208"/>
              <w:rPr>
                <w:color w:val="auto"/>
                <w:sz w:val="21"/>
                <w:szCs w:val="21"/>
                <w:highlight w:val="none"/>
              </w:rPr>
            </w:pPr>
            <w:r>
              <w:rPr>
                <w:color w:val="auto"/>
                <w:spacing w:val="-1"/>
                <w:sz w:val="21"/>
                <w:szCs w:val="21"/>
                <w:highlight w:val="none"/>
              </w:rPr>
              <w:t>在建合同工程的时间界定：中标通知书发出之日（不通</w:t>
            </w:r>
            <w:r>
              <w:rPr>
                <w:color w:val="auto"/>
                <w:spacing w:val="15"/>
                <w:sz w:val="21"/>
                <w:szCs w:val="21"/>
                <w:highlight w:val="none"/>
              </w:rPr>
              <w:t xml:space="preserve"> </w:t>
            </w:r>
            <w:r>
              <w:rPr>
                <w:color w:val="auto"/>
                <w:spacing w:val="-1"/>
                <w:sz w:val="21"/>
                <w:szCs w:val="21"/>
                <w:highlight w:val="none"/>
              </w:rPr>
              <w:t>过招标方式的，开始时间为合同签订之日</w:t>
            </w:r>
            <w:r>
              <w:rPr>
                <w:color w:val="auto"/>
                <w:spacing w:val="6"/>
                <w:sz w:val="21"/>
                <w:szCs w:val="21"/>
                <w:highlight w:val="none"/>
              </w:rPr>
              <w:t>），</w:t>
            </w:r>
            <w:r>
              <w:rPr>
                <w:color w:val="auto"/>
                <w:spacing w:val="-1"/>
                <w:sz w:val="21"/>
                <w:szCs w:val="21"/>
                <w:highlight w:val="none"/>
              </w:rPr>
              <w:t>结束时间为</w:t>
            </w:r>
            <w:r>
              <w:rPr>
                <w:color w:val="auto"/>
                <w:sz w:val="21"/>
                <w:szCs w:val="21"/>
                <w:highlight w:val="none"/>
              </w:rPr>
              <w:t xml:space="preserve"> </w:t>
            </w:r>
            <w:r>
              <w:rPr>
                <w:color w:val="auto"/>
                <w:spacing w:val="-3"/>
                <w:sz w:val="21"/>
                <w:szCs w:val="21"/>
                <w:highlight w:val="none"/>
              </w:rPr>
              <w:t>该合同工程通过验收或合同解除之日。</w:t>
            </w:r>
          </w:p>
          <w:p w14:paraId="2F6FC077">
            <w:pPr>
              <w:pStyle w:val="17"/>
              <w:spacing w:line="220" w:lineRule="auto"/>
              <w:ind w:left="345"/>
              <w:rPr>
                <w:color w:val="auto"/>
                <w:sz w:val="21"/>
                <w:szCs w:val="21"/>
                <w:highlight w:val="none"/>
              </w:rPr>
            </w:pPr>
            <w:r>
              <w:rPr>
                <w:color w:val="auto"/>
                <w:spacing w:val="-5"/>
                <w:sz w:val="21"/>
                <w:szCs w:val="21"/>
                <w:highlight w:val="none"/>
              </w:rPr>
              <w:t>以下情形视为“有在建合同工程”：</w:t>
            </w:r>
          </w:p>
          <w:p w14:paraId="503FD9AF">
            <w:pPr>
              <w:pStyle w:val="17"/>
              <w:spacing w:before="22" w:line="229" w:lineRule="auto"/>
              <w:ind w:left="152" w:right="191" w:firstLine="175"/>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w:t>
            </w:r>
            <w:r>
              <w:rPr>
                <w:color w:val="auto"/>
                <w:spacing w:val="-1"/>
                <w:sz w:val="21"/>
                <w:szCs w:val="21"/>
                <w:highlight w:val="none"/>
              </w:rPr>
              <w:t>）合同协议书尚未签订的，中标通知书中载明的项</w:t>
            </w:r>
            <w:r>
              <w:rPr>
                <w:color w:val="auto"/>
                <w:spacing w:val="8"/>
                <w:sz w:val="21"/>
                <w:szCs w:val="21"/>
                <w:highlight w:val="none"/>
              </w:rPr>
              <w:t xml:space="preserve"> </w:t>
            </w:r>
            <w:r>
              <w:rPr>
                <w:color w:val="auto"/>
                <w:spacing w:val="-4"/>
                <w:sz w:val="21"/>
                <w:szCs w:val="21"/>
                <w:highlight w:val="none"/>
              </w:rPr>
              <w:t>目负责人（包括工程总承包项目中的施工负责人）为准；</w:t>
            </w:r>
          </w:p>
          <w:p w14:paraId="247D659A">
            <w:pPr>
              <w:pStyle w:val="17"/>
              <w:spacing w:before="24" w:line="229" w:lineRule="auto"/>
              <w:ind w:left="120" w:right="287" w:firstLine="207"/>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2</w:t>
            </w:r>
            <w:r>
              <w:rPr>
                <w:color w:val="auto"/>
                <w:spacing w:val="-3"/>
                <w:sz w:val="21"/>
                <w:szCs w:val="21"/>
                <w:highlight w:val="none"/>
              </w:rPr>
              <w:t>）合同协议书已经签订，合同协议书中明确的项目</w:t>
            </w:r>
            <w:r>
              <w:rPr>
                <w:color w:val="auto"/>
                <w:spacing w:val="16"/>
                <w:sz w:val="21"/>
                <w:szCs w:val="21"/>
                <w:highlight w:val="none"/>
              </w:rPr>
              <w:t xml:space="preserve"> </w:t>
            </w:r>
            <w:r>
              <w:rPr>
                <w:color w:val="auto"/>
                <w:spacing w:val="-3"/>
                <w:sz w:val="21"/>
                <w:szCs w:val="21"/>
                <w:highlight w:val="none"/>
              </w:rPr>
              <w:t>负责人（包括工程总承包项目中的施工负责人）为准；</w:t>
            </w:r>
          </w:p>
          <w:p w14:paraId="0758A6D8">
            <w:pPr>
              <w:pStyle w:val="17"/>
              <w:spacing w:before="23" w:line="234" w:lineRule="auto"/>
              <w:ind w:left="113" w:right="141" w:firstLine="214"/>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3</w:t>
            </w:r>
            <w:r>
              <w:rPr>
                <w:color w:val="auto"/>
                <w:spacing w:val="-1"/>
                <w:sz w:val="21"/>
                <w:szCs w:val="21"/>
                <w:highlight w:val="none"/>
              </w:rPr>
              <w:t>）项目负责人发生更换的，投标人在投标文件中附</w:t>
            </w:r>
            <w:r>
              <w:rPr>
                <w:color w:val="auto"/>
                <w:spacing w:val="4"/>
                <w:sz w:val="21"/>
                <w:szCs w:val="21"/>
                <w:highlight w:val="none"/>
              </w:rPr>
              <w:t xml:space="preserve">  </w:t>
            </w:r>
            <w:r>
              <w:rPr>
                <w:color w:val="auto"/>
                <w:spacing w:val="-1"/>
                <w:sz w:val="21"/>
                <w:szCs w:val="21"/>
                <w:highlight w:val="none"/>
              </w:rPr>
              <w:t>有下列第</w:t>
            </w:r>
            <w:r>
              <w:rPr>
                <w:rFonts w:ascii="Times New Roman" w:hAnsi="Times New Roman" w:eastAsia="Times New Roman" w:cs="Times New Roman"/>
                <w:color w:val="auto"/>
                <w:spacing w:val="-1"/>
                <w:sz w:val="21"/>
                <w:szCs w:val="21"/>
                <w:highlight w:val="none"/>
              </w:rPr>
              <w:t>2</w:t>
            </w:r>
            <w:r>
              <w:rPr>
                <w:color w:val="auto"/>
                <w:spacing w:val="-1"/>
                <w:sz w:val="21"/>
                <w:szCs w:val="21"/>
                <w:highlight w:val="none"/>
              </w:rPr>
              <w:t>项证明材料的，以现任项目负责人视为有“在</w:t>
            </w:r>
            <w:r>
              <w:rPr>
                <w:color w:val="auto"/>
                <w:spacing w:val="7"/>
                <w:sz w:val="21"/>
                <w:szCs w:val="21"/>
                <w:highlight w:val="none"/>
              </w:rPr>
              <w:t xml:space="preserve">  </w:t>
            </w:r>
            <w:r>
              <w:rPr>
                <w:color w:val="auto"/>
                <w:spacing w:val="-1"/>
                <w:sz w:val="21"/>
                <w:szCs w:val="21"/>
                <w:highlight w:val="none"/>
              </w:rPr>
              <w:t>建合同工程”；未附证明材料的，则仍然以更换前的项目</w:t>
            </w:r>
            <w:r>
              <w:rPr>
                <w:color w:val="auto"/>
                <w:spacing w:val="14"/>
                <w:sz w:val="21"/>
                <w:szCs w:val="21"/>
                <w:highlight w:val="none"/>
              </w:rPr>
              <w:t xml:space="preserve"> </w:t>
            </w:r>
            <w:r>
              <w:rPr>
                <w:color w:val="auto"/>
                <w:spacing w:val="-3"/>
                <w:sz w:val="21"/>
                <w:szCs w:val="21"/>
                <w:highlight w:val="none"/>
              </w:rPr>
              <w:t>负责人视为有“在建合同工程”。</w:t>
            </w:r>
          </w:p>
          <w:p w14:paraId="197E37D5">
            <w:pPr>
              <w:pStyle w:val="17"/>
              <w:spacing w:before="24" w:line="239" w:lineRule="auto"/>
              <w:ind w:left="129" w:right="247" w:firstLine="189"/>
              <w:rPr>
                <w:color w:val="auto"/>
                <w:sz w:val="21"/>
                <w:szCs w:val="21"/>
                <w:highlight w:val="none"/>
              </w:rPr>
            </w:pPr>
            <w:r>
              <w:rPr>
                <w:rFonts w:ascii="Times New Roman" w:hAnsi="Times New Roman" w:eastAsia="Times New Roman" w:cs="Times New Roman"/>
                <w:color w:val="auto"/>
                <w:spacing w:val="-2"/>
                <w:sz w:val="21"/>
                <w:szCs w:val="21"/>
                <w:highlight w:val="none"/>
              </w:rPr>
              <w:t>2</w:t>
            </w:r>
            <w:r>
              <w:rPr>
                <w:rFonts w:ascii="Times New Roman" w:hAnsi="Times New Roman" w:eastAsia="Times New Roman" w:cs="Times New Roman"/>
                <w:color w:val="auto"/>
                <w:spacing w:val="-11"/>
                <w:sz w:val="21"/>
                <w:szCs w:val="21"/>
                <w:highlight w:val="none"/>
              </w:rPr>
              <w:t xml:space="preserve"> </w:t>
            </w:r>
            <w:r>
              <w:rPr>
                <w:color w:val="auto"/>
                <w:spacing w:val="-2"/>
                <w:sz w:val="21"/>
                <w:szCs w:val="21"/>
                <w:highlight w:val="none"/>
              </w:rPr>
              <w:t>．在建项目的项目负责人办理更换后，投标时需提供</w:t>
            </w:r>
            <w:r>
              <w:rPr>
                <w:color w:val="auto"/>
                <w:sz w:val="21"/>
                <w:szCs w:val="21"/>
                <w:highlight w:val="none"/>
              </w:rPr>
              <w:t xml:space="preserve"> </w:t>
            </w:r>
            <w:r>
              <w:rPr>
                <w:color w:val="auto"/>
                <w:spacing w:val="-14"/>
                <w:sz w:val="21"/>
                <w:szCs w:val="21"/>
                <w:highlight w:val="none"/>
              </w:rPr>
              <w:t>的资料：</w:t>
            </w:r>
          </w:p>
          <w:p w14:paraId="6E688A47">
            <w:pPr>
              <w:pStyle w:val="17"/>
              <w:spacing w:before="1" w:line="219" w:lineRule="auto"/>
              <w:ind w:left="327"/>
              <w:rPr>
                <w:color w:val="auto"/>
                <w:sz w:val="21"/>
                <w:szCs w:val="21"/>
                <w:highlight w:val="none"/>
              </w:rPr>
            </w:pPr>
            <w:r>
              <w:rPr>
                <w:color w:val="auto"/>
                <w:spacing w:val="-4"/>
                <w:sz w:val="21"/>
                <w:szCs w:val="21"/>
                <w:highlight w:val="none"/>
              </w:rPr>
              <w:t>（</w:t>
            </w:r>
            <w:r>
              <w:rPr>
                <w:rFonts w:ascii="Times New Roman" w:hAnsi="Times New Roman" w:eastAsia="Times New Roman" w:cs="Times New Roman"/>
                <w:color w:val="auto"/>
                <w:spacing w:val="-4"/>
                <w:sz w:val="21"/>
                <w:szCs w:val="21"/>
                <w:highlight w:val="none"/>
              </w:rPr>
              <w:t>1</w:t>
            </w:r>
            <w:r>
              <w:rPr>
                <w:color w:val="auto"/>
                <w:spacing w:val="-4"/>
                <w:sz w:val="21"/>
                <w:szCs w:val="21"/>
                <w:highlight w:val="none"/>
              </w:rPr>
              <w:t>）项目业主同意更换的证明；</w:t>
            </w:r>
          </w:p>
          <w:p w14:paraId="27578759">
            <w:pPr>
              <w:pStyle w:val="17"/>
              <w:spacing w:before="23" w:line="217" w:lineRule="auto"/>
              <w:ind w:left="117" w:right="259" w:firstLine="210"/>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2</w:t>
            </w:r>
            <w:r>
              <w:rPr>
                <w:color w:val="auto"/>
                <w:spacing w:val="-1"/>
                <w:sz w:val="21"/>
                <w:szCs w:val="21"/>
                <w:highlight w:val="none"/>
              </w:rPr>
              <w:t>）原项目负责人有备案主管部门的，应提供</w:t>
            </w:r>
            <w:r>
              <w:rPr>
                <w:color w:val="auto"/>
                <w:spacing w:val="-2"/>
                <w:sz w:val="21"/>
                <w:szCs w:val="21"/>
                <w:highlight w:val="none"/>
              </w:rPr>
              <w:t>备案主</w:t>
            </w:r>
            <w:r>
              <w:rPr>
                <w:color w:val="auto"/>
                <w:sz w:val="21"/>
                <w:szCs w:val="21"/>
                <w:highlight w:val="none"/>
              </w:rPr>
              <w:t xml:space="preserve"> </w:t>
            </w:r>
            <w:r>
              <w:rPr>
                <w:color w:val="auto"/>
                <w:spacing w:val="-2"/>
                <w:sz w:val="21"/>
                <w:szCs w:val="21"/>
                <w:highlight w:val="none"/>
              </w:rPr>
              <w:t>管部门同意更换的证明或网上变更信息复制件。</w:t>
            </w:r>
          </w:p>
        </w:tc>
      </w:tr>
      <w:tr w14:paraId="0F2CB3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1" w:hRule="atLeast"/>
        </w:trPr>
        <w:tc>
          <w:tcPr>
            <w:tcW w:w="952" w:type="dxa"/>
            <w:tcBorders>
              <w:left w:val="single" w:color="000000" w:sz="6" w:space="0"/>
            </w:tcBorders>
            <w:vAlign w:val="center"/>
          </w:tcPr>
          <w:p w14:paraId="54272EAE">
            <w:pPr>
              <w:spacing w:before="229" w:line="188" w:lineRule="auto"/>
              <w:ind w:firstLine="198" w:firstLineChars="100"/>
              <w:jc w:val="both"/>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10.7</w:t>
            </w:r>
          </w:p>
        </w:tc>
        <w:tc>
          <w:tcPr>
            <w:tcW w:w="2444" w:type="dxa"/>
            <w:vAlign w:val="center"/>
          </w:tcPr>
          <w:p w14:paraId="6E7E83AB">
            <w:pPr>
              <w:pStyle w:val="17"/>
              <w:spacing w:before="192" w:line="220" w:lineRule="auto"/>
              <w:ind w:left="108"/>
              <w:jc w:val="center"/>
              <w:rPr>
                <w:color w:val="auto"/>
                <w:sz w:val="21"/>
                <w:szCs w:val="21"/>
                <w:highlight w:val="none"/>
              </w:rPr>
            </w:pPr>
            <w:r>
              <w:rPr>
                <w:color w:val="auto"/>
                <w:spacing w:val="-2"/>
                <w:sz w:val="21"/>
                <w:szCs w:val="21"/>
                <w:highlight w:val="none"/>
              </w:rPr>
              <w:t>特别说明</w:t>
            </w:r>
          </w:p>
        </w:tc>
        <w:tc>
          <w:tcPr>
            <w:tcW w:w="5506" w:type="dxa"/>
            <w:tcBorders>
              <w:right w:val="single" w:color="000000" w:sz="6" w:space="0"/>
            </w:tcBorders>
            <w:vAlign w:val="top"/>
          </w:tcPr>
          <w:p w14:paraId="6892CABD">
            <w:pPr>
              <w:pStyle w:val="17"/>
              <w:spacing w:before="56" w:line="223" w:lineRule="auto"/>
              <w:ind w:left="113" w:right="102" w:firstLine="225"/>
              <w:rPr>
                <w:rFonts w:ascii="Times New Roman" w:hAnsi="Times New Roman" w:eastAsia="Times New Roman" w:cs="Times New Roman"/>
                <w:color w:val="auto"/>
                <w:spacing w:val="-6"/>
                <w:sz w:val="21"/>
                <w:szCs w:val="21"/>
                <w:highlight w:val="none"/>
              </w:rPr>
            </w:pPr>
            <w:r>
              <w:rPr>
                <w:rFonts w:ascii="Times New Roman" w:hAnsi="Times New Roman" w:eastAsia="Times New Roman" w:cs="Times New Roman"/>
                <w:color w:val="auto"/>
                <w:spacing w:val="-6"/>
                <w:sz w:val="21"/>
                <w:szCs w:val="21"/>
                <w:highlight w:val="none"/>
              </w:rPr>
              <w:t>1</w:t>
            </w:r>
            <w:r>
              <w:rPr>
                <w:rFonts w:ascii="Times New Roman" w:hAnsi="Times New Roman" w:eastAsia="Times New Roman" w:cs="Times New Roman"/>
                <w:color w:val="auto"/>
                <w:spacing w:val="-4"/>
                <w:sz w:val="21"/>
                <w:szCs w:val="21"/>
                <w:highlight w:val="none"/>
              </w:rPr>
              <w:t xml:space="preserve"> </w:t>
            </w:r>
            <w:r>
              <w:rPr>
                <w:rFonts w:hint="eastAsia" w:ascii="Times New Roman" w:hAnsi="Times New Roman" w:eastAsia="宋体" w:cs="Times New Roman"/>
                <w:color w:val="auto"/>
                <w:spacing w:val="-4"/>
                <w:sz w:val="21"/>
                <w:szCs w:val="21"/>
                <w:highlight w:val="none"/>
                <w:lang w:val="en-US" w:eastAsia="zh-CN"/>
              </w:rPr>
              <w:t>.</w:t>
            </w:r>
            <w:r>
              <w:rPr>
                <w:color w:val="auto"/>
                <w:spacing w:val="-6"/>
                <w:sz w:val="21"/>
                <w:szCs w:val="21"/>
                <w:highlight w:val="none"/>
              </w:rPr>
              <w:t>“投标人须知前附表”是对“投标人须知”正文中未</w:t>
            </w:r>
            <w:r>
              <w:rPr>
                <w:color w:val="auto"/>
                <w:sz w:val="21"/>
                <w:szCs w:val="21"/>
                <w:highlight w:val="none"/>
              </w:rPr>
              <w:t xml:space="preserve"> </w:t>
            </w:r>
            <w:r>
              <w:rPr>
                <w:color w:val="auto"/>
                <w:spacing w:val="1"/>
                <w:sz w:val="21"/>
                <w:szCs w:val="21"/>
                <w:highlight w:val="none"/>
              </w:rPr>
              <w:t>尽事宜进一步明确及重点内容的概括，招标人应结</w:t>
            </w:r>
            <w:r>
              <w:rPr>
                <w:color w:val="auto"/>
                <w:sz w:val="21"/>
                <w:szCs w:val="21"/>
                <w:highlight w:val="none"/>
              </w:rPr>
              <w:t>合招标</w:t>
            </w:r>
          </w:p>
          <w:p w14:paraId="22C17E95">
            <w:pPr>
              <w:pStyle w:val="17"/>
              <w:spacing w:before="46" w:line="239" w:lineRule="auto"/>
              <w:ind w:left="113" w:firstLine="2"/>
              <w:jc w:val="both"/>
              <w:rPr>
                <w:color w:val="auto"/>
                <w:sz w:val="21"/>
                <w:szCs w:val="21"/>
                <w:highlight w:val="none"/>
              </w:rPr>
            </w:pPr>
            <w:r>
              <w:rPr>
                <w:color w:val="auto"/>
                <w:spacing w:val="-3"/>
                <w:sz w:val="21"/>
                <w:szCs w:val="21"/>
                <w:highlight w:val="none"/>
              </w:rPr>
              <w:t>项目具体特点和实际需要编制和填写，但不应与“投标人</w:t>
            </w:r>
            <w:r>
              <w:rPr>
                <w:color w:val="auto"/>
                <w:sz w:val="21"/>
                <w:szCs w:val="21"/>
                <w:highlight w:val="none"/>
              </w:rPr>
              <w:t xml:space="preserve">   </w:t>
            </w:r>
            <w:r>
              <w:rPr>
                <w:color w:val="auto"/>
                <w:spacing w:val="-3"/>
                <w:sz w:val="21"/>
                <w:szCs w:val="21"/>
                <w:highlight w:val="none"/>
              </w:rPr>
              <w:t>须知”正文内容相抵触，若有抵触以“投标人须知前附表”</w:t>
            </w:r>
            <w:r>
              <w:rPr>
                <w:color w:val="auto"/>
                <w:sz w:val="21"/>
                <w:szCs w:val="21"/>
                <w:highlight w:val="none"/>
              </w:rPr>
              <w:t xml:space="preserve"> </w:t>
            </w:r>
            <w:r>
              <w:rPr>
                <w:color w:val="auto"/>
                <w:spacing w:val="-8"/>
                <w:sz w:val="21"/>
                <w:szCs w:val="21"/>
                <w:highlight w:val="none"/>
              </w:rPr>
              <w:t>载明的内容为准。</w:t>
            </w:r>
          </w:p>
          <w:p w14:paraId="62CFEABC">
            <w:pPr>
              <w:pStyle w:val="17"/>
              <w:spacing w:before="2" w:line="241" w:lineRule="auto"/>
              <w:ind w:left="113" w:right="247" w:firstLine="20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2</w:t>
            </w:r>
            <w:r>
              <w:rPr>
                <w:rFonts w:ascii="Times New Roman" w:hAnsi="Times New Roman" w:eastAsia="Times New Roman" w:cs="Times New Roman"/>
                <w:color w:val="auto"/>
                <w:spacing w:val="-11"/>
                <w:sz w:val="21"/>
                <w:szCs w:val="21"/>
                <w:highlight w:val="none"/>
              </w:rPr>
              <w:t xml:space="preserve"> </w:t>
            </w:r>
            <w:r>
              <w:rPr>
                <w:color w:val="auto"/>
                <w:spacing w:val="-2"/>
                <w:sz w:val="21"/>
                <w:szCs w:val="21"/>
                <w:highlight w:val="none"/>
              </w:rPr>
              <w:t>．投标人投标函与投标函附录不一致的，以投标人投</w:t>
            </w:r>
            <w:r>
              <w:rPr>
                <w:color w:val="auto"/>
                <w:sz w:val="21"/>
                <w:szCs w:val="21"/>
                <w:highlight w:val="none"/>
              </w:rPr>
              <w:t xml:space="preserve"> </w:t>
            </w:r>
            <w:r>
              <w:rPr>
                <w:color w:val="auto"/>
                <w:spacing w:val="-7"/>
                <w:sz w:val="21"/>
                <w:szCs w:val="21"/>
                <w:highlight w:val="none"/>
              </w:rPr>
              <w:t>标函为准。</w:t>
            </w:r>
          </w:p>
        </w:tc>
      </w:tr>
    </w:tbl>
    <w:p w14:paraId="08C1047E">
      <w:pPr>
        <w:pStyle w:val="8"/>
        <w:rPr>
          <w:color w:val="auto"/>
          <w:highlight w:val="none"/>
        </w:rPr>
      </w:pPr>
    </w:p>
    <w:p w14:paraId="5466DF60">
      <w:pPr>
        <w:rPr>
          <w:color w:val="auto"/>
          <w:highlight w:val="none"/>
        </w:rPr>
        <w:sectPr>
          <w:footerReference r:id="rId12" w:type="default"/>
          <w:pgSz w:w="11905" w:h="16840"/>
          <w:pgMar w:top="1431" w:right="1463" w:bottom="1255" w:left="1523" w:header="0" w:footer="1093" w:gutter="0"/>
          <w:pgNumType w:fmt="decimal"/>
          <w:cols w:space="720" w:num="1"/>
        </w:sectPr>
      </w:pPr>
    </w:p>
    <w:p w14:paraId="3D88746A">
      <w:pPr>
        <w:spacing w:before="55" w:line="227" w:lineRule="auto"/>
        <w:ind w:left="7"/>
        <w:outlineLvl w:val="2"/>
        <w:rPr>
          <w:rFonts w:ascii="宋体" w:hAnsi="宋体" w:eastAsia="宋体" w:cs="宋体"/>
          <w:color w:val="auto"/>
          <w:sz w:val="27"/>
          <w:szCs w:val="27"/>
          <w:highlight w:val="none"/>
        </w:rPr>
      </w:pPr>
      <w:bookmarkStart w:id="35" w:name="bookmark25"/>
      <w:bookmarkEnd w:id="35"/>
      <w:bookmarkStart w:id="36" w:name="_Toc31776"/>
      <w:r>
        <w:rPr>
          <w:rFonts w:ascii="Times New Roman" w:hAnsi="Times New Roman" w:eastAsia="Times New Roman" w:cs="Times New Roman"/>
          <w:b/>
          <w:bCs/>
          <w:color w:val="auto"/>
          <w:spacing w:val="-6"/>
          <w:sz w:val="27"/>
          <w:szCs w:val="27"/>
          <w:highlight w:val="none"/>
        </w:rPr>
        <w:t>1</w:t>
      </w:r>
      <w:r>
        <w:rPr>
          <w:rFonts w:ascii="Times New Roman" w:hAnsi="Times New Roman" w:eastAsia="Times New Roman" w:cs="Times New Roman"/>
          <w:b/>
          <w:bCs/>
          <w:color w:val="auto"/>
          <w:spacing w:val="12"/>
          <w:sz w:val="27"/>
          <w:szCs w:val="27"/>
          <w:highlight w:val="none"/>
        </w:rPr>
        <w:t xml:space="preserve">  </w:t>
      </w:r>
      <w:r>
        <w:rPr>
          <w:rFonts w:ascii="宋体" w:hAnsi="宋体" w:eastAsia="宋体" w:cs="宋体"/>
          <w:b/>
          <w:bCs/>
          <w:color w:val="auto"/>
          <w:spacing w:val="-6"/>
          <w:sz w:val="27"/>
          <w:szCs w:val="27"/>
          <w:highlight w:val="none"/>
        </w:rPr>
        <w:t>总则</w:t>
      </w:r>
      <w:bookmarkEnd w:id="36"/>
    </w:p>
    <w:p w14:paraId="42E98471">
      <w:pPr>
        <w:pStyle w:val="8"/>
        <w:spacing w:line="246" w:lineRule="auto"/>
        <w:rPr>
          <w:color w:val="auto"/>
          <w:highlight w:val="none"/>
        </w:rPr>
      </w:pPr>
    </w:p>
    <w:p w14:paraId="7F85D0E0">
      <w:pPr>
        <w:spacing w:before="78" w:line="232" w:lineRule="auto"/>
        <w:ind w:left="4"/>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1.1</w:t>
      </w:r>
      <w:r>
        <w:rPr>
          <w:rFonts w:ascii="Times New Roman" w:hAnsi="Times New Roman" w:eastAsia="Times New Roman" w:cs="Times New Roman"/>
          <w:b/>
          <w:bCs/>
          <w:color w:val="auto"/>
          <w:spacing w:val="6"/>
          <w:sz w:val="24"/>
          <w:szCs w:val="24"/>
          <w:highlight w:val="none"/>
        </w:rPr>
        <w:t xml:space="preserve">  </w:t>
      </w:r>
      <w:r>
        <w:rPr>
          <w:rFonts w:ascii="楷体" w:hAnsi="楷体" w:eastAsia="楷体" w:cs="楷体"/>
          <w:b/>
          <w:bCs/>
          <w:color w:val="auto"/>
          <w:spacing w:val="-5"/>
          <w:sz w:val="24"/>
          <w:szCs w:val="24"/>
          <w:highlight w:val="none"/>
        </w:rPr>
        <w:t>项目概况</w:t>
      </w:r>
    </w:p>
    <w:p w14:paraId="7F2586B3">
      <w:pPr>
        <w:spacing w:before="165" w:line="359" w:lineRule="auto"/>
        <w:ind w:firstLine="486"/>
        <w:jc w:val="both"/>
        <w:rPr>
          <w:rFonts w:ascii="宋体" w:hAnsi="宋体" w:eastAsia="宋体" w:cs="宋体"/>
          <w:color w:val="auto"/>
          <w:sz w:val="24"/>
          <w:szCs w:val="24"/>
          <w:highlight w:val="none"/>
        </w:rPr>
      </w:pPr>
      <w:r>
        <w:rPr>
          <w:rFonts w:ascii="Times New Roman" w:hAnsi="Times New Roman" w:eastAsia="Times New Roman" w:cs="Times New Roman"/>
          <w:b/>
          <w:bCs/>
          <w:color w:val="auto"/>
          <w:spacing w:val="-4"/>
          <w:sz w:val="24"/>
          <w:szCs w:val="24"/>
          <w:highlight w:val="none"/>
        </w:rPr>
        <w:t xml:space="preserve">1.1.1  </w:t>
      </w:r>
      <w:r>
        <w:rPr>
          <w:rFonts w:ascii="宋体" w:hAnsi="宋体" w:eastAsia="宋体" w:cs="宋体"/>
          <w:color w:val="auto"/>
          <w:spacing w:val="-4"/>
          <w:sz w:val="24"/>
          <w:szCs w:val="24"/>
          <w:highlight w:val="none"/>
        </w:rPr>
        <w:t>根据《</w:t>
      </w:r>
      <w:r>
        <w:rPr>
          <w:rFonts w:ascii="宋体" w:hAnsi="宋体" w:eastAsia="宋体" w:cs="宋体"/>
          <w:color w:val="auto"/>
          <w:spacing w:val="33"/>
          <w:sz w:val="24"/>
          <w:szCs w:val="24"/>
          <w:highlight w:val="none"/>
        </w:rPr>
        <w:t xml:space="preserve"> </w:t>
      </w:r>
      <w:r>
        <w:rPr>
          <w:rFonts w:ascii="宋体" w:hAnsi="宋体" w:eastAsia="宋体" w:cs="宋体"/>
          <w:color w:val="auto"/>
          <w:spacing w:val="-4"/>
          <w:sz w:val="24"/>
          <w:szCs w:val="24"/>
          <w:highlight w:val="none"/>
        </w:rPr>
        <w:t>中华人民共和国招标投标法》、《中华人民共和国招标投标法实施</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条例》等有关法律、法规和规章的规定， 本招标项目已具备招标条件，现对本标段施</w:t>
      </w:r>
      <w:r>
        <w:rPr>
          <w:rFonts w:ascii="宋体" w:hAnsi="宋体" w:eastAsia="宋体" w:cs="宋体"/>
          <w:color w:val="auto"/>
          <w:spacing w:val="4"/>
          <w:sz w:val="24"/>
          <w:szCs w:val="24"/>
          <w:highlight w:val="none"/>
        </w:rPr>
        <w:t xml:space="preserve"> </w:t>
      </w:r>
      <w:r>
        <w:rPr>
          <w:rFonts w:ascii="宋体" w:hAnsi="宋体" w:eastAsia="宋体" w:cs="宋体"/>
          <w:color w:val="auto"/>
          <w:spacing w:val="-7"/>
          <w:sz w:val="24"/>
          <w:szCs w:val="24"/>
          <w:highlight w:val="none"/>
        </w:rPr>
        <w:t>工进行招标。</w:t>
      </w:r>
    </w:p>
    <w:p w14:paraId="6FF5CD3E">
      <w:pPr>
        <w:spacing w:before="1" w:line="218"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1.1.2  </w:t>
      </w:r>
      <w:r>
        <w:rPr>
          <w:rFonts w:ascii="宋体" w:hAnsi="宋体" w:eastAsia="宋体" w:cs="宋体"/>
          <w:color w:val="auto"/>
          <w:spacing w:val="-2"/>
          <w:sz w:val="24"/>
          <w:szCs w:val="24"/>
          <w:highlight w:val="none"/>
        </w:rPr>
        <w:t>本招标项目招标人：见投标人须知前附表。</w:t>
      </w:r>
    </w:p>
    <w:p w14:paraId="7ABFDB7B">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1.1.3  </w:t>
      </w:r>
      <w:r>
        <w:rPr>
          <w:rFonts w:ascii="宋体" w:hAnsi="宋体" w:eastAsia="宋体" w:cs="宋体"/>
          <w:color w:val="auto"/>
          <w:spacing w:val="-2"/>
          <w:sz w:val="24"/>
          <w:szCs w:val="24"/>
          <w:highlight w:val="none"/>
        </w:rPr>
        <w:t>本标段招标代理机构：见投标人须知前附表。</w:t>
      </w:r>
    </w:p>
    <w:p w14:paraId="46ACE3E7">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1.1.4  </w:t>
      </w:r>
      <w:r>
        <w:rPr>
          <w:rFonts w:ascii="宋体" w:hAnsi="宋体" w:eastAsia="宋体" w:cs="宋体"/>
          <w:color w:val="auto"/>
          <w:spacing w:val="-2"/>
          <w:sz w:val="24"/>
          <w:szCs w:val="24"/>
          <w:highlight w:val="none"/>
        </w:rPr>
        <w:t>本招标项目名称：见投标人须知前附表。</w:t>
      </w:r>
    </w:p>
    <w:p w14:paraId="4781B727">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1.1.5  </w:t>
      </w:r>
      <w:r>
        <w:rPr>
          <w:rFonts w:ascii="宋体" w:hAnsi="宋体" w:eastAsia="宋体" w:cs="宋体"/>
          <w:color w:val="auto"/>
          <w:spacing w:val="-2"/>
          <w:sz w:val="24"/>
          <w:szCs w:val="24"/>
          <w:highlight w:val="none"/>
        </w:rPr>
        <w:t>本标段建设地点：见投标人须知前附表。</w:t>
      </w:r>
    </w:p>
    <w:p w14:paraId="71B63218">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1.1.6  </w:t>
      </w:r>
      <w:r>
        <w:rPr>
          <w:rFonts w:ascii="宋体" w:hAnsi="宋体" w:eastAsia="宋体" w:cs="宋体"/>
          <w:color w:val="auto"/>
          <w:spacing w:val="-2"/>
          <w:sz w:val="24"/>
          <w:szCs w:val="24"/>
          <w:highlight w:val="none"/>
        </w:rPr>
        <w:t>本招标项目现场管理机构：见投标人须知前附表。</w:t>
      </w:r>
    </w:p>
    <w:p w14:paraId="31F37528">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1.1.7  </w:t>
      </w:r>
      <w:r>
        <w:rPr>
          <w:rFonts w:ascii="宋体" w:hAnsi="宋体" w:eastAsia="宋体" w:cs="宋体"/>
          <w:color w:val="auto"/>
          <w:spacing w:val="-2"/>
          <w:sz w:val="24"/>
          <w:szCs w:val="24"/>
          <w:highlight w:val="none"/>
        </w:rPr>
        <w:t>本招标项目设计人：见投标人须知前附表。</w:t>
      </w:r>
    </w:p>
    <w:p w14:paraId="4EE611B7">
      <w:pPr>
        <w:spacing w:before="183"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1.1.8  </w:t>
      </w:r>
      <w:r>
        <w:rPr>
          <w:rFonts w:ascii="宋体" w:hAnsi="宋体" w:eastAsia="宋体" w:cs="宋体"/>
          <w:color w:val="auto"/>
          <w:spacing w:val="-2"/>
          <w:sz w:val="24"/>
          <w:szCs w:val="24"/>
          <w:highlight w:val="none"/>
        </w:rPr>
        <w:t>本招标项目监理人：见投标人须知前附表。</w:t>
      </w:r>
    </w:p>
    <w:p w14:paraId="5CDAD059">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1.1.9  </w:t>
      </w:r>
      <w:r>
        <w:rPr>
          <w:rFonts w:ascii="宋体" w:hAnsi="宋体" w:eastAsia="宋体" w:cs="宋体"/>
          <w:color w:val="auto"/>
          <w:spacing w:val="-2"/>
          <w:sz w:val="24"/>
          <w:szCs w:val="24"/>
          <w:highlight w:val="none"/>
        </w:rPr>
        <w:t>本招标项目代建机构：见投标人须知前附表。</w:t>
      </w:r>
    </w:p>
    <w:p w14:paraId="09B8F225">
      <w:pPr>
        <w:spacing w:before="182" w:line="225" w:lineRule="auto"/>
        <w:ind w:left="4"/>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1.2  </w:t>
      </w:r>
      <w:r>
        <w:rPr>
          <w:rFonts w:ascii="楷体" w:hAnsi="楷体" w:eastAsia="楷体" w:cs="楷体"/>
          <w:b/>
          <w:bCs/>
          <w:color w:val="auto"/>
          <w:spacing w:val="-3"/>
          <w:sz w:val="24"/>
          <w:szCs w:val="24"/>
          <w:highlight w:val="none"/>
        </w:rPr>
        <w:t>资金来源和落实情况</w:t>
      </w:r>
    </w:p>
    <w:p w14:paraId="3D31FD4F">
      <w:pPr>
        <w:spacing w:before="175"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1.2.1  </w:t>
      </w:r>
      <w:r>
        <w:rPr>
          <w:rFonts w:ascii="宋体" w:hAnsi="宋体" w:eastAsia="宋体" w:cs="宋体"/>
          <w:color w:val="auto"/>
          <w:spacing w:val="-2"/>
          <w:sz w:val="24"/>
          <w:szCs w:val="24"/>
          <w:highlight w:val="none"/>
        </w:rPr>
        <w:t>本招标项目的资金来源：见投标人须知前附表。</w:t>
      </w:r>
    </w:p>
    <w:p w14:paraId="7A48D167">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1.2.2  </w:t>
      </w:r>
      <w:r>
        <w:rPr>
          <w:rFonts w:ascii="宋体" w:hAnsi="宋体" w:eastAsia="宋体" w:cs="宋体"/>
          <w:color w:val="auto"/>
          <w:spacing w:val="-2"/>
          <w:sz w:val="24"/>
          <w:szCs w:val="24"/>
          <w:highlight w:val="none"/>
        </w:rPr>
        <w:t>本招标项目的出资比例：见投标人须知前附表。</w:t>
      </w:r>
    </w:p>
    <w:p w14:paraId="7EA7681B">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1.2.3  </w:t>
      </w:r>
      <w:r>
        <w:rPr>
          <w:rFonts w:ascii="宋体" w:hAnsi="宋体" w:eastAsia="宋体" w:cs="宋体"/>
          <w:color w:val="auto"/>
          <w:spacing w:val="-2"/>
          <w:sz w:val="24"/>
          <w:szCs w:val="24"/>
          <w:highlight w:val="none"/>
        </w:rPr>
        <w:t>本招标项目的资金落实情况：见投标人须知前附表。</w:t>
      </w:r>
    </w:p>
    <w:p w14:paraId="61775878">
      <w:pPr>
        <w:spacing w:before="182" w:line="225" w:lineRule="auto"/>
        <w:ind w:left="4"/>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1.3  </w:t>
      </w:r>
      <w:r>
        <w:rPr>
          <w:rFonts w:ascii="楷体" w:hAnsi="楷体" w:eastAsia="楷体" w:cs="楷体"/>
          <w:b/>
          <w:bCs/>
          <w:color w:val="auto"/>
          <w:spacing w:val="-3"/>
          <w:sz w:val="24"/>
          <w:szCs w:val="24"/>
          <w:highlight w:val="none"/>
        </w:rPr>
        <w:t>招标范围、计划工期和质量要求</w:t>
      </w:r>
    </w:p>
    <w:p w14:paraId="04B18BD9">
      <w:pPr>
        <w:spacing w:before="174"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1.3.1  </w:t>
      </w:r>
      <w:r>
        <w:rPr>
          <w:rFonts w:ascii="宋体" w:hAnsi="宋体" w:eastAsia="宋体" w:cs="宋体"/>
          <w:color w:val="auto"/>
          <w:spacing w:val="-2"/>
          <w:sz w:val="24"/>
          <w:szCs w:val="24"/>
          <w:highlight w:val="none"/>
        </w:rPr>
        <w:t>本次招标范围：见投标人须知前附表。</w:t>
      </w:r>
    </w:p>
    <w:p w14:paraId="60C7A374">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1.3.2  </w:t>
      </w:r>
      <w:r>
        <w:rPr>
          <w:rFonts w:ascii="宋体" w:hAnsi="宋体" w:eastAsia="宋体" w:cs="宋体"/>
          <w:color w:val="auto"/>
          <w:spacing w:val="-2"/>
          <w:sz w:val="24"/>
          <w:szCs w:val="24"/>
          <w:highlight w:val="none"/>
        </w:rPr>
        <w:t>本标段的计划工期：见投标人须知前附表。</w:t>
      </w:r>
    </w:p>
    <w:p w14:paraId="63E4849D">
      <w:pPr>
        <w:spacing w:before="183"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1.3.3  </w:t>
      </w:r>
      <w:r>
        <w:rPr>
          <w:rFonts w:ascii="宋体" w:hAnsi="宋体" w:eastAsia="宋体" w:cs="宋体"/>
          <w:color w:val="auto"/>
          <w:spacing w:val="-2"/>
          <w:sz w:val="24"/>
          <w:szCs w:val="24"/>
          <w:highlight w:val="none"/>
        </w:rPr>
        <w:t>本标段的质量要求：见投标人须知前附表。</w:t>
      </w:r>
    </w:p>
    <w:p w14:paraId="13E975B1">
      <w:pPr>
        <w:spacing w:before="182" w:line="223" w:lineRule="auto"/>
        <w:ind w:left="4"/>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1.4  </w:t>
      </w:r>
      <w:r>
        <w:rPr>
          <w:rFonts w:ascii="楷体" w:hAnsi="楷体" w:eastAsia="楷体" w:cs="楷体"/>
          <w:b/>
          <w:bCs/>
          <w:color w:val="auto"/>
          <w:spacing w:val="-3"/>
          <w:sz w:val="24"/>
          <w:szCs w:val="24"/>
          <w:highlight w:val="none"/>
        </w:rPr>
        <w:t>投标人资格要求（适用于已进行资格预审的）</w:t>
      </w:r>
    </w:p>
    <w:p w14:paraId="39812E3B">
      <w:pPr>
        <w:spacing w:before="177"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投标人应是收到招标人发出的投标邀请书的单</w:t>
      </w:r>
      <w:r>
        <w:rPr>
          <w:rFonts w:ascii="宋体" w:hAnsi="宋体" w:eastAsia="宋体" w:cs="宋体"/>
          <w:color w:val="auto"/>
          <w:spacing w:val="-3"/>
          <w:sz w:val="24"/>
          <w:szCs w:val="24"/>
          <w:highlight w:val="none"/>
        </w:rPr>
        <w:t>位。</w:t>
      </w:r>
    </w:p>
    <w:p w14:paraId="2616D1B0">
      <w:pPr>
        <w:spacing w:before="182" w:line="223" w:lineRule="auto"/>
        <w:ind w:left="4"/>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1.4  </w:t>
      </w:r>
      <w:r>
        <w:rPr>
          <w:rFonts w:ascii="楷体" w:hAnsi="楷体" w:eastAsia="楷体" w:cs="楷体"/>
          <w:b/>
          <w:bCs/>
          <w:color w:val="auto"/>
          <w:spacing w:val="-3"/>
          <w:sz w:val="24"/>
          <w:szCs w:val="24"/>
          <w:highlight w:val="none"/>
        </w:rPr>
        <w:t>投标人资格要求（适用于未进行资格预审的）</w:t>
      </w:r>
    </w:p>
    <w:p w14:paraId="583DFC82">
      <w:pPr>
        <w:spacing w:before="177"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1.4.1  </w:t>
      </w:r>
      <w:r>
        <w:rPr>
          <w:rFonts w:ascii="宋体" w:hAnsi="宋体" w:eastAsia="宋体" w:cs="宋体"/>
          <w:color w:val="auto"/>
          <w:spacing w:val="-2"/>
          <w:sz w:val="24"/>
          <w:szCs w:val="24"/>
          <w:highlight w:val="none"/>
        </w:rPr>
        <w:t>投标人应具备承担本标段施工的资质条件、能力和信誉。</w:t>
      </w:r>
    </w:p>
    <w:p w14:paraId="28B8BE99">
      <w:pPr>
        <w:spacing w:before="182" w:line="219" w:lineRule="auto"/>
        <w:ind w:left="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）资质条件：见投标人须知前附表。</w:t>
      </w:r>
    </w:p>
    <w:p w14:paraId="2AB7A88F">
      <w:pPr>
        <w:spacing w:before="182" w:line="219" w:lineRule="auto"/>
        <w:ind w:left="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）财务要求：见投标人须知前附表。</w:t>
      </w:r>
    </w:p>
    <w:p w14:paraId="7DAFA149">
      <w:pPr>
        <w:spacing w:before="183" w:line="219" w:lineRule="auto"/>
        <w:ind w:left="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）业绩要求：见投标人须知前附表。</w:t>
      </w:r>
    </w:p>
    <w:p w14:paraId="53D8D15E">
      <w:pPr>
        <w:spacing w:before="182" w:line="219" w:lineRule="auto"/>
        <w:ind w:left="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4</w:t>
      </w:r>
      <w:r>
        <w:rPr>
          <w:rFonts w:ascii="宋体" w:hAnsi="宋体" w:eastAsia="宋体" w:cs="宋体"/>
          <w:color w:val="auto"/>
          <w:spacing w:val="-3"/>
          <w:sz w:val="24"/>
          <w:szCs w:val="24"/>
          <w:highlight w:val="none"/>
        </w:rPr>
        <w:t>）信誉要求：见投标人须知前附表。</w:t>
      </w:r>
    </w:p>
    <w:p w14:paraId="0A0E83D4">
      <w:pPr>
        <w:spacing w:line="219" w:lineRule="auto"/>
        <w:rPr>
          <w:rFonts w:ascii="宋体" w:hAnsi="宋体" w:eastAsia="宋体" w:cs="宋体"/>
          <w:color w:val="auto"/>
          <w:sz w:val="24"/>
          <w:szCs w:val="24"/>
          <w:highlight w:val="none"/>
        </w:rPr>
        <w:sectPr>
          <w:footerReference r:id="rId13" w:type="default"/>
          <w:pgSz w:w="11905" w:h="16840"/>
          <w:pgMar w:top="1427" w:right="1527" w:bottom="1255" w:left="1598" w:header="0" w:footer="1093" w:gutter="0"/>
          <w:pgNumType w:fmt="decimal"/>
          <w:cols w:space="720" w:num="1"/>
        </w:sectPr>
      </w:pPr>
    </w:p>
    <w:p w14:paraId="51DC3F72">
      <w:pPr>
        <w:spacing w:before="47" w:line="219"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）项目负责人资格：见投标人须知前附表。</w:t>
      </w:r>
    </w:p>
    <w:p w14:paraId="6ACAB79B">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6</w:t>
      </w:r>
      <w:r>
        <w:rPr>
          <w:rFonts w:ascii="宋体" w:hAnsi="宋体" w:eastAsia="宋体" w:cs="宋体"/>
          <w:color w:val="auto"/>
          <w:spacing w:val="-3"/>
          <w:sz w:val="24"/>
          <w:szCs w:val="24"/>
          <w:highlight w:val="none"/>
        </w:rPr>
        <w:t>）其他要求：见投标人须知前附表。</w:t>
      </w:r>
    </w:p>
    <w:p w14:paraId="51F6337E">
      <w:pPr>
        <w:spacing w:before="182" w:line="359" w:lineRule="auto"/>
        <w:ind w:left="1" w:right="65" w:firstLine="486"/>
        <w:rPr>
          <w:rFonts w:ascii="宋体" w:hAnsi="宋体" w:eastAsia="宋体" w:cs="宋体"/>
          <w:strike w:val="0"/>
          <w:dstrike w:val="0"/>
          <w:color w:val="auto"/>
          <w:sz w:val="24"/>
          <w:szCs w:val="24"/>
          <w:highlight w:val="none"/>
        </w:rPr>
      </w:pPr>
      <w:r>
        <w:rPr>
          <w:rFonts w:ascii="Times New Roman" w:hAnsi="Times New Roman" w:eastAsia="Times New Roman" w:cs="Times New Roman"/>
          <w:b/>
          <w:bCs/>
          <w:strike w:val="0"/>
          <w:dstrike w:val="0"/>
          <w:color w:val="auto"/>
          <w:sz w:val="24"/>
          <w:szCs w:val="24"/>
          <w:highlight w:val="none"/>
        </w:rPr>
        <w:t xml:space="preserve">1.4.2  </w:t>
      </w:r>
      <w:r>
        <w:rPr>
          <w:rFonts w:ascii="宋体" w:hAnsi="宋体" w:eastAsia="宋体" w:cs="宋体"/>
          <w:strike w:val="0"/>
          <w:dstrike w:val="0"/>
          <w:color w:val="auto"/>
          <w:sz w:val="24"/>
          <w:szCs w:val="24"/>
          <w:highlight w:val="none"/>
        </w:rPr>
        <w:t>投标人须知前附表规定接受联合体投标的，除应符合本章第</w:t>
      </w:r>
      <w:r>
        <w:rPr>
          <w:rFonts w:ascii="Times New Roman" w:hAnsi="Times New Roman" w:eastAsia="Times New Roman" w:cs="Times New Roman"/>
          <w:strike w:val="0"/>
          <w:dstrike w:val="0"/>
          <w:color w:val="auto"/>
          <w:sz w:val="24"/>
          <w:szCs w:val="24"/>
          <w:highlight w:val="none"/>
        </w:rPr>
        <w:t>1.4.1</w:t>
      </w:r>
      <w:r>
        <w:rPr>
          <w:rFonts w:ascii="宋体" w:hAnsi="宋体" w:eastAsia="宋体" w:cs="宋体"/>
          <w:strike w:val="0"/>
          <w:dstrike w:val="0"/>
          <w:color w:val="auto"/>
          <w:sz w:val="24"/>
          <w:szCs w:val="24"/>
          <w:highlight w:val="none"/>
        </w:rPr>
        <w:t>项和投标</w:t>
      </w:r>
      <w:r>
        <w:rPr>
          <w:rFonts w:ascii="宋体" w:hAnsi="宋体" w:eastAsia="宋体" w:cs="宋体"/>
          <w:strike w:val="0"/>
          <w:dstrike w:val="0"/>
          <w:color w:val="auto"/>
          <w:spacing w:val="9"/>
          <w:sz w:val="24"/>
          <w:szCs w:val="24"/>
          <w:highlight w:val="none"/>
        </w:rPr>
        <w:t xml:space="preserve"> </w:t>
      </w:r>
      <w:r>
        <w:rPr>
          <w:rFonts w:ascii="宋体" w:hAnsi="宋体" w:eastAsia="宋体" w:cs="宋体"/>
          <w:strike w:val="0"/>
          <w:dstrike w:val="0"/>
          <w:color w:val="auto"/>
          <w:spacing w:val="-3"/>
          <w:sz w:val="24"/>
          <w:szCs w:val="24"/>
          <w:highlight w:val="none"/>
        </w:rPr>
        <w:t>人须知前附表的要求外，还应遵守以下规定。</w:t>
      </w:r>
    </w:p>
    <w:p w14:paraId="2BA22633">
      <w:pPr>
        <w:spacing w:line="289" w:lineRule="auto"/>
        <w:ind w:left="1" w:right="80" w:firstLine="484"/>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z w:val="24"/>
          <w:szCs w:val="24"/>
          <w:highlight w:val="none"/>
        </w:rPr>
        <w:t>（</w:t>
      </w:r>
      <w:r>
        <w:rPr>
          <w:rFonts w:ascii="Times New Roman" w:hAnsi="Times New Roman" w:eastAsia="Times New Roman" w:cs="Times New Roman"/>
          <w:strike w:val="0"/>
          <w:dstrike w:val="0"/>
          <w:color w:val="auto"/>
          <w:sz w:val="24"/>
          <w:szCs w:val="24"/>
          <w:highlight w:val="none"/>
        </w:rPr>
        <w:t>1</w:t>
      </w:r>
      <w:r>
        <w:rPr>
          <w:rFonts w:ascii="宋体" w:hAnsi="宋体" w:eastAsia="宋体" w:cs="宋体"/>
          <w:strike w:val="0"/>
          <w:dstrike w:val="0"/>
          <w:color w:val="auto"/>
          <w:sz w:val="24"/>
          <w:szCs w:val="24"/>
          <w:highlight w:val="none"/>
        </w:rPr>
        <w:t>）联合体各方应按招标文件提供的格式签订联合体协议书，明确联</w:t>
      </w:r>
      <w:r>
        <w:rPr>
          <w:rFonts w:ascii="宋体" w:hAnsi="宋体" w:eastAsia="宋体" w:cs="宋体"/>
          <w:strike w:val="0"/>
          <w:dstrike w:val="0"/>
          <w:color w:val="auto"/>
          <w:spacing w:val="-1"/>
          <w:sz w:val="24"/>
          <w:szCs w:val="24"/>
          <w:highlight w:val="none"/>
        </w:rPr>
        <w:t>合体牵头</w:t>
      </w:r>
      <w:r>
        <w:rPr>
          <w:rFonts w:ascii="宋体" w:hAnsi="宋体" w:eastAsia="宋体" w:cs="宋体"/>
          <w:strike w:val="0"/>
          <w:dstrike w:val="0"/>
          <w:color w:val="auto"/>
          <w:sz w:val="24"/>
          <w:szCs w:val="24"/>
          <w:highlight w:val="none"/>
        </w:rPr>
        <w:t xml:space="preserve"> </w:t>
      </w:r>
      <w:r>
        <w:rPr>
          <w:rFonts w:ascii="宋体" w:hAnsi="宋体" w:eastAsia="宋体" w:cs="宋体"/>
          <w:strike w:val="0"/>
          <w:dstrike w:val="0"/>
          <w:color w:val="auto"/>
          <w:spacing w:val="-5"/>
          <w:sz w:val="24"/>
          <w:szCs w:val="24"/>
          <w:highlight w:val="none"/>
        </w:rPr>
        <w:t>人和各方权利义务。</w:t>
      </w:r>
    </w:p>
    <w:p w14:paraId="019C85E6">
      <w:pPr>
        <w:spacing w:before="180" w:line="220" w:lineRule="auto"/>
        <w:ind w:left="486"/>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7"/>
          <w:sz w:val="24"/>
          <w:szCs w:val="24"/>
          <w:highlight w:val="none"/>
        </w:rPr>
        <w:t>（</w:t>
      </w:r>
      <w:r>
        <w:rPr>
          <w:rFonts w:ascii="Times New Roman" w:hAnsi="Times New Roman" w:eastAsia="Times New Roman" w:cs="Times New Roman"/>
          <w:strike w:val="0"/>
          <w:dstrike w:val="0"/>
          <w:color w:val="auto"/>
          <w:spacing w:val="-7"/>
          <w:sz w:val="24"/>
          <w:szCs w:val="24"/>
          <w:highlight w:val="none"/>
        </w:rPr>
        <w:t>2</w:t>
      </w:r>
      <w:r>
        <w:rPr>
          <w:rFonts w:ascii="宋体" w:hAnsi="宋体" w:eastAsia="宋体" w:cs="宋体"/>
          <w:strike w:val="0"/>
          <w:dstrike w:val="0"/>
          <w:color w:val="auto"/>
          <w:spacing w:val="-7"/>
          <w:sz w:val="24"/>
          <w:szCs w:val="24"/>
          <w:highlight w:val="none"/>
        </w:rPr>
        <w:t>）由同一专业的单位组成的联合体，按照资质等级较低的</w:t>
      </w:r>
      <w:r>
        <w:rPr>
          <w:rFonts w:ascii="宋体" w:hAnsi="宋体" w:eastAsia="宋体" w:cs="宋体"/>
          <w:strike w:val="0"/>
          <w:dstrike w:val="0"/>
          <w:color w:val="auto"/>
          <w:spacing w:val="-8"/>
          <w:sz w:val="24"/>
          <w:szCs w:val="24"/>
          <w:highlight w:val="none"/>
        </w:rPr>
        <w:t>单位确定资质等级。</w:t>
      </w:r>
    </w:p>
    <w:p w14:paraId="15C0F5E7">
      <w:pPr>
        <w:spacing w:before="181" w:line="220" w:lineRule="auto"/>
        <w:ind w:left="486"/>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1"/>
          <w:sz w:val="24"/>
          <w:szCs w:val="24"/>
          <w:highlight w:val="none"/>
        </w:rPr>
        <w:t>（</w:t>
      </w:r>
      <w:r>
        <w:rPr>
          <w:rFonts w:ascii="Times New Roman" w:hAnsi="Times New Roman" w:eastAsia="Times New Roman" w:cs="Times New Roman"/>
          <w:strike w:val="0"/>
          <w:dstrike w:val="0"/>
          <w:color w:val="auto"/>
          <w:spacing w:val="-1"/>
          <w:sz w:val="24"/>
          <w:szCs w:val="24"/>
          <w:highlight w:val="none"/>
        </w:rPr>
        <w:t>3</w:t>
      </w:r>
      <w:r>
        <w:rPr>
          <w:rFonts w:ascii="宋体" w:hAnsi="宋体" w:eastAsia="宋体" w:cs="宋体"/>
          <w:strike w:val="0"/>
          <w:dstrike w:val="0"/>
          <w:color w:val="auto"/>
          <w:spacing w:val="-1"/>
          <w:sz w:val="24"/>
          <w:szCs w:val="24"/>
          <w:highlight w:val="none"/>
        </w:rPr>
        <w:t>）联合体各方不得再以自己名义单独或参加其他联</w:t>
      </w:r>
      <w:r>
        <w:rPr>
          <w:rFonts w:ascii="宋体" w:hAnsi="宋体" w:eastAsia="宋体" w:cs="宋体"/>
          <w:strike w:val="0"/>
          <w:dstrike w:val="0"/>
          <w:color w:val="auto"/>
          <w:spacing w:val="-2"/>
          <w:sz w:val="24"/>
          <w:szCs w:val="24"/>
          <w:highlight w:val="none"/>
        </w:rPr>
        <w:t>合体在同一标段中投标。</w:t>
      </w:r>
    </w:p>
    <w:p w14:paraId="3156C428">
      <w:pPr>
        <w:spacing w:before="182" w:line="220"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1.4.3  </w:t>
      </w:r>
      <w:r>
        <w:rPr>
          <w:rFonts w:ascii="宋体" w:hAnsi="宋体" w:eastAsia="宋体" w:cs="宋体"/>
          <w:color w:val="auto"/>
          <w:spacing w:val="-1"/>
          <w:sz w:val="24"/>
          <w:szCs w:val="24"/>
          <w:highlight w:val="none"/>
        </w:rPr>
        <w:t>投标人不得存在下列情形之一：</w:t>
      </w:r>
    </w:p>
    <w:p w14:paraId="5DC45F49">
      <w:pPr>
        <w:spacing w:before="181"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）为招标人不具有独立法人资格的附属机构（单位）。</w:t>
      </w:r>
    </w:p>
    <w:p w14:paraId="1D5AF45A">
      <w:pPr>
        <w:spacing w:before="183"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）为本标段前期准备提供设计或咨询服务的，但设计施工总承包的除外。</w:t>
      </w:r>
    </w:p>
    <w:p w14:paraId="725D6467">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）为本标段的监理人。</w:t>
      </w:r>
    </w:p>
    <w:p w14:paraId="7114C970">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4</w:t>
      </w:r>
      <w:r>
        <w:rPr>
          <w:rFonts w:ascii="宋体" w:hAnsi="宋体" w:eastAsia="宋体" w:cs="宋体"/>
          <w:color w:val="auto"/>
          <w:spacing w:val="-4"/>
          <w:sz w:val="24"/>
          <w:szCs w:val="24"/>
          <w:highlight w:val="none"/>
        </w:rPr>
        <w:t>）为本标段的代建人。</w:t>
      </w:r>
    </w:p>
    <w:p w14:paraId="30CCA288">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）为本标段提供招标代理服务的。</w:t>
      </w:r>
    </w:p>
    <w:p w14:paraId="18FD133B">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）与本标段的监理人或代建人或招标代理机构同为一个法定代表人的。</w:t>
      </w:r>
    </w:p>
    <w:p w14:paraId="5D9168EA">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7</w:t>
      </w:r>
      <w:r>
        <w:rPr>
          <w:rFonts w:ascii="宋体" w:hAnsi="宋体" w:eastAsia="宋体" w:cs="宋体"/>
          <w:color w:val="auto"/>
          <w:spacing w:val="-2"/>
          <w:sz w:val="24"/>
          <w:szCs w:val="24"/>
          <w:highlight w:val="none"/>
        </w:rPr>
        <w:t>）与本标段的监理人或代建人或招标代理机构相互控股或参股的。</w:t>
      </w:r>
    </w:p>
    <w:p w14:paraId="465905A3">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8</w:t>
      </w:r>
      <w:r>
        <w:rPr>
          <w:rFonts w:ascii="宋体" w:hAnsi="宋体" w:eastAsia="宋体" w:cs="宋体"/>
          <w:color w:val="auto"/>
          <w:spacing w:val="-2"/>
          <w:sz w:val="24"/>
          <w:szCs w:val="24"/>
          <w:highlight w:val="none"/>
        </w:rPr>
        <w:t>）与本标段的监理人或代建人或招标代理机构相互任职或工作的。</w:t>
      </w:r>
    </w:p>
    <w:p w14:paraId="7D860F6B">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9</w:t>
      </w:r>
      <w:r>
        <w:rPr>
          <w:rFonts w:ascii="宋体" w:hAnsi="宋体" w:eastAsia="宋体" w:cs="宋体"/>
          <w:color w:val="auto"/>
          <w:spacing w:val="-5"/>
          <w:sz w:val="24"/>
          <w:szCs w:val="24"/>
          <w:highlight w:val="none"/>
        </w:rPr>
        <w:t>）被责令停业的。</w:t>
      </w:r>
    </w:p>
    <w:p w14:paraId="14475429">
      <w:pPr>
        <w:spacing w:before="182" w:line="220"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10</w:t>
      </w:r>
      <w:r>
        <w:rPr>
          <w:rFonts w:ascii="宋体" w:hAnsi="宋体" w:eastAsia="宋体" w:cs="宋体"/>
          <w:color w:val="auto"/>
          <w:spacing w:val="-2"/>
          <w:sz w:val="24"/>
          <w:szCs w:val="24"/>
          <w:highlight w:val="none"/>
        </w:rPr>
        <w:t>）被项目所在地县（市、区）、地级市和省暂停或取消投标资格的。</w:t>
      </w:r>
    </w:p>
    <w:p w14:paraId="22072123">
      <w:pPr>
        <w:spacing w:before="181" w:line="220"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11</w:t>
      </w:r>
      <w:r>
        <w:rPr>
          <w:rFonts w:ascii="宋体" w:hAnsi="宋体" w:eastAsia="宋体" w:cs="宋体"/>
          <w:color w:val="auto"/>
          <w:spacing w:val="-3"/>
          <w:sz w:val="24"/>
          <w:szCs w:val="24"/>
          <w:highlight w:val="none"/>
        </w:rPr>
        <w:t>）财产被接管或全部冻结的。</w:t>
      </w:r>
    </w:p>
    <w:p w14:paraId="470F16BB">
      <w:pPr>
        <w:spacing w:before="181" w:line="220"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12</w:t>
      </w:r>
      <w:r>
        <w:rPr>
          <w:rFonts w:ascii="宋体" w:hAnsi="宋体" w:eastAsia="宋体" w:cs="宋体"/>
          <w:color w:val="auto"/>
          <w:spacing w:val="-2"/>
          <w:sz w:val="24"/>
          <w:szCs w:val="24"/>
          <w:highlight w:val="none"/>
        </w:rPr>
        <w:t>）在最近</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年内有骗取中标或严重违约或重大工程质量问题的。</w:t>
      </w:r>
    </w:p>
    <w:p w14:paraId="561F1EB6">
      <w:pPr>
        <w:spacing w:before="180" w:line="220"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13</w:t>
      </w:r>
      <w:r>
        <w:rPr>
          <w:rFonts w:ascii="宋体" w:hAnsi="宋体" w:eastAsia="宋体" w:cs="宋体"/>
          <w:color w:val="auto"/>
          <w:spacing w:val="-2"/>
          <w:sz w:val="24"/>
          <w:szCs w:val="24"/>
          <w:highlight w:val="none"/>
        </w:rPr>
        <w:t>）与招标人存在利害关系可能影响招标公正性的法人或者其他组织。</w:t>
      </w:r>
    </w:p>
    <w:p w14:paraId="5F2C31F2">
      <w:pPr>
        <w:spacing w:before="181" w:line="220"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14</w:t>
      </w:r>
      <w:r>
        <w:rPr>
          <w:rFonts w:ascii="宋体" w:hAnsi="宋体" w:eastAsia="宋体" w:cs="宋体"/>
          <w:color w:val="auto"/>
          <w:spacing w:val="-2"/>
          <w:sz w:val="24"/>
          <w:szCs w:val="24"/>
          <w:highlight w:val="none"/>
        </w:rPr>
        <w:t>）单位负责人为同一人或者存在控股、管理关系的不同单位。</w:t>
      </w:r>
    </w:p>
    <w:p w14:paraId="4C7247DE">
      <w:pPr>
        <w:spacing w:before="181" w:line="220"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）其它法律法规规定的情形。</w:t>
      </w:r>
    </w:p>
    <w:p w14:paraId="1CD332B8">
      <w:pPr>
        <w:spacing w:before="183" w:line="225"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8"/>
          <w:sz w:val="24"/>
          <w:szCs w:val="24"/>
          <w:highlight w:val="none"/>
        </w:rPr>
        <w:t>1.5</w:t>
      </w:r>
      <w:r>
        <w:rPr>
          <w:rFonts w:ascii="Times New Roman" w:hAnsi="Times New Roman" w:eastAsia="Times New Roman" w:cs="Times New Roman"/>
          <w:b/>
          <w:bCs/>
          <w:color w:val="auto"/>
          <w:spacing w:val="20"/>
          <w:sz w:val="24"/>
          <w:szCs w:val="24"/>
          <w:highlight w:val="none"/>
        </w:rPr>
        <w:t xml:space="preserve">  </w:t>
      </w:r>
      <w:r>
        <w:rPr>
          <w:rFonts w:ascii="楷体" w:hAnsi="楷体" w:eastAsia="楷体" w:cs="楷体"/>
          <w:b/>
          <w:bCs/>
          <w:color w:val="auto"/>
          <w:spacing w:val="-8"/>
          <w:sz w:val="24"/>
          <w:szCs w:val="24"/>
          <w:highlight w:val="none"/>
        </w:rPr>
        <w:t>费用承担</w:t>
      </w:r>
    </w:p>
    <w:p w14:paraId="009C694F">
      <w:pPr>
        <w:spacing w:before="174" w:line="220" w:lineRule="auto"/>
        <w:ind w:left="48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投标人准备和参加投标活动发生的费用自理。</w:t>
      </w:r>
    </w:p>
    <w:p w14:paraId="1DCDA03B">
      <w:pPr>
        <w:spacing w:before="181" w:line="230"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1.6</w:t>
      </w:r>
      <w:r>
        <w:rPr>
          <w:rFonts w:ascii="Times New Roman" w:hAnsi="Times New Roman" w:eastAsia="Times New Roman" w:cs="Times New Roman"/>
          <w:b/>
          <w:bCs/>
          <w:color w:val="auto"/>
          <w:spacing w:val="3"/>
          <w:sz w:val="24"/>
          <w:szCs w:val="24"/>
          <w:highlight w:val="none"/>
        </w:rPr>
        <w:t xml:space="preserve">  </w:t>
      </w:r>
      <w:r>
        <w:rPr>
          <w:rFonts w:ascii="楷体" w:hAnsi="楷体" w:eastAsia="楷体" w:cs="楷体"/>
          <w:b/>
          <w:bCs/>
          <w:color w:val="auto"/>
          <w:spacing w:val="-5"/>
          <w:sz w:val="24"/>
          <w:szCs w:val="24"/>
          <w:highlight w:val="none"/>
        </w:rPr>
        <w:t>保密</w:t>
      </w:r>
    </w:p>
    <w:p w14:paraId="10872A6A">
      <w:pPr>
        <w:spacing w:before="168" w:line="359" w:lineRule="auto"/>
        <w:ind w:firstLine="48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参与招标投标活动的各方应对招标文件和投标文件中的商业和技术等秘</w:t>
      </w:r>
      <w:r>
        <w:rPr>
          <w:rFonts w:ascii="宋体" w:hAnsi="宋体" w:eastAsia="宋体" w:cs="宋体"/>
          <w:color w:val="auto"/>
          <w:spacing w:val="-2"/>
          <w:sz w:val="24"/>
          <w:szCs w:val="24"/>
          <w:highlight w:val="none"/>
        </w:rPr>
        <w:t>密保密，</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违者应对由此造成的后果承担法律责任。</w:t>
      </w:r>
    </w:p>
    <w:p w14:paraId="2012AEF7">
      <w:pPr>
        <w:spacing w:line="223"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1.7  </w:t>
      </w:r>
      <w:r>
        <w:rPr>
          <w:rFonts w:ascii="楷体" w:hAnsi="楷体" w:eastAsia="楷体" w:cs="楷体"/>
          <w:b/>
          <w:bCs/>
          <w:color w:val="auto"/>
          <w:spacing w:val="-3"/>
          <w:sz w:val="24"/>
          <w:szCs w:val="24"/>
          <w:highlight w:val="none"/>
        </w:rPr>
        <w:t>语言文字</w:t>
      </w:r>
    </w:p>
    <w:p w14:paraId="298035A3">
      <w:pPr>
        <w:spacing w:line="223" w:lineRule="auto"/>
        <w:rPr>
          <w:rFonts w:ascii="楷体" w:hAnsi="楷体" w:eastAsia="楷体" w:cs="楷体"/>
          <w:color w:val="auto"/>
          <w:sz w:val="24"/>
          <w:szCs w:val="24"/>
          <w:highlight w:val="none"/>
        </w:rPr>
        <w:sectPr>
          <w:footerReference r:id="rId14" w:type="default"/>
          <w:pgSz w:w="11905" w:h="16840"/>
          <w:pgMar w:top="1428" w:right="1462" w:bottom="1255" w:left="1596" w:header="0" w:footer="1093" w:gutter="0"/>
          <w:pgNumType w:fmt="decimal"/>
          <w:cols w:space="720" w:num="1"/>
        </w:sectPr>
      </w:pPr>
    </w:p>
    <w:p w14:paraId="23761002">
      <w:pPr>
        <w:spacing w:before="48" w:line="359" w:lineRule="auto"/>
        <w:ind w:left="1" w:firstLine="49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除专用术语外，与招标投标有关的语言均使用中文。必</w:t>
      </w:r>
      <w:r>
        <w:rPr>
          <w:rFonts w:ascii="宋体" w:hAnsi="宋体" w:eastAsia="宋体" w:cs="宋体"/>
          <w:color w:val="auto"/>
          <w:spacing w:val="-4"/>
          <w:sz w:val="24"/>
          <w:szCs w:val="24"/>
          <w:highlight w:val="none"/>
        </w:rPr>
        <w:t>要时专用术语应附有中文</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注释。</w:t>
      </w:r>
    </w:p>
    <w:p w14:paraId="2FDE3282">
      <w:pPr>
        <w:spacing w:line="225" w:lineRule="auto"/>
        <w:ind w:left="8"/>
        <w:rPr>
          <w:rFonts w:ascii="楷体" w:hAnsi="楷体" w:eastAsia="楷体" w:cs="楷体"/>
          <w:color w:val="auto"/>
          <w:sz w:val="24"/>
          <w:szCs w:val="24"/>
          <w:highlight w:val="none"/>
        </w:rPr>
      </w:pPr>
      <w:bookmarkStart w:id="37" w:name="bookmark373"/>
      <w:bookmarkEnd w:id="37"/>
      <w:r>
        <w:rPr>
          <w:rFonts w:ascii="Times New Roman" w:hAnsi="Times New Roman" w:eastAsia="Times New Roman" w:cs="Times New Roman"/>
          <w:b/>
          <w:bCs/>
          <w:color w:val="auto"/>
          <w:spacing w:val="-5"/>
          <w:sz w:val="24"/>
          <w:szCs w:val="24"/>
          <w:highlight w:val="none"/>
        </w:rPr>
        <w:t>1.8</w:t>
      </w:r>
      <w:r>
        <w:rPr>
          <w:rFonts w:ascii="Times New Roman" w:hAnsi="Times New Roman" w:eastAsia="Times New Roman" w:cs="Times New Roman"/>
          <w:b/>
          <w:bCs/>
          <w:color w:val="auto"/>
          <w:spacing w:val="7"/>
          <w:sz w:val="24"/>
          <w:szCs w:val="24"/>
          <w:highlight w:val="none"/>
        </w:rPr>
        <w:t xml:space="preserve">  </w:t>
      </w:r>
      <w:r>
        <w:rPr>
          <w:rFonts w:ascii="楷体" w:hAnsi="楷体" w:eastAsia="楷体" w:cs="楷体"/>
          <w:b/>
          <w:bCs/>
          <w:color w:val="auto"/>
          <w:spacing w:val="-5"/>
          <w:sz w:val="24"/>
          <w:szCs w:val="24"/>
          <w:highlight w:val="none"/>
        </w:rPr>
        <w:t>计量单位</w:t>
      </w:r>
    </w:p>
    <w:p w14:paraId="31D43D54">
      <w:pPr>
        <w:spacing w:before="173" w:line="219" w:lineRule="auto"/>
        <w:ind w:left="4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所有计量均采用中华人民共和国法定计量单</w:t>
      </w:r>
      <w:r>
        <w:rPr>
          <w:rFonts w:ascii="宋体" w:hAnsi="宋体" w:eastAsia="宋体" w:cs="宋体"/>
          <w:color w:val="auto"/>
          <w:spacing w:val="-3"/>
          <w:sz w:val="24"/>
          <w:szCs w:val="24"/>
          <w:highlight w:val="none"/>
        </w:rPr>
        <w:t>位。</w:t>
      </w:r>
    </w:p>
    <w:p w14:paraId="25B8AFC3">
      <w:pPr>
        <w:spacing w:before="182" w:line="224"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1.9  </w:t>
      </w:r>
      <w:r>
        <w:rPr>
          <w:rFonts w:ascii="楷体" w:hAnsi="楷体" w:eastAsia="楷体" w:cs="楷体"/>
          <w:b/>
          <w:bCs/>
          <w:color w:val="auto"/>
          <w:spacing w:val="-3"/>
          <w:sz w:val="24"/>
          <w:szCs w:val="24"/>
          <w:highlight w:val="none"/>
        </w:rPr>
        <w:t>踏勘现场</w:t>
      </w:r>
    </w:p>
    <w:p w14:paraId="6AA06BAA">
      <w:pPr>
        <w:spacing w:before="176" w:line="289" w:lineRule="auto"/>
        <w:ind w:left="7" w:right="11" w:firstLine="483"/>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1.9.1  </w:t>
      </w:r>
      <w:r>
        <w:rPr>
          <w:rFonts w:ascii="宋体" w:hAnsi="宋体" w:eastAsia="宋体" w:cs="宋体"/>
          <w:color w:val="auto"/>
          <w:sz w:val="24"/>
          <w:szCs w:val="24"/>
          <w:highlight w:val="none"/>
        </w:rPr>
        <w:t>投标人须知前附表规定组织踏勘现场的，招标人按照投标人须知前</w:t>
      </w:r>
      <w:r>
        <w:rPr>
          <w:rFonts w:ascii="宋体" w:hAnsi="宋体" w:eastAsia="宋体" w:cs="宋体"/>
          <w:color w:val="auto"/>
          <w:spacing w:val="-1"/>
          <w:sz w:val="24"/>
          <w:szCs w:val="24"/>
          <w:highlight w:val="none"/>
        </w:rPr>
        <w:t>附表规</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定的时间和地点组织踏勘现场。</w:t>
      </w:r>
    </w:p>
    <w:p w14:paraId="010E1A98">
      <w:pPr>
        <w:spacing w:before="180" w:line="220" w:lineRule="auto"/>
        <w:ind w:left="49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1.9.2  </w:t>
      </w:r>
      <w:r>
        <w:rPr>
          <w:rFonts w:ascii="宋体" w:hAnsi="宋体" w:eastAsia="宋体" w:cs="宋体"/>
          <w:color w:val="auto"/>
          <w:spacing w:val="-3"/>
          <w:sz w:val="24"/>
          <w:szCs w:val="24"/>
          <w:highlight w:val="none"/>
        </w:rPr>
        <w:t>投标人踏勘现场发生的费用自理。</w:t>
      </w:r>
    </w:p>
    <w:p w14:paraId="40E4ECF7">
      <w:pPr>
        <w:spacing w:before="184" w:line="289" w:lineRule="auto"/>
        <w:ind w:left="1" w:right="1" w:firstLine="488"/>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1.9.3  </w:t>
      </w:r>
      <w:r>
        <w:rPr>
          <w:rFonts w:ascii="宋体" w:hAnsi="宋体" w:eastAsia="宋体" w:cs="宋体"/>
          <w:color w:val="auto"/>
          <w:sz w:val="24"/>
          <w:szCs w:val="24"/>
          <w:highlight w:val="none"/>
        </w:rPr>
        <w:t>除招标人的原因外，投标人自行负责在踏勘现场中所发生的人员伤亡和财</w:t>
      </w:r>
      <w:r>
        <w:rPr>
          <w:rFonts w:ascii="宋体" w:hAnsi="宋体" w:eastAsia="宋体" w:cs="宋体"/>
          <w:color w:val="auto"/>
          <w:spacing w:val="8"/>
          <w:sz w:val="24"/>
          <w:szCs w:val="24"/>
          <w:highlight w:val="none"/>
        </w:rPr>
        <w:t xml:space="preserve"> </w:t>
      </w:r>
      <w:r>
        <w:rPr>
          <w:rFonts w:ascii="宋体" w:hAnsi="宋体" w:eastAsia="宋体" w:cs="宋体"/>
          <w:color w:val="auto"/>
          <w:spacing w:val="-9"/>
          <w:sz w:val="24"/>
          <w:szCs w:val="24"/>
          <w:highlight w:val="none"/>
        </w:rPr>
        <w:t>产损失。</w:t>
      </w:r>
    </w:p>
    <w:p w14:paraId="0DAE1ECA">
      <w:pPr>
        <w:spacing w:before="182" w:line="289" w:lineRule="auto"/>
        <w:ind w:left="3" w:right="1" w:firstLine="486"/>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1.9.4  </w:t>
      </w:r>
      <w:r>
        <w:rPr>
          <w:rFonts w:ascii="宋体" w:hAnsi="宋体" w:eastAsia="宋体" w:cs="宋体"/>
          <w:color w:val="auto"/>
          <w:sz w:val="24"/>
          <w:szCs w:val="24"/>
          <w:highlight w:val="none"/>
        </w:rPr>
        <w:t>招标人在踏勘现场中介绍的工程场地和相关的周边环境情况，供投标人在</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编制投标文件时参考，招标人不对投标人据此作出的判断和决策负责。</w:t>
      </w:r>
    </w:p>
    <w:p w14:paraId="60A2D09D">
      <w:pPr>
        <w:spacing w:before="181" w:line="227"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1.10  </w:t>
      </w:r>
      <w:r>
        <w:rPr>
          <w:rFonts w:ascii="楷体" w:hAnsi="楷体" w:eastAsia="楷体" w:cs="楷体"/>
          <w:b/>
          <w:bCs/>
          <w:color w:val="auto"/>
          <w:spacing w:val="-3"/>
          <w:sz w:val="24"/>
          <w:szCs w:val="24"/>
          <w:highlight w:val="none"/>
        </w:rPr>
        <w:t>投标预备会</w:t>
      </w:r>
    </w:p>
    <w:p w14:paraId="7C669AC3">
      <w:pPr>
        <w:spacing w:before="172" w:line="289" w:lineRule="auto"/>
        <w:ind w:left="2" w:firstLine="487"/>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1.10.1  </w:t>
      </w:r>
      <w:r>
        <w:rPr>
          <w:rFonts w:ascii="宋体" w:hAnsi="宋体" w:eastAsia="宋体" w:cs="宋体"/>
          <w:color w:val="auto"/>
          <w:spacing w:val="-3"/>
          <w:sz w:val="24"/>
          <w:szCs w:val="24"/>
          <w:highlight w:val="none"/>
        </w:rPr>
        <w:t>投标人须知前附表规定召开投标预备会的，招标人按照投标人须知前附表</w:t>
      </w:r>
      <w:r>
        <w:rPr>
          <w:rFonts w:ascii="宋体" w:hAnsi="宋体" w:eastAsia="宋体" w:cs="宋体"/>
          <w:color w:val="auto"/>
          <w:spacing w:val="9"/>
          <w:sz w:val="24"/>
          <w:szCs w:val="24"/>
          <w:highlight w:val="none"/>
        </w:rPr>
        <w:t xml:space="preserve"> </w:t>
      </w:r>
      <w:r>
        <w:rPr>
          <w:rFonts w:ascii="宋体" w:hAnsi="宋体" w:eastAsia="宋体" w:cs="宋体"/>
          <w:color w:val="auto"/>
          <w:spacing w:val="-3"/>
          <w:sz w:val="24"/>
          <w:szCs w:val="24"/>
          <w:highlight w:val="none"/>
        </w:rPr>
        <w:t>规定的时间和地点召开投标预备会。</w:t>
      </w:r>
    </w:p>
    <w:p w14:paraId="505FDCDA">
      <w:pPr>
        <w:spacing w:before="183" w:line="289" w:lineRule="auto"/>
        <w:ind w:firstLine="49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1.10.2  </w:t>
      </w:r>
      <w:r>
        <w:rPr>
          <w:rFonts w:ascii="宋体" w:hAnsi="宋体" w:eastAsia="宋体" w:cs="宋体"/>
          <w:color w:val="auto"/>
          <w:spacing w:val="-3"/>
          <w:sz w:val="24"/>
          <w:szCs w:val="24"/>
          <w:highlight w:val="none"/>
        </w:rPr>
        <w:t>在投标预备会召开前，投标人应按投标人须知前附表第</w:t>
      </w:r>
      <w:r>
        <w:rPr>
          <w:rFonts w:ascii="Times New Roman" w:hAnsi="Times New Roman" w:eastAsia="Times New Roman" w:cs="Times New Roman"/>
          <w:color w:val="auto"/>
          <w:spacing w:val="-3"/>
          <w:sz w:val="24"/>
          <w:szCs w:val="24"/>
          <w:highlight w:val="none"/>
        </w:rPr>
        <w:t>2.2.1</w:t>
      </w:r>
      <w:r>
        <w:rPr>
          <w:rFonts w:ascii="宋体" w:hAnsi="宋体" w:eastAsia="宋体" w:cs="宋体"/>
          <w:color w:val="auto"/>
          <w:spacing w:val="-3"/>
          <w:sz w:val="24"/>
          <w:szCs w:val="24"/>
          <w:highlight w:val="none"/>
        </w:rPr>
        <w:t>项规定的形式</w:t>
      </w:r>
      <w:r>
        <w:rPr>
          <w:rFonts w:ascii="宋体" w:hAnsi="宋体" w:eastAsia="宋体" w:cs="宋体"/>
          <w:color w:val="auto"/>
          <w:spacing w:val="18"/>
          <w:sz w:val="24"/>
          <w:szCs w:val="24"/>
          <w:highlight w:val="none"/>
        </w:rPr>
        <w:t xml:space="preserve"> </w:t>
      </w:r>
      <w:r>
        <w:rPr>
          <w:rFonts w:ascii="宋体" w:hAnsi="宋体" w:eastAsia="宋体" w:cs="宋体"/>
          <w:color w:val="auto"/>
          <w:spacing w:val="-3"/>
          <w:sz w:val="24"/>
          <w:szCs w:val="24"/>
          <w:highlight w:val="none"/>
        </w:rPr>
        <w:t>将需要招标人澄清的问题送达招标人。</w:t>
      </w:r>
    </w:p>
    <w:p w14:paraId="1DE4F1F6">
      <w:pPr>
        <w:spacing w:before="180" w:line="313" w:lineRule="auto"/>
        <w:ind w:left="3" w:firstLine="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1.10.3  </w:t>
      </w:r>
      <w:r>
        <w:rPr>
          <w:rFonts w:ascii="宋体" w:hAnsi="宋体" w:eastAsia="宋体" w:cs="宋体"/>
          <w:color w:val="auto"/>
          <w:spacing w:val="-3"/>
          <w:sz w:val="24"/>
          <w:szCs w:val="24"/>
          <w:highlight w:val="none"/>
        </w:rPr>
        <w:t>在投标人须知前附表规定的投标截止时间</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日前，招标人将对投标人所提</w:t>
      </w:r>
      <w:r>
        <w:rPr>
          <w:rFonts w:ascii="宋体" w:hAnsi="宋体" w:eastAsia="宋体" w:cs="宋体"/>
          <w:color w:val="auto"/>
          <w:spacing w:val="12"/>
          <w:sz w:val="24"/>
          <w:szCs w:val="24"/>
          <w:highlight w:val="none"/>
        </w:rPr>
        <w:t xml:space="preserve"> </w:t>
      </w:r>
      <w:r>
        <w:rPr>
          <w:rFonts w:ascii="宋体" w:hAnsi="宋体" w:eastAsia="宋体" w:cs="宋体"/>
          <w:color w:val="auto"/>
          <w:spacing w:val="-3"/>
          <w:sz w:val="24"/>
          <w:szCs w:val="24"/>
          <w:highlight w:val="none"/>
        </w:rPr>
        <w:t>问题的澄清，以投标人须知前附表第</w:t>
      </w:r>
      <w:r>
        <w:rPr>
          <w:rFonts w:ascii="Times New Roman" w:hAnsi="Times New Roman" w:eastAsia="Times New Roman" w:cs="Times New Roman"/>
          <w:color w:val="auto"/>
          <w:spacing w:val="-3"/>
          <w:sz w:val="24"/>
          <w:szCs w:val="24"/>
          <w:highlight w:val="none"/>
        </w:rPr>
        <w:t>2.2.2</w:t>
      </w:r>
      <w:r>
        <w:rPr>
          <w:rFonts w:ascii="宋体" w:hAnsi="宋体" w:eastAsia="宋体" w:cs="宋体"/>
          <w:color w:val="auto"/>
          <w:spacing w:val="-3"/>
          <w:sz w:val="24"/>
          <w:szCs w:val="24"/>
          <w:highlight w:val="none"/>
        </w:rPr>
        <w:t>项规定的方式通知所有获取招标文件的投标</w:t>
      </w:r>
      <w:r>
        <w:rPr>
          <w:rFonts w:ascii="宋体" w:hAnsi="宋体" w:eastAsia="宋体" w:cs="宋体"/>
          <w:color w:val="auto"/>
          <w:spacing w:val="15"/>
          <w:sz w:val="24"/>
          <w:szCs w:val="24"/>
          <w:highlight w:val="none"/>
        </w:rPr>
        <w:t xml:space="preserve"> </w:t>
      </w:r>
      <w:r>
        <w:rPr>
          <w:rFonts w:ascii="宋体" w:hAnsi="宋体" w:eastAsia="宋体" w:cs="宋体"/>
          <w:color w:val="auto"/>
          <w:spacing w:val="-3"/>
          <w:sz w:val="24"/>
          <w:szCs w:val="24"/>
          <w:highlight w:val="none"/>
        </w:rPr>
        <w:t>人。该澄清通知为招标文件的组成部分。</w:t>
      </w:r>
    </w:p>
    <w:p w14:paraId="34F8BDE2">
      <w:pPr>
        <w:spacing w:before="182" w:line="230"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1.11</w:t>
      </w:r>
      <w:r>
        <w:rPr>
          <w:rFonts w:ascii="Times New Roman" w:hAnsi="Times New Roman" w:eastAsia="Times New Roman" w:cs="Times New Roman"/>
          <w:b/>
          <w:bCs/>
          <w:color w:val="auto"/>
          <w:spacing w:val="7"/>
          <w:sz w:val="24"/>
          <w:szCs w:val="24"/>
          <w:highlight w:val="none"/>
        </w:rPr>
        <w:t xml:space="preserve">  </w:t>
      </w:r>
      <w:r>
        <w:rPr>
          <w:rFonts w:ascii="楷体" w:hAnsi="楷体" w:eastAsia="楷体" w:cs="楷体"/>
          <w:b/>
          <w:bCs/>
          <w:color w:val="auto"/>
          <w:spacing w:val="-5"/>
          <w:sz w:val="24"/>
          <w:szCs w:val="24"/>
          <w:highlight w:val="none"/>
        </w:rPr>
        <w:t>分包</w:t>
      </w:r>
    </w:p>
    <w:p w14:paraId="0A85BCC6">
      <w:pPr>
        <w:spacing w:before="169" w:line="359" w:lineRule="auto"/>
        <w:ind w:left="4" w:right="1" w:firstLine="48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投标人须知前附表规定允许分包的，分包的内容、分包金额、接受分包的第</w:t>
      </w:r>
      <w:r>
        <w:rPr>
          <w:rFonts w:ascii="宋体" w:hAnsi="宋体" w:eastAsia="宋体" w:cs="宋体"/>
          <w:color w:val="auto"/>
          <w:spacing w:val="-4"/>
          <w:sz w:val="24"/>
          <w:szCs w:val="24"/>
          <w:highlight w:val="none"/>
        </w:rPr>
        <w:t>三人</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资质要求见投标人须知前附表。投标人应在投标文件中明确是否在中标后将中标项目</w:t>
      </w:r>
      <w:r>
        <w:rPr>
          <w:rFonts w:ascii="宋体" w:hAnsi="宋体" w:eastAsia="宋体" w:cs="宋体"/>
          <w:color w:val="auto"/>
          <w:spacing w:val="5"/>
          <w:sz w:val="24"/>
          <w:szCs w:val="24"/>
          <w:highlight w:val="none"/>
        </w:rPr>
        <w:t xml:space="preserve"> </w:t>
      </w:r>
      <w:r>
        <w:rPr>
          <w:rFonts w:ascii="宋体" w:hAnsi="宋体" w:eastAsia="宋体" w:cs="宋体"/>
          <w:color w:val="auto"/>
          <w:spacing w:val="-6"/>
          <w:sz w:val="24"/>
          <w:szCs w:val="24"/>
          <w:highlight w:val="none"/>
        </w:rPr>
        <w:t>的部分非主体、非关键性工作进行分包。投标人拟分包时， 分包人应具备与分包工程</w:t>
      </w:r>
      <w:r>
        <w:rPr>
          <w:rFonts w:ascii="宋体" w:hAnsi="宋体" w:eastAsia="宋体" w:cs="宋体"/>
          <w:color w:val="auto"/>
          <w:spacing w:val="1"/>
          <w:sz w:val="24"/>
          <w:szCs w:val="24"/>
          <w:highlight w:val="none"/>
        </w:rPr>
        <w:t xml:space="preserve"> </w:t>
      </w:r>
      <w:r>
        <w:rPr>
          <w:rFonts w:ascii="宋体" w:hAnsi="宋体" w:eastAsia="宋体" w:cs="宋体"/>
          <w:color w:val="auto"/>
          <w:spacing w:val="-3"/>
          <w:sz w:val="24"/>
          <w:szCs w:val="24"/>
          <w:highlight w:val="none"/>
        </w:rPr>
        <w:t>的标准和规模相适应的资质和业绩，在人力、设备、资金等方面具有承担分包工程施</w:t>
      </w:r>
      <w:r>
        <w:rPr>
          <w:rFonts w:ascii="宋体" w:hAnsi="宋体" w:eastAsia="宋体" w:cs="宋体"/>
          <w:color w:val="auto"/>
          <w:spacing w:val="5"/>
          <w:sz w:val="24"/>
          <w:szCs w:val="24"/>
          <w:highlight w:val="none"/>
        </w:rPr>
        <w:t xml:space="preserve"> </w:t>
      </w:r>
      <w:r>
        <w:rPr>
          <w:rFonts w:ascii="宋体" w:hAnsi="宋体" w:eastAsia="宋体" w:cs="宋体"/>
          <w:color w:val="auto"/>
          <w:spacing w:val="-8"/>
          <w:sz w:val="24"/>
          <w:szCs w:val="24"/>
          <w:highlight w:val="none"/>
        </w:rPr>
        <w:t>工的能力。</w:t>
      </w:r>
    </w:p>
    <w:p w14:paraId="442DF895">
      <w:pPr>
        <w:spacing w:before="1" w:line="226"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1.12  </w:t>
      </w:r>
      <w:r>
        <w:rPr>
          <w:rFonts w:ascii="楷体" w:hAnsi="楷体" w:eastAsia="楷体" w:cs="楷体"/>
          <w:b/>
          <w:bCs/>
          <w:color w:val="auto"/>
          <w:spacing w:val="-3"/>
          <w:sz w:val="24"/>
          <w:szCs w:val="24"/>
          <w:highlight w:val="none"/>
        </w:rPr>
        <w:t>偏离</w:t>
      </w:r>
    </w:p>
    <w:p w14:paraId="0673854D">
      <w:pPr>
        <w:spacing w:before="173" w:line="360" w:lineRule="auto"/>
        <w:ind w:left="21" w:right="1" w:firstLine="46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投标文件不允许偏离招标文件的实质性要求和条件。允许投标文件偏离招标文件</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的非实质性要求和条件的，其偏离内容、范围和幅度见投标人须知前附表。</w:t>
      </w:r>
    </w:p>
    <w:p w14:paraId="6BB34E89">
      <w:pPr>
        <w:spacing w:line="360" w:lineRule="auto"/>
        <w:rPr>
          <w:rFonts w:ascii="宋体" w:hAnsi="宋体" w:eastAsia="宋体" w:cs="宋体"/>
          <w:color w:val="auto"/>
          <w:sz w:val="24"/>
          <w:szCs w:val="24"/>
          <w:highlight w:val="none"/>
        </w:rPr>
        <w:sectPr>
          <w:footerReference r:id="rId15" w:type="default"/>
          <w:pgSz w:w="11905" w:h="16840"/>
          <w:pgMar w:top="1428" w:right="1528" w:bottom="1255" w:left="1595" w:header="0" w:footer="1093" w:gutter="0"/>
          <w:pgNumType w:fmt="decimal"/>
          <w:cols w:space="720" w:num="1"/>
        </w:sectPr>
      </w:pPr>
    </w:p>
    <w:p w14:paraId="41BB3C0C">
      <w:pPr>
        <w:spacing w:before="56" w:line="226" w:lineRule="auto"/>
        <w:outlineLvl w:val="2"/>
        <w:rPr>
          <w:rFonts w:ascii="宋体" w:hAnsi="宋体" w:eastAsia="宋体" w:cs="宋体"/>
          <w:color w:val="auto"/>
          <w:sz w:val="27"/>
          <w:szCs w:val="27"/>
          <w:highlight w:val="none"/>
        </w:rPr>
      </w:pPr>
      <w:bookmarkStart w:id="38" w:name="bookmark26"/>
      <w:bookmarkEnd w:id="38"/>
      <w:bookmarkStart w:id="39" w:name="bookmark374"/>
      <w:bookmarkEnd w:id="39"/>
      <w:bookmarkStart w:id="40" w:name="_Toc10446"/>
      <w:r>
        <w:rPr>
          <w:rFonts w:ascii="Times New Roman" w:hAnsi="Times New Roman" w:eastAsia="Times New Roman" w:cs="Times New Roman"/>
          <w:b/>
          <w:bCs/>
          <w:color w:val="auto"/>
          <w:spacing w:val="3"/>
          <w:sz w:val="27"/>
          <w:szCs w:val="27"/>
          <w:highlight w:val="none"/>
        </w:rPr>
        <w:t>2</w:t>
      </w:r>
      <w:r>
        <w:rPr>
          <w:rFonts w:ascii="Times New Roman" w:hAnsi="Times New Roman" w:eastAsia="Times New Roman" w:cs="Times New Roman"/>
          <w:b/>
          <w:bCs/>
          <w:color w:val="auto"/>
          <w:spacing w:val="9"/>
          <w:sz w:val="27"/>
          <w:szCs w:val="27"/>
          <w:highlight w:val="none"/>
        </w:rPr>
        <w:t xml:space="preserve">  </w:t>
      </w:r>
      <w:r>
        <w:rPr>
          <w:rFonts w:ascii="宋体" w:hAnsi="宋体" w:eastAsia="宋体" w:cs="宋体"/>
          <w:b/>
          <w:bCs/>
          <w:color w:val="auto"/>
          <w:spacing w:val="3"/>
          <w:sz w:val="27"/>
          <w:szCs w:val="27"/>
          <w:highlight w:val="none"/>
        </w:rPr>
        <w:t>招标文件</w:t>
      </w:r>
      <w:bookmarkEnd w:id="40"/>
    </w:p>
    <w:p w14:paraId="0EE1E45D">
      <w:pPr>
        <w:pStyle w:val="8"/>
        <w:spacing w:line="248" w:lineRule="auto"/>
        <w:rPr>
          <w:color w:val="auto"/>
          <w:highlight w:val="none"/>
        </w:rPr>
      </w:pPr>
    </w:p>
    <w:p w14:paraId="724F0F6B">
      <w:pPr>
        <w:spacing w:before="78" w:line="227"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2.1  </w:t>
      </w:r>
      <w:r>
        <w:rPr>
          <w:rFonts w:ascii="楷体" w:hAnsi="楷体" w:eastAsia="楷体" w:cs="楷体"/>
          <w:b/>
          <w:bCs/>
          <w:color w:val="auto"/>
          <w:spacing w:val="-2"/>
          <w:sz w:val="24"/>
          <w:szCs w:val="24"/>
          <w:highlight w:val="none"/>
        </w:rPr>
        <w:t>招标文件的组成</w:t>
      </w:r>
    </w:p>
    <w:p w14:paraId="2E26C9BB">
      <w:pPr>
        <w:spacing w:before="170" w:line="219" w:lineRule="auto"/>
        <w:ind w:left="48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本招标文件包括下列内容：</w:t>
      </w:r>
    </w:p>
    <w:p w14:paraId="3A1F5476">
      <w:pPr>
        <w:spacing w:before="182" w:line="218" w:lineRule="auto"/>
        <w:ind w:left="49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）招标公告（或投标邀请书）。</w:t>
      </w:r>
    </w:p>
    <w:p w14:paraId="09215B57">
      <w:pPr>
        <w:spacing w:before="183" w:line="220" w:lineRule="auto"/>
        <w:ind w:left="49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2</w:t>
      </w:r>
      <w:r>
        <w:rPr>
          <w:rFonts w:ascii="宋体" w:hAnsi="宋体" w:eastAsia="宋体" w:cs="宋体"/>
          <w:color w:val="auto"/>
          <w:spacing w:val="-6"/>
          <w:sz w:val="24"/>
          <w:szCs w:val="24"/>
          <w:highlight w:val="none"/>
        </w:rPr>
        <w:t>）投标人须知。</w:t>
      </w:r>
    </w:p>
    <w:p w14:paraId="3924CB2F">
      <w:pPr>
        <w:spacing w:before="180" w:line="220" w:lineRule="auto"/>
        <w:ind w:left="49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3</w:t>
      </w:r>
      <w:r>
        <w:rPr>
          <w:rFonts w:ascii="宋体" w:hAnsi="宋体" w:eastAsia="宋体" w:cs="宋体"/>
          <w:color w:val="auto"/>
          <w:spacing w:val="-6"/>
          <w:sz w:val="24"/>
          <w:szCs w:val="24"/>
          <w:highlight w:val="none"/>
        </w:rPr>
        <w:t>）评标办法。</w:t>
      </w:r>
    </w:p>
    <w:p w14:paraId="355224F0">
      <w:pPr>
        <w:spacing w:before="181"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4</w:t>
      </w:r>
      <w:r>
        <w:rPr>
          <w:rFonts w:ascii="宋体" w:hAnsi="宋体" w:eastAsia="宋体" w:cs="宋体"/>
          <w:color w:val="auto"/>
          <w:spacing w:val="-5"/>
          <w:sz w:val="24"/>
          <w:szCs w:val="24"/>
          <w:highlight w:val="none"/>
        </w:rPr>
        <w:t>）合同条款及格式。</w:t>
      </w:r>
    </w:p>
    <w:p w14:paraId="1466C64D">
      <w:pPr>
        <w:spacing w:before="181" w:line="220" w:lineRule="auto"/>
        <w:ind w:left="49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5</w:t>
      </w:r>
      <w:r>
        <w:rPr>
          <w:rFonts w:ascii="宋体" w:hAnsi="宋体" w:eastAsia="宋体" w:cs="宋体"/>
          <w:color w:val="auto"/>
          <w:spacing w:val="-6"/>
          <w:sz w:val="24"/>
          <w:szCs w:val="24"/>
          <w:highlight w:val="none"/>
        </w:rPr>
        <w:t>）工程量清单。</w:t>
      </w:r>
    </w:p>
    <w:p w14:paraId="00C6DE81">
      <w:pPr>
        <w:spacing w:before="181" w:line="221" w:lineRule="auto"/>
        <w:ind w:left="49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6</w:t>
      </w:r>
      <w:r>
        <w:rPr>
          <w:rFonts w:ascii="宋体" w:hAnsi="宋体" w:eastAsia="宋体" w:cs="宋体"/>
          <w:color w:val="auto"/>
          <w:spacing w:val="-7"/>
          <w:sz w:val="24"/>
          <w:szCs w:val="24"/>
          <w:highlight w:val="none"/>
        </w:rPr>
        <w:t>）图纸。</w:t>
      </w:r>
    </w:p>
    <w:p w14:paraId="7E94A4B4">
      <w:pPr>
        <w:spacing w:before="179"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7</w:t>
      </w:r>
      <w:r>
        <w:rPr>
          <w:rFonts w:ascii="宋体" w:hAnsi="宋体" w:eastAsia="宋体" w:cs="宋体"/>
          <w:color w:val="auto"/>
          <w:spacing w:val="-5"/>
          <w:sz w:val="24"/>
          <w:szCs w:val="24"/>
          <w:highlight w:val="none"/>
        </w:rPr>
        <w:t>）技术标准和要求。</w:t>
      </w:r>
    </w:p>
    <w:p w14:paraId="1ADD3E18">
      <w:pPr>
        <w:spacing w:before="180"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8</w:t>
      </w:r>
      <w:r>
        <w:rPr>
          <w:rFonts w:ascii="宋体" w:hAnsi="宋体" w:eastAsia="宋体" w:cs="宋体"/>
          <w:color w:val="auto"/>
          <w:spacing w:val="-5"/>
          <w:sz w:val="24"/>
          <w:szCs w:val="24"/>
          <w:highlight w:val="none"/>
        </w:rPr>
        <w:t>）投标文件格式。</w:t>
      </w:r>
    </w:p>
    <w:p w14:paraId="77C5354E">
      <w:pPr>
        <w:spacing w:before="183" w:line="219" w:lineRule="auto"/>
        <w:ind w:left="49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9</w:t>
      </w:r>
      <w:r>
        <w:rPr>
          <w:rFonts w:ascii="宋体" w:hAnsi="宋体" w:eastAsia="宋体" w:cs="宋体"/>
          <w:color w:val="auto"/>
          <w:spacing w:val="-3"/>
          <w:sz w:val="24"/>
          <w:szCs w:val="24"/>
          <w:highlight w:val="none"/>
        </w:rPr>
        <w:t>）投标人须知前附表规定的其他材料。</w:t>
      </w:r>
    </w:p>
    <w:p w14:paraId="174DC921">
      <w:pPr>
        <w:spacing w:before="182" w:line="359" w:lineRule="auto"/>
        <w:ind w:left="2" w:firstLine="48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根据本章第</w:t>
      </w:r>
      <w:r>
        <w:rPr>
          <w:rFonts w:ascii="Times New Roman" w:hAnsi="Times New Roman" w:eastAsia="Times New Roman" w:cs="Times New Roman"/>
          <w:color w:val="auto"/>
          <w:spacing w:val="-6"/>
          <w:sz w:val="24"/>
          <w:szCs w:val="24"/>
          <w:highlight w:val="none"/>
        </w:rPr>
        <w:t>1.10</w:t>
      </w:r>
      <w:r>
        <w:rPr>
          <w:rFonts w:ascii="宋体" w:hAnsi="宋体" w:eastAsia="宋体" w:cs="宋体"/>
          <w:color w:val="auto"/>
          <w:spacing w:val="-6"/>
          <w:sz w:val="24"/>
          <w:szCs w:val="24"/>
          <w:highlight w:val="none"/>
        </w:rPr>
        <w:t>款、第</w:t>
      </w:r>
      <w:r>
        <w:rPr>
          <w:rFonts w:ascii="Times New Roman" w:hAnsi="Times New Roman" w:eastAsia="Times New Roman" w:cs="Times New Roman"/>
          <w:color w:val="auto"/>
          <w:spacing w:val="-6"/>
          <w:sz w:val="24"/>
          <w:szCs w:val="24"/>
          <w:highlight w:val="none"/>
        </w:rPr>
        <w:t>2.2</w:t>
      </w:r>
      <w:r>
        <w:rPr>
          <w:rFonts w:ascii="宋体" w:hAnsi="宋体" w:eastAsia="宋体" w:cs="宋体"/>
          <w:color w:val="auto"/>
          <w:spacing w:val="-6"/>
          <w:sz w:val="24"/>
          <w:szCs w:val="24"/>
          <w:highlight w:val="none"/>
        </w:rPr>
        <w:t>款和第</w:t>
      </w:r>
      <w:r>
        <w:rPr>
          <w:rFonts w:ascii="Times New Roman" w:hAnsi="Times New Roman" w:eastAsia="Times New Roman" w:cs="Times New Roman"/>
          <w:color w:val="auto"/>
          <w:spacing w:val="-6"/>
          <w:sz w:val="24"/>
          <w:szCs w:val="24"/>
          <w:highlight w:val="none"/>
        </w:rPr>
        <w:t>2.3</w:t>
      </w:r>
      <w:r>
        <w:rPr>
          <w:rFonts w:ascii="宋体" w:hAnsi="宋体" w:eastAsia="宋体" w:cs="宋体"/>
          <w:color w:val="auto"/>
          <w:spacing w:val="-6"/>
          <w:sz w:val="24"/>
          <w:szCs w:val="24"/>
          <w:highlight w:val="none"/>
        </w:rPr>
        <w:t>款对招标文件所作的澄清、修改，</w:t>
      </w:r>
      <w:r>
        <w:rPr>
          <w:rFonts w:ascii="宋体" w:hAnsi="宋体" w:eastAsia="宋体" w:cs="宋体"/>
          <w:color w:val="auto"/>
          <w:spacing w:val="-36"/>
          <w:sz w:val="24"/>
          <w:szCs w:val="24"/>
          <w:highlight w:val="none"/>
        </w:rPr>
        <w:t xml:space="preserve"> </w:t>
      </w:r>
      <w:r>
        <w:rPr>
          <w:rFonts w:ascii="宋体" w:hAnsi="宋体" w:eastAsia="宋体" w:cs="宋体"/>
          <w:color w:val="auto"/>
          <w:spacing w:val="-6"/>
          <w:sz w:val="24"/>
          <w:szCs w:val="24"/>
          <w:highlight w:val="none"/>
        </w:rPr>
        <w:t>构成招标文</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件的组成部分。</w:t>
      </w:r>
    </w:p>
    <w:p w14:paraId="68E8D9B4">
      <w:pPr>
        <w:spacing w:before="1"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2.2  </w:t>
      </w:r>
      <w:r>
        <w:rPr>
          <w:rFonts w:ascii="楷体" w:hAnsi="楷体" w:eastAsia="楷体" w:cs="楷体"/>
          <w:b/>
          <w:bCs/>
          <w:color w:val="auto"/>
          <w:spacing w:val="-2"/>
          <w:sz w:val="24"/>
          <w:szCs w:val="24"/>
          <w:highlight w:val="none"/>
        </w:rPr>
        <w:t>招标文件的澄清</w:t>
      </w:r>
    </w:p>
    <w:p w14:paraId="49E68550">
      <w:pPr>
        <w:spacing w:before="175" w:line="313" w:lineRule="auto"/>
        <w:ind w:left="3" w:right="2" w:firstLine="478"/>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2.2.1  </w:t>
      </w:r>
      <w:r>
        <w:rPr>
          <w:rFonts w:ascii="宋体" w:hAnsi="宋体" w:eastAsia="宋体" w:cs="宋体"/>
          <w:color w:val="auto"/>
          <w:sz w:val="24"/>
          <w:szCs w:val="24"/>
          <w:highlight w:val="none"/>
        </w:rPr>
        <w:t>投标人应仔细阅读和检查招标文件的全部内容。如发现缺页或附件不全，</w:t>
      </w:r>
      <w:r>
        <w:rPr>
          <w:rFonts w:ascii="宋体" w:hAnsi="宋体" w:eastAsia="宋体" w:cs="宋体"/>
          <w:color w:val="auto"/>
          <w:spacing w:val="4"/>
          <w:sz w:val="24"/>
          <w:szCs w:val="24"/>
          <w:highlight w:val="none"/>
        </w:rPr>
        <w:t xml:space="preserve"> </w:t>
      </w:r>
      <w:r>
        <w:rPr>
          <w:rFonts w:ascii="宋体" w:hAnsi="宋体" w:eastAsia="宋体" w:cs="宋体"/>
          <w:color w:val="auto"/>
          <w:spacing w:val="-6"/>
          <w:sz w:val="24"/>
          <w:szCs w:val="24"/>
          <w:highlight w:val="none"/>
        </w:rPr>
        <w:t>应及时向招标人提出，以便补齐。如有疑问， 应在投标人须知前附表规定的时间前以</w:t>
      </w:r>
      <w:r>
        <w:rPr>
          <w:rFonts w:ascii="宋体" w:hAnsi="宋体" w:eastAsia="宋体" w:cs="宋体"/>
          <w:color w:val="auto"/>
          <w:spacing w:val="4"/>
          <w:sz w:val="24"/>
          <w:szCs w:val="24"/>
          <w:highlight w:val="none"/>
        </w:rPr>
        <w:t xml:space="preserve"> </w:t>
      </w:r>
      <w:r>
        <w:rPr>
          <w:rFonts w:ascii="宋体" w:hAnsi="宋体" w:eastAsia="宋体" w:cs="宋体"/>
          <w:color w:val="auto"/>
          <w:spacing w:val="-2"/>
          <w:sz w:val="24"/>
          <w:szCs w:val="24"/>
          <w:highlight w:val="none"/>
        </w:rPr>
        <w:t>规定的形式提出澄清申请，要求招标人对招标文件予以澄清。</w:t>
      </w:r>
    </w:p>
    <w:p w14:paraId="32601B81">
      <w:pPr>
        <w:spacing w:before="182" w:line="331" w:lineRule="auto"/>
        <w:ind w:left="2" w:firstLine="479"/>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2.2.2  </w:t>
      </w:r>
      <w:r>
        <w:rPr>
          <w:rFonts w:ascii="宋体" w:hAnsi="宋体" w:eastAsia="宋体" w:cs="宋体"/>
          <w:color w:val="auto"/>
          <w:sz w:val="24"/>
          <w:szCs w:val="24"/>
          <w:highlight w:val="none"/>
        </w:rPr>
        <w:t>招标人可以对已发出的招标文件进行必要的澄清，但不指明澄清问题的来</w:t>
      </w:r>
      <w:r>
        <w:rPr>
          <w:rFonts w:ascii="宋体" w:hAnsi="宋体" w:eastAsia="宋体" w:cs="宋体"/>
          <w:color w:val="auto"/>
          <w:spacing w:val="18"/>
          <w:sz w:val="24"/>
          <w:szCs w:val="24"/>
          <w:highlight w:val="none"/>
        </w:rPr>
        <w:t xml:space="preserve"> </w:t>
      </w:r>
      <w:r>
        <w:rPr>
          <w:rFonts w:ascii="宋体" w:hAnsi="宋体" w:eastAsia="宋体" w:cs="宋体"/>
          <w:color w:val="auto"/>
          <w:sz w:val="24"/>
          <w:szCs w:val="24"/>
          <w:highlight w:val="none"/>
        </w:rPr>
        <w:t>源。修改招标文件的时间距投标截止时间不足</w:t>
      </w:r>
      <w:r>
        <w:rPr>
          <w:rFonts w:ascii="Times New Roman" w:hAnsi="Times New Roman" w:eastAsia="Times New Roman" w:cs="Times New Roman"/>
          <w:b/>
          <w:bCs/>
          <w:color w:val="auto"/>
          <w:sz w:val="24"/>
          <w:szCs w:val="24"/>
          <w:highlight w:val="none"/>
        </w:rPr>
        <w:t>7</w:t>
      </w:r>
      <w:r>
        <w:rPr>
          <w:rFonts w:ascii="宋体" w:hAnsi="宋体" w:eastAsia="宋体" w:cs="宋体"/>
          <w:color w:val="auto"/>
          <w:sz w:val="24"/>
          <w:szCs w:val="24"/>
          <w:highlight w:val="none"/>
        </w:rPr>
        <w:t>日的，相应延长投标截止时间。澄清</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的内容可能影响投标文件编制的，招标人应当在投标截止时间至少</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日前，以投标人</w:t>
      </w:r>
      <w:r>
        <w:rPr>
          <w:rFonts w:ascii="宋体" w:hAnsi="宋体" w:eastAsia="宋体" w:cs="宋体"/>
          <w:color w:val="auto"/>
          <w:spacing w:val="13"/>
          <w:sz w:val="24"/>
          <w:szCs w:val="24"/>
          <w:highlight w:val="none"/>
        </w:rPr>
        <w:t xml:space="preserve"> </w:t>
      </w:r>
      <w:r>
        <w:rPr>
          <w:rFonts w:ascii="宋体" w:hAnsi="宋体" w:eastAsia="宋体" w:cs="宋体"/>
          <w:color w:val="auto"/>
          <w:spacing w:val="-3"/>
          <w:sz w:val="24"/>
          <w:szCs w:val="24"/>
          <w:highlight w:val="none"/>
        </w:rPr>
        <w:t>须知前附表规定的形式通知所有获取招标文件的潜在投标人，不足</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日的，招标人应</w:t>
      </w:r>
      <w:r>
        <w:rPr>
          <w:rFonts w:ascii="宋体" w:hAnsi="宋体" w:eastAsia="宋体" w:cs="宋体"/>
          <w:color w:val="auto"/>
          <w:spacing w:val="13"/>
          <w:sz w:val="24"/>
          <w:szCs w:val="24"/>
          <w:highlight w:val="none"/>
        </w:rPr>
        <w:t xml:space="preserve"> </w:t>
      </w:r>
      <w:r>
        <w:rPr>
          <w:rFonts w:ascii="宋体" w:hAnsi="宋体" w:eastAsia="宋体" w:cs="宋体"/>
          <w:color w:val="auto"/>
          <w:spacing w:val="-3"/>
          <w:sz w:val="24"/>
          <w:szCs w:val="24"/>
          <w:highlight w:val="none"/>
        </w:rPr>
        <w:t>当顺延提交投标文件的截止时间。</w:t>
      </w:r>
    </w:p>
    <w:p w14:paraId="1A35461D">
      <w:pPr>
        <w:spacing w:before="181"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2.2.3  </w:t>
      </w:r>
      <w:r>
        <w:rPr>
          <w:rFonts w:ascii="宋体" w:hAnsi="宋体" w:eastAsia="宋体" w:cs="宋体"/>
          <w:color w:val="auto"/>
          <w:spacing w:val="-2"/>
          <w:sz w:val="24"/>
          <w:szCs w:val="24"/>
          <w:highlight w:val="none"/>
        </w:rPr>
        <w:t>投标人在收到澄清通知后，无需确认。</w:t>
      </w:r>
    </w:p>
    <w:p w14:paraId="6E161BE6">
      <w:pPr>
        <w:spacing w:before="182" w:line="227"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2.3  </w:t>
      </w:r>
      <w:r>
        <w:rPr>
          <w:rFonts w:ascii="楷体" w:hAnsi="楷体" w:eastAsia="楷体" w:cs="楷体"/>
          <w:b/>
          <w:bCs/>
          <w:color w:val="auto"/>
          <w:spacing w:val="-2"/>
          <w:sz w:val="24"/>
          <w:szCs w:val="24"/>
          <w:highlight w:val="none"/>
        </w:rPr>
        <w:t>招标文件的修改</w:t>
      </w:r>
    </w:p>
    <w:p w14:paraId="2A182FDD">
      <w:pPr>
        <w:spacing w:before="173" w:line="360" w:lineRule="auto"/>
        <w:ind w:left="3" w:firstLine="478"/>
        <w:jc w:val="both"/>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2.3.1  </w:t>
      </w:r>
      <w:r>
        <w:rPr>
          <w:rFonts w:ascii="宋体" w:hAnsi="宋体" w:eastAsia="宋体" w:cs="宋体"/>
          <w:color w:val="auto"/>
          <w:sz w:val="24"/>
          <w:szCs w:val="24"/>
          <w:highlight w:val="none"/>
        </w:rPr>
        <w:t>招标人可以对已发出的招标文件进行必要的修改。修改招标文件的时间距</w:t>
      </w:r>
      <w:r>
        <w:rPr>
          <w:rFonts w:ascii="宋体" w:hAnsi="宋体" w:eastAsia="宋体" w:cs="宋体"/>
          <w:color w:val="auto"/>
          <w:spacing w:val="18"/>
          <w:sz w:val="24"/>
          <w:szCs w:val="24"/>
          <w:highlight w:val="none"/>
        </w:rPr>
        <w:t xml:space="preserve"> </w:t>
      </w:r>
      <w:r>
        <w:rPr>
          <w:rFonts w:ascii="宋体" w:hAnsi="宋体" w:eastAsia="宋体" w:cs="宋体"/>
          <w:color w:val="auto"/>
          <w:sz w:val="24"/>
          <w:szCs w:val="24"/>
          <w:highlight w:val="none"/>
        </w:rPr>
        <w:t>投标截止时间不足</w:t>
      </w:r>
      <w:r>
        <w:rPr>
          <w:rFonts w:ascii="Times New Roman" w:hAnsi="Times New Roman" w:eastAsia="Times New Roman" w:cs="Times New Roman"/>
          <w:b/>
          <w:bCs/>
          <w:color w:val="auto"/>
          <w:sz w:val="24"/>
          <w:szCs w:val="24"/>
          <w:highlight w:val="none"/>
        </w:rPr>
        <w:t>7</w:t>
      </w:r>
      <w:r>
        <w:rPr>
          <w:rFonts w:ascii="宋体" w:hAnsi="宋体" w:eastAsia="宋体" w:cs="宋体"/>
          <w:color w:val="auto"/>
          <w:sz w:val="24"/>
          <w:szCs w:val="24"/>
          <w:highlight w:val="none"/>
        </w:rPr>
        <w:t>日的，相应延长投标截止时间。修改的内容可能影响投标文件编</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制的，招标人应当在投标截止时间至少</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日前，以投标人须知前附表规定的形式通知</w:t>
      </w:r>
      <w:r>
        <w:rPr>
          <w:rFonts w:ascii="宋体" w:hAnsi="宋体" w:eastAsia="宋体" w:cs="宋体"/>
          <w:color w:val="auto"/>
          <w:spacing w:val="12"/>
          <w:sz w:val="24"/>
          <w:szCs w:val="24"/>
          <w:highlight w:val="none"/>
        </w:rPr>
        <w:t xml:space="preserve"> </w:t>
      </w:r>
      <w:r>
        <w:rPr>
          <w:rFonts w:ascii="宋体" w:hAnsi="宋体" w:eastAsia="宋体" w:cs="宋体"/>
          <w:color w:val="auto"/>
          <w:spacing w:val="-3"/>
          <w:sz w:val="24"/>
          <w:szCs w:val="24"/>
          <w:highlight w:val="none"/>
        </w:rPr>
        <w:t>所有获取招标文件的潜在投标人，不足</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日的，招标人应当顺延提交投标文件的截止</w:t>
      </w:r>
    </w:p>
    <w:p w14:paraId="52CA55EE">
      <w:pPr>
        <w:spacing w:line="360" w:lineRule="auto"/>
        <w:rPr>
          <w:rFonts w:ascii="宋体" w:hAnsi="宋体" w:eastAsia="宋体" w:cs="宋体"/>
          <w:color w:val="auto"/>
          <w:sz w:val="24"/>
          <w:szCs w:val="24"/>
          <w:highlight w:val="none"/>
        </w:rPr>
        <w:sectPr>
          <w:footerReference r:id="rId16" w:type="default"/>
          <w:pgSz w:w="11905" w:h="16840"/>
          <w:pgMar w:top="1427" w:right="1527" w:bottom="1255" w:left="1593" w:header="0" w:footer="1093" w:gutter="0"/>
          <w:pgNumType w:fmt="decimal"/>
          <w:cols w:space="720" w:num="1"/>
        </w:sectPr>
      </w:pPr>
    </w:p>
    <w:p w14:paraId="186A920C">
      <w:pPr>
        <w:spacing w:before="47" w:line="222" w:lineRule="auto"/>
        <w:ind w:left="28"/>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时间。</w:t>
      </w:r>
    </w:p>
    <w:p w14:paraId="3C374D27">
      <w:pPr>
        <w:spacing w:before="177" w:line="220" w:lineRule="auto"/>
        <w:ind w:left="495"/>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2.3.2  </w:t>
      </w:r>
      <w:r>
        <w:rPr>
          <w:rFonts w:ascii="宋体" w:hAnsi="宋体" w:eastAsia="宋体" w:cs="宋体"/>
          <w:color w:val="auto"/>
          <w:spacing w:val="-2"/>
          <w:sz w:val="24"/>
          <w:szCs w:val="24"/>
          <w:highlight w:val="none"/>
        </w:rPr>
        <w:t>投标人收到修改通知后，无需确认。</w:t>
      </w:r>
    </w:p>
    <w:p w14:paraId="2CDA266D">
      <w:pPr>
        <w:spacing w:before="182" w:line="324" w:lineRule="auto"/>
        <w:ind w:left="17" w:right="66" w:firstLine="477"/>
        <w:rPr>
          <w:rFonts w:ascii="宋体" w:hAnsi="宋体" w:eastAsia="宋体" w:cs="宋体"/>
          <w:strike w:val="0"/>
          <w:dstrike w:val="0"/>
          <w:color w:val="auto"/>
          <w:sz w:val="24"/>
          <w:szCs w:val="24"/>
          <w:highlight w:val="none"/>
        </w:rPr>
      </w:pPr>
      <w:r>
        <w:rPr>
          <w:rFonts w:ascii="Times New Roman" w:hAnsi="Times New Roman" w:eastAsia="Times New Roman" w:cs="Times New Roman"/>
          <w:b/>
          <w:bCs/>
          <w:color w:val="auto"/>
          <w:spacing w:val="-3"/>
          <w:sz w:val="24"/>
          <w:szCs w:val="24"/>
          <w:highlight w:val="none"/>
        </w:rPr>
        <w:t>2.3.3</w:t>
      </w:r>
      <w:r>
        <w:rPr>
          <w:rFonts w:ascii="宋体" w:hAnsi="宋体" w:eastAsia="宋体" w:cs="宋体"/>
          <w:color w:val="auto"/>
          <w:spacing w:val="-3"/>
          <w:sz w:val="24"/>
          <w:szCs w:val="24"/>
          <w:highlight w:val="none"/>
        </w:rPr>
        <w:t>潜在投标人或者其他利害关系人对招标文件有异议的，应当在投标截止时间</w:t>
      </w:r>
      <w:r>
        <w:rPr>
          <w:rFonts w:ascii="宋体" w:hAnsi="宋体" w:eastAsia="宋体" w:cs="宋体"/>
          <w:color w:val="auto"/>
          <w:spacing w:val="13"/>
          <w:sz w:val="24"/>
          <w:szCs w:val="24"/>
          <w:highlight w:val="none"/>
        </w:rPr>
        <w:t xml:space="preserve"> </w:t>
      </w:r>
      <w:r>
        <w:rPr>
          <w:rFonts w:ascii="Times New Roman" w:hAnsi="Times New Roman" w:eastAsia="Times New Roman" w:cs="Times New Roman"/>
          <w:color w:val="auto"/>
          <w:sz w:val="24"/>
          <w:szCs w:val="24"/>
          <w:highlight w:val="none"/>
        </w:rPr>
        <w:t>10</w:t>
      </w:r>
      <w:r>
        <w:rPr>
          <w:rFonts w:ascii="宋体" w:hAnsi="宋体" w:eastAsia="宋体" w:cs="宋体"/>
          <w:color w:val="auto"/>
          <w:sz w:val="24"/>
          <w:szCs w:val="24"/>
          <w:highlight w:val="none"/>
        </w:rPr>
        <w:t>日前提出。招标人应当自收到异议之日起</w:t>
      </w:r>
      <w:r>
        <w:rPr>
          <w:rFonts w:ascii="Times New Roman" w:hAnsi="Times New Roman" w:eastAsia="Times New Roman" w:cs="Times New Roman"/>
          <w:color w:val="auto"/>
          <w:sz w:val="24"/>
          <w:szCs w:val="24"/>
          <w:highlight w:val="none"/>
        </w:rPr>
        <w:t>3</w:t>
      </w:r>
      <w:r>
        <w:rPr>
          <w:rFonts w:ascii="宋体" w:hAnsi="宋体" w:eastAsia="宋体" w:cs="宋体"/>
          <w:color w:val="auto"/>
          <w:sz w:val="24"/>
          <w:szCs w:val="24"/>
          <w:highlight w:val="none"/>
        </w:rPr>
        <w:t>日内作出答复；作出答复前，应当暂停</w:t>
      </w:r>
      <w:r>
        <w:rPr>
          <w:rFonts w:ascii="宋体" w:hAnsi="宋体" w:eastAsia="宋体" w:cs="宋体"/>
          <w:color w:val="auto"/>
          <w:spacing w:val="14"/>
          <w:sz w:val="24"/>
          <w:szCs w:val="24"/>
          <w:highlight w:val="none"/>
        </w:rPr>
        <w:t xml:space="preserve"> </w:t>
      </w:r>
      <w:r>
        <w:rPr>
          <w:rFonts w:ascii="宋体" w:hAnsi="宋体" w:eastAsia="宋体" w:cs="宋体"/>
          <w:color w:val="auto"/>
          <w:spacing w:val="-3"/>
          <w:sz w:val="24"/>
          <w:szCs w:val="24"/>
          <w:highlight w:val="none"/>
        </w:rPr>
        <w:t>招标投标活动。</w:t>
      </w:r>
      <w:r>
        <w:rPr>
          <w:rFonts w:ascii="宋体" w:hAnsi="宋体" w:eastAsia="宋体" w:cs="宋体"/>
          <w:strike w:val="0"/>
          <w:dstrike w:val="0"/>
          <w:color w:val="auto"/>
          <w:spacing w:val="-3"/>
          <w:sz w:val="24"/>
          <w:szCs w:val="24"/>
          <w:highlight w:val="none"/>
        </w:rPr>
        <w:t>提出异议与作出答复均应通过下载招标文件的电子招标投标交易平台</w:t>
      </w:r>
      <w:r>
        <w:rPr>
          <w:rFonts w:ascii="宋体" w:hAnsi="宋体" w:eastAsia="宋体" w:cs="宋体"/>
          <w:strike w:val="0"/>
          <w:dstrike w:val="0"/>
          <w:color w:val="auto"/>
          <w:spacing w:val="7"/>
          <w:sz w:val="24"/>
          <w:szCs w:val="24"/>
          <w:highlight w:val="none"/>
        </w:rPr>
        <w:t xml:space="preserve"> </w:t>
      </w:r>
      <w:r>
        <w:rPr>
          <w:rFonts w:ascii="宋体" w:hAnsi="宋体" w:eastAsia="宋体" w:cs="宋体"/>
          <w:strike w:val="0"/>
          <w:dstrike w:val="0"/>
          <w:color w:val="auto"/>
          <w:spacing w:val="-11"/>
          <w:sz w:val="24"/>
          <w:szCs w:val="24"/>
          <w:highlight w:val="none"/>
        </w:rPr>
        <w:t>完成。</w:t>
      </w:r>
    </w:p>
    <w:p w14:paraId="645489DD">
      <w:pPr>
        <w:spacing w:before="308" w:line="226" w:lineRule="auto"/>
        <w:ind w:left="11"/>
        <w:outlineLvl w:val="2"/>
        <w:rPr>
          <w:rFonts w:ascii="宋体" w:hAnsi="宋体" w:eastAsia="宋体" w:cs="宋体"/>
          <w:color w:val="auto"/>
          <w:sz w:val="27"/>
          <w:szCs w:val="27"/>
          <w:highlight w:val="none"/>
        </w:rPr>
      </w:pPr>
      <w:bookmarkStart w:id="41" w:name="bookmark27"/>
      <w:bookmarkEnd w:id="41"/>
      <w:bookmarkStart w:id="42" w:name="_Toc559"/>
      <w:r>
        <w:rPr>
          <w:rFonts w:ascii="Times New Roman" w:hAnsi="Times New Roman" w:eastAsia="Times New Roman" w:cs="Times New Roman"/>
          <w:b/>
          <w:bCs/>
          <w:color w:val="auto"/>
          <w:spacing w:val="3"/>
          <w:sz w:val="27"/>
          <w:szCs w:val="27"/>
          <w:highlight w:val="none"/>
        </w:rPr>
        <w:t>3</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3"/>
          <w:sz w:val="27"/>
          <w:szCs w:val="27"/>
          <w:highlight w:val="none"/>
        </w:rPr>
        <w:t>投标文件</w:t>
      </w:r>
      <w:bookmarkEnd w:id="42"/>
    </w:p>
    <w:p w14:paraId="3133DEBA">
      <w:pPr>
        <w:pStyle w:val="8"/>
        <w:spacing w:line="248" w:lineRule="auto"/>
        <w:rPr>
          <w:color w:val="auto"/>
          <w:highlight w:val="none"/>
        </w:rPr>
      </w:pPr>
    </w:p>
    <w:p w14:paraId="0ECD5D19">
      <w:pPr>
        <w:spacing w:before="78" w:line="227" w:lineRule="auto"/>
        <w:ind w:left="11"/>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3.1  </w:t>
      </w:r>
      <w:r>
        <w:rPr>
          <w:rFonts w:ascii="楷体" w:hAnsi="楷体" w:eastAsia="楷体" w:cs="楷体"/>
          <w:b/>
          <w:bCs/>
          <w:color w:val="auto"/>
          <w:spacing w:val="-2"/>
          <w:sz w:val="24"/>
          <w:szCs w:val="24"/>
          <w:highlight w:val="none"/>
        </w:rPr>
        <w:t>投标文件的组成</w:t>
      </w:r>
    </w:p>
    <w:p w14:paraId="3A35CC32">
      <w:pPr>
        <w:spacing w:before="171" w:line="219" w:lineRule="auto"/>
        <w:ind w:left="493"/>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3.1.1  </w:t>
      </w:r>
      <w:r>
        <w:rPr>
          <w:rFonts w:ascii="宋体" w:hAnsi="宋体" w:eastAsia="宋体" w:cs="宋体"/>
          <w:color w:val="auto"/>
          <w:spacing w:val="-1"/>
          <w:sz w:val="24"/>
          <w:szCs w:val="24"/>
          <w:highlight w:val="none"/>
        </w:rPr>
        <w:t>投标文件应包括下列内容，投标文件的成册要求见投标人须知前附表。</w:t>
      </w:r>
    </w:p>
    <w:p w14:paraId="723AA232">
      <w:pPr>
        <w:keepNext w:val="0"/>
        <w:keepLines w:val="0"/>
        <w:pageBreakBefore w:val="0"/>
        <w:wordWrap/>
        <w:overflowPunct/>
        <w:topLinePunct w:val="0"/>
        <w:autoSpaceDE w:val="0"/>
        <w:autoSpaceDN w:val="0"/>
        <w:bidi w:val="0"/>
        <w:adjustRightInd w:val="0"/>
        <w:snapToGrid w:val="0"/>
        <w:spacing w:before="182" w:line="360" w:lineRule="auto"/>
        <w:ind w:left="503"/>
        <w:textAlignment w:val="baseline"/>
        <w:rPr>
          <w:rFonts w:ascii="宋体" w:hAnsi="宋体" w:eastAsia="宋体" w:cs="宋体"/>
          <w:color w:val="auto"/>
          <w:spacing w:val="-4"/>
          <w:sz w:val="24"/>
          <w:szCs w:val="24"/>
          <w:highlight w:val="none"/>
        </w:rPr>
      </w:pPr>
      <w:r>
        <w:rPr>
          <w:rFonts w:ascii="Times New Roman" w:hAnsi="Times New Roman" w:cs="Times New Roman"/>
          <w:bCs/>
          <w:color w:val="auto"/>
          <w:sz w:val="22"/>
          <w:szCs w:val="22"/>
          <w:highlight w:val="none"/>
          <w:u w:val="single"/>
          <w:lang w:eastAsia="zh-CN"/>
        </w:rPr>
        <w:t>（下列投标资料具体详见第八章投标文件格式）</w:t>
      </w:r>
    </w:p>
    <w:p w14:paraId="3254719C">
      <w:pPr>
        <w:keepNext w:val="0"/>
        <w:keepLines w:val="0"/>
        <w:pageBreakBefore w:val="0"/>
        <w:widowControl w:val="0"/>
        <w:kinsoku/>
        <w:wordWrap/>
        <w:overflowPunct/>
        <w:topLinePunct w:val="0"/>
        <w:autoSpaceDE w:val="0"/>
        <w:autoSpaceDN w:val="0"/>
        <w:bidi w:val="0"/>
        <w:adjustRightInd w:val="0"/>
        <w:snapToGrid w:val="0"/>
        <w:spacing w:line="360" w:lineRule="auto"/>
        <w:ind w:firstLine="440" w:firstLineChars="200"/>
        <w:textAlignment w:val="baseline"/>
        <w:rPr>
          <w:rFonts w:ascii="Times New Roman" w:hAnsi="Times New Roman" w:eastAsia="宋体" w:cs="Times New Roman"/>
          <w:b/>
          <w:color w:val="auto"/>
          <w:sz w:val="22"/>
          <w:szCs w:val="22"/>
          <w:highlight w:val="none"/>
          <w:u w:val="single"/>
          <w:lang w:eastAsia="zh-CN"/>
        </w:rPr>
      </w:pPr>
      <w:r>
        <w:rPr>
          <w:rFonts w:ascii="Times New Roman" w:hAnsi="Times New Roman" w:cs="Times New Roman"/>
          <w:color w:val="auto"/>
          <w:sz w:val="22"/>
          <w:szCs w:val="22"/>
          <w:highlight w:val="none"/>
          <w:lang w:eastAsia="zh-CN"/>
        </w:rPr>
        <w:t>1、商务标：</w:t>
      </w:r>
      <w:r>
        <w:rPr>
          <w:rFonts w:hint="eastAsia" w:ascii="Times New Roman" w:hAnsi="Times New Roman" w:eastAsia="宋体" w:cs="Times New Roman"/>
          <w:b/>
          <w:color w:val="auto"/>
          <w:sz w:val="22"/>
          <w:szCs w:val="22"/>
          <w:highlight w:val="none"/>
          <w:u w:val="single"/>
          <w:lang w:eastAsia="zh-CN"/>
        </w:rPr>
        <w:t>封面；商务标</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w:t>
      </w:r>
      <w:r>
        <w:rPr>
          <w:rFonts w:hint="eastAsia" w:ascii="Times New Roman" w:hAnsi="Times New Roman" w:eastAsia="宋体" w:cs="Times New Roman"/>
          <w:b/>
          <w:color w:val="auto"/>
          <w:sz w:val="22"/>
          <w:szCs w:val="22"/>
          <w:highlight w:val="none"/>
          <w:u w:val="single"/>
          <w:lang w:val="en-US" w:eastAsia="zh-CN"/>
        </w:rPr>
        <w:t>一</w:t>
      </w:r>
      <w:r>
        <w:rPr>
          <w:rFonts w:hint="eastAsia" w:ascii="Times New Roman" w:hAnsi="Times New Roman" w:eastAsia="宋体" w:cs="Times New Roman"/>
          <w:b/>
          <w:color w:val="auto"/>
          <w:sz w:val="22"/>
          <w:szCs w:val="22"/>
          <w:highlight w:val="none"/>
          <w:u w:val="single"/>
          <w:lang w:eastAsia="zh-CN"/>
        </w:rPr>
        <w:t>、投标函及投标函附录；</w:t>
      </w:r>
      <w:r>
        <w:rPr>
          <w:rFonts w:hint="eastAsia" w:ascii="Times New Roman" w:hAnsi="Times New Roman" w:eastAsia="宋体" w:cs="Times New Roman"/>
          <w:b/>
          <w:color w:val="auto"/>
          <w:sz w:val="22"/>
          <w:szCs w:val="22"/>
          <w:highlight w:val="none"/>
          <w:u w:val="single"/>
          <w:lang w:val="en-US" w:eastAsia="zh-CN"/>
        </w:rPr>
        <w:t>五</w:t>
      </w:r>
      <w:r>
        <w:rPr>
          <w:rFonts w:hint="eastAsia" w:ascii="Times New Roman" w:hAnsi="Times New Roman" w:eastAsia="宋体" w:cs="Times New Roman"/>
          <w:b/>
          <w:color w:val="auto"/>
          <w:sz w:val="22"/>
          <w:szCs w:val="22"/>
          <w:highlight w:val="none"/>
          <w:u w:val="single"/>
          <w:lang w:eastAsia="zh-CN"/>
        </w:rPr>
        <w:t>、已标价工程量清单。</w:t>
      </w:r>
    </w:p>
    <w:p w14:paraId="5EBA6F47">
      <w:pPr>
        <w:widowControl w:val="0"/>
        <w:kinsoku/>
        <w:spacing w:line="360" w:lineRule="auto"/>
        <w:ind w:firstLine="440" w:firstLineChars="200"/>
        <w:rPr>
          <w:rFonts w:ascii="Times New Roman" w:hAnsi="Times New Roman" w:cs="Times New Roman"/>
          <w:color w:val="auto"/>
          <w:sz w:val="22"/>
          <w:szCs w:val="22"/>
          <w:highlight w:val="none"/>
          <w:lang w:eastAsia="zh-CN"/>
        </w:rPr>
      </w:pPr>
      <w:r>
        <w:rPr>
          <w:rFonts w:ascii="Times New Roman" w:hAnsi="Times New Roman" w:eastAsia="宋体" w:cs="Times New Roman"/>
          <w:color w:val="auto"/>
          <w:sz w:val="22"/>
          <w:szCs w:val="22"/>
          <w:highlight w:val="none"/>
          <w:lang w:eastAsia="zh-CN"/>
        </w:rPr>
        <w:t>2、</w:t>
      </w:r>
      <w:r>
        <w:rPr>
          <w:rFonts w:ascii="Times New Roman" w:hAnsi="Times New Roman" w:cs="Times New Roman"/>
          <w:color w:val="auto"/>
          <w:sz w:val="22"/>
          <w:szCs w:val="22"/>
          <w:highlight w:val="none"/>
          <w:lang w:eastAsia="zh-CN"/>
        </w:rPr>
        <w:t>资格审查资料：</w:t>
      </w:r>
      <w:r>
        <w:rPr>
          <w:rFonts w:hint="eastAsia" w:ascii="Times New Roman" w:hAnsi="Times New Roman" w:eastAsia="宋体" w:cs="Times New Roman"/>
          <w:b/>
          <w:color w:val="auto"/>
          <w:sz w:val="22"/>
          <w:szCs w:val="22"/>
          <w:highlight w:val="none"/>
          <w:u w:val="single"/>
          <w:lang w:eastAsia="zh-CN"/>
        </w:rPr>
        <w:t>封面；资格后审资料详见投标人须知前附表第3.5款规定。（</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w:t>
      </w:r>
      <w:r>
        <w:rPr>
          <w:rFonts w:hint="eastAsia" w:ascii="Times New Roman" w:hAnsi="Times New Roman" w:eastAsia="宋体" w:cs="Times New Roman"/>
          <w:b/>
          <w:color w:val="auto"/>
          <w:sz w:val="22"/>
          <w:szCs w:val="22"/>
          <w:highlight w:val="none"/>
          <w:u w:val="single"/>
          <w:lang w:val="en-US" w:eastAsia="zh-CN"/>
        </w:rPr>
        <w:t>二</w:t>
      </w:r>
      <w:r>
        <w:rPr>
          <w:rFonts w:hint="eastAsia" w:ascii="Times New Roman" w:hAnsi="Times New Roman" w:eastAsia="宋体" w:cs="Times New Roman"/>
          <w:b/>
          <w:color w:val="auto"/>
          <w:sz w:val="22"/>
          <w:szCs w:val="22"/>
          <w:highlight w:val="none"/>
          <w:u w:val="single"/>
          <w:lang w:eastAsia="zh-CN"/>
        </w:rPr>
        <w:t>、法定代表人身份证明；</w:t>
      </w:r>
      <w:r>
        <w:rPr>
          <w:rFonts w:hint="eastAsia" w:ascii="Times New Roman" w:hAnsi="Times New Roman" w:eastAsia="宋体" w:cs="Times New Roman"/>
          <w:b/>
          <w:color w:val="auto"/>
          <w:sz w:val="22"/>
          <w:szCs w:val="22"/>
          <w:highlight w:val="none"/>
          <w:u w:val="single"/>
          <w:lang w:val="en-US" w:eastAsia="zh-CN"/>
        </w:rPr>
        <w:t>二</w:t>
      </w:r>
      <w:r>
        <w:rPr>
          <w:rFonts w:hint="eastAsia" w:ascii="Times New Roman" w:hAnsi="Times New Roman" w:eastAsia="宋体" w:cs="Times New Roman"/>
          <w:b/>
          <w:color w:val="auto"/>
          <w:sz w:val="22"/>
          <w:szCs w:val="22"/>
          <w:highlight w:val="none"/>
          <w:u w:val="single"/>
          <w:lang w:eastAsia="zh-CN"/>
        </w:rPr>
        <w:t>、授权委托书；</w:t>
      </w:r>
      <w:r>
        <w:rPr>
          <w:rFonts w:hint="eastAsia" w:ascii="Times New Roman" w:hAnsi="Times New Roman" w:eastAsia="宋体" w:cs="Times New Roman"/>
          <w:b/>
          <w:color w:val="auto"/>
          <w:sz w:val="22"/>
          <w:szCs w:val="22"/>
          <w:highlight w:val="none"/>
          <w:u w:val="single"/>
          <w:lang w:val="en-US" w:eastAsia="zh-CN"/>
        </w:rPr>
        <w:t>四</w:t>
      </w:r>
      <w:r>
        <w:rPr>
          <w:rFonts w:hint="eastAsia" w:ascii="Times New Roman" w:hAnsi="Times New Roman" w:eastAsia="宋体" w:cs="Times New Roman"/>
          <w:b/>
          <w:color w:val="auto"/>
          <w:sz w:val="22"/>
          <w:szCs w:val="22"/>
          <w:highlight w:val="none"/>
          <w:u w:val="single"/>
          <w:lang w:eastAsia="zh-CN"/>
        </w:rPr>
        <w:t>、投标保</w:t>
      </w:r>
      <w:r>
        <w:rPr>
          <w:rFonts w:hint="eastAsia" w:ascii="Times New Roman" w:hAnsi="Times New Roman" w:eastAsia="宋体" w:cs="Times New Roman"/>
          <w:b/>
          <w:color w:val="auto"/>
          <w:sz w:val="22"/>
          <w:szCs w:val="22"/>
          <w:highlight w:val="none"/>
          <w:u w:val="single"/>
          <w:lang w:val="en-US" w:eastAsia="zh-CN"/>
        </w:rPr>
        <w:t>证</w:t>
      </w:r>
      <w:r>
        <w:rPr>
          <w:rFonts w:hint="eastAsia" w:ascii="Times New Roman" w:hAnsi="Times New Roman" w:eastAsia="宋体" w:cs="Times New Roman"/>
          <w:b/>
          <w:color w:val="auto"/>
          <w:sz w:val="22"/>
          <w:szCs w:val="22"/>
          <w:highlight w:val="none"/>
          <w:u w:val="single"/>
          <w:lang w:eastAsia="zh-CN"/>
        </w:rPr>
        <w:t>金；</w:t>
      </w:r>
      <w:r>
        <w:rPr>
          <w:rFonts w:hint="eastAsia" w:ascii="Times New Roman" w:hAnsi="Times New Roman" w:eastAsia="宋体" w:cs="Times New Roman"/>
          <w:b/>
          <w:color w:val="auto"/>
          <w:sz w:val="22"/>
          <w:szCs w:val="22"/>
          <w:highlight w:val="none"/>
          <w:u w:val="single"/>
          <w:lang w:val="en-US" w:eastAsia="zh-CN"/>
        </w:rPr>
        <w:t>九</w:t>
      </w:r>
      <w:r>
        <w:rPr>
          <w:rFonts w:hint="eastAsia" w:ascii="Times New Roman" w:hAnsi="Times New Roman" w:eastAsia="宋体" w:cs="Times New Roman"/>
          <w:b/>
          <w:color w:val="auto"/>
          <w:sz w:val="22"/>
          <w:szCs w:val="22"/>
          <w:highlight w:val="none"/>
          <w:u w:val="single"/>
          <w:lang w:eastAsia="zh-CN"/>
        </w:rPr>
        <w:t>、资格审查资料；</w:t>
      </w:r>
      <w:r>
        <w:rPr>
          <w:rFonts w:hint="eastAsia" w:ascii="Times New Roman" w:hAnsi="Times New Roman" w:eastAsia="宋体" w:cs="Times New Roman"/>
          <w:b/>
          <w:color w:val="auto"/>
          <w:sz w:val="22"/>
          <w:szCs w:val="22"/>
          <w:highlight w:val="none"/>
          <w:u w:val="single"/>
          <w:lang w:val="en-US" w:eastAsia="zh-CN"/>
        </w:rPr>
        <w:t>十</w:t>
      </w:r>
      <w:r>
        <w:rPr>
          <w:rFonts w:hint="eastAsia" w:ascii="Times New Roman" w:hAnsi="Times New Roman" w:eastAsia="宋体" w:cs="Times New Roman"/>
          <w:b/>
          <w:color w:val="auto"/>
          <w:sz w:val="22"/>
          <w:szCs w:val="22"/>
          <w:highlight w:val="none"/>
          <w:u w:val="single"/>
          <w:lang w:eastAsia="zh-CN"/>
        </w:rPr>
        <w:t>、原件的复制件；</w:t>
      </w:r>
      <w:r>
        <w:rPr>
          <w:rFonts w:hint="eastAsia" w:ascii="Times New Roman" w:hAnsi="Times New Roman" w:eastAsia="宋体" w:cs="Times New Roman"/>
          <w:b/>
          <w:color w:val="auto"/>
          <w:sz w:val="22"/>
          <w:szCs w:val="22"/>
          <w:highlight w:val="none"/>
          <w:u w:val="single"/>
          <w:lang w:val="en-US" w:eastAsia="zh-CN"/>
        </w:rPr>
        <w:t>十一</w:t>
      </w:r>
      <w:r>
        <w:rPr>
          <w:rFonts w:hint="eastAsia" w:ascii="Times New Roman" w:hAnsi="Times New Roman" w:eastAsia="宋体" w:cs="Times New Roman"/>
          <w:b/>
          <w:color w:val="auto"/>
          <w:sz w:val="22"/>
          <w:szCs w:val="22"/>
          <w:highlight w:val="none"/>
          <w:u w:val="single"/>
          <w:lang w:eastAsia="zh-CN"/>
        </w:rPr>
        <w:t>、其他材料；）</w:t>
      </w:r>
    </w:p>
    <w:p w14:paraId="739F2B37">
      <w:pPr>
        <w:widowControl w:val="0"/>
        <w:kinsoku/>
        <w:spacing w:line="360" w:lineRule="auto"/>
        <w:ind w:firstLine="440" w:firstLineChars="200"/>
        <w:rPr>
          <w:rFonts w:hint="eastAsia" w:ascii="Times New Roman" w:hAnsi="Times New Roman" w:eastAsia="宋体" w:cs="Times New Roman"/>
          <w:b/>
          <w:color w:val="auto"/>
          <w:sz w:val="22"/>
          <w:szCs w:val="22"/>
          <w:highlight w:val="none"/>
          <w:u w:val="single"/>
          <w:lang w:val="en-US" w:eastAsia="zh-CN"/>
        </w:rPr>
      </w:pPr>
      <w:r>
        <w:rPr>
          <w:rFonts w:ascii="Times New Roman" w:hAnsi="Times New Roman" w:cs="Times New Roman"/>
          <w:color w:val="auto"/>
          <w:sz w:val="22"/>
          <w:szCs w:val="22"/>
          <w:highlight w:val="none"/>
          <w:lang w:eastAsia="zh-CN"/>
        </w:rPr>
        <w:t>3、技术标：</w:t>
      </w:r>
      <w:r>
        <w:rPr>
          <w:rFonts w:ascii="Times New Roman" w:hAnsi="Times New Roman" w:eastAsia="宋体" w:cs="Times New Roman"/>
          <w:b/>
          <w:color w:val="auto"/>
          <w:sz w:val="22"/>
          <w:szCs w:val="22"/>
          <w:highlight w:val="none"/>
          <w:u w:val="single"/>
          <w:lang w:eastAsia="zh-CN"/>
        </w:rPr>
        <w:t xml:space="preserve"> </w:t>
      </w:r>
      <w:r>
        <w:rPr>
          <w:rFonts w:hint="eastAsia" w:ascii="Times New Roman" w:hAnsi="Times New Roman" w:eastAsia="宋体" w:cs="Times New Roman"/>
          <w:b/>
          <w:color w:val="auto"/>
          <w:sz w:val="22"/>
          <w:szCs w:val="22"/>
          <w:highlight w:val="none"/>
          <w:u w:val="single"/>
          <w:lang w:eastAsia="zh-CN"/>
        </w:rPr>
        <w:t>封面；技术标</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详见第八章投标文件格式“六、施工组织设计；七、项目管理机构”；</w:t>
      </w:r>
      <w:r>
        <w:rPr>
          <w:rFonts w:hint="eastAsia" w:ascii="Times New Roman" w:hAnsi="Times New Roman" w:eastAsia="宋体" w:cs="Times New Roman"/>
          <w:b/>
          <w:color w:val="auto"/>
          <w:sz w:val="22"/>
          <w:szCs w:val="22"/>
          <w:highlight w:val="none"/>
          <w:u w:val="single"/>
          <w:lang w:val="en-US" w:eastAsia="zh-CN"/>
        </w:rPr>
        <w:t>其余内容根据第三章第一节评标办法4.3自行编制。</w:t>
      </w:r>
    </w:p>
    <w:p w14:paraId="23E66AAF">
      <w:pPr>
        <w:spacing w:before="183" w:line="359" w:lineRule="auto"/>
        <w:ind w:left="19" w:firstLine="474"/>
        <w:rPr>
          <w:rFonts w:ascii="Times New Roman" w:hAnsi="Times New Roman" w:eastAsia="Times New Roman" w:cs="Times New Roman"/>
          <w:b/>
          <w:bCs/>
          <w:color w:val="auto"/>
          <w:spacing w:val="-4"/>
          <w:sz w:val="24"/>
          <w:szCs w:val="24"/>
          <w:highlight w:val="none"/>
        </w:rPr>
      </w:pPr>
      <w:r>
        <w:rPr>
          <w:rFonts w:ascii="Times New Roman" w:hAnsi="Times New Roman" w:cs="Times New Roman"/>
          <w:color w:val="auto"/>
          <w:sz w:val="22"/>
          <w:szCs w:val="22"/>
          <w:highlight w:val="none"/>
          <w:lang w:eastAsia="zh-CN"/>
        </w:rPr>
        <w:t>4、</w:t>
      </w:r>
      <w:r>
        <w:rPr>
          <w:rFonts w:ascii="Times New Roman" w:hAnsi="Times New Roman" w:cs="Times New Roman"/>
          <w:bCs/>
          <w:color w:val="auto"/>
          <w:sz w:val="22"/>
          <w:szCs w:val="22"/>
          <w:highlight w:val="none"/>
          <w:lang w:eastAsia="zh-CN"/>
        </w:rPr>
        <w:t>资信标</w:t>
      </w:r>
      <w:r>
        <w:rPr>
          <w:rFonts w:ascii="Times New Roman" w:hAnsi="Times New Roman" w:cs="Times New Roman"/>
          <w:color w:val="auto"/>
          <w:sz w:val="22"/>
          <w:szCs w:val="22"/>
          <w:highlight w:val="none"/>
          <w:lang w:eastAsia="zh-CN"/>
        </w:rPr>
        <w:t>：</w:t>
      </w:r>
      <w:r>
        <w:rPr>
          <w:rFonts w:hint="eastAsia" w:ascii="Times New Roman" w:hAnsi="Times New Roman" w:eastAsia="宋体" w:cs="Times New Roman"/>
          <w:b/>
          <w:color w:val="auto"/>
          <w:sz w:val="22"/>
          <w:szCs w:val="22"/>
          <w:highlight w:val="none"/>
          <w:u w:val="single"/>
          <w:lang w:eastAsia="zh-CN"/>
        </w:rPr>
        <w:t>封面；资信标资料</w:t>
      </w:r>
      <w:r>
        <w:rPr>
          <w:rFonts w:hint="eastAsia" w:ascii="Times New Roman" w:hAnsi="Times New Roman" w:eastAsia="宋体" w:cs="Times New Roman"/>
          <w:b/>
          <w:color w:val="auto"/>
          <w:sz w:val="22"/>
          <w:szCs w:val="22"/>
          <w:highlight w:val="none"/>
          <w:u w:val="single"/>
          <w:lang w:val="en-US" w:eastAsia="zh-CN"/>
        </w:rPr>
        <w:t>根据</w:t>
      </w:r>
      <w:r>
        <w:rPr>
          <w:rFonts w:hint="eastAsia" w:ascii="Times New Roman" w:hAnsi="Times New Roman" w:eastAsia="宋体" w:cs="Times New Roman"/>
          <w:b/>
          <w:color w:val="auto"/>
          <w:sz w:val="22"/>
          <w:szCs w:val="22"/>
          <w:highlight w:val="none"/>
          <w:u w:val="single"/>
          <w:lang w:eastAsia="zh-CN"/>
        </w:rPr>
        <w:t>第三章</w:t>
      </w:r>
      <w:r>
        <w:rPr>
          <w:rFonts w:hint="eastAsia" w:ascii="Times New Roman" w:hAnsi="Times New Roman" w:eastAsia="宋体" w:cs="Times New Roman"/>
          <w:b/>
          <w:color w:val="auto"/>
          <w:sz w:val="22"/>
          <w:szCs w:val="22"/>
          <w:highlight w:val="none"/>
          <w:u w:val="single"/>
          <w:lang w:val="en-US" w:eastAsia="zh-CN"/>
        </w:rPr>
        <w:t>第一节</w:t>
      </w:r>
      <w:r>
        <w:rPr>
          <w:rFonts w:hint="eastAsia" w:ascii="Times New Roman" w:hAnsi="Times New Roman" w:eastAsia="宋体" w:cs="Times New Roman"/>
          <w:b/>
          <w:color w:val="auto"/>
          <w:sz w:val="22"/>
          <w:szCs w:val="22"/>
          <w:highlight w:val="none"/>
          <w:u w:val="single"/>
          <w:lang w:eastAsia="zh-CN"/>
        </w:rPr>
        <w:t>评标办法4.</w:t>
      </w:r>
      <w:r>
        <w:rPr>
          <w:rFonts w:hint="eastAsia" w:ascii="Times New Roman" w:hAnsi="Times New Roman" w:eastAsia="宋体" w:cs="Times New Roman"/>
          <w:b/>
          <w:color w:val="auto"/>
          <w:sz w:val="22"/>
          <w:szCs w:val="22"/>
          <w:highlight w:val="none"/>
          <w:u w:val="single"/>
          <w:lang w:val="en-US" w:eastAsia="zh-CN"/>
        </w:rPr>
        <w:t>4要求提供</w:t>
      </w:r>
      <w:r>
        <w:rPr>
          <w:rFonts w:hint="eastAsia" w:ascii="Times New Roman" w:hAnsi="Times New Roman" w:eastAsia="宋体" w:cs="Times New Roman"/>
          <w:b/>
          <w:color w:val="auto"/>
          <w:sz w:val="22"/>
          <w:szCs w:val="22"/>
          <w:highlight w:val="none"/>
          <w:u w:val="single"/>
          <w:lang w:eastAsia="zh-CN"/>
        </w:rPr>
        <w:t>。</w:t>
      </w:r>
    </w:p>
    <w:p w14:paraId="7556EA9A">
      <w:pPr>
        <w:spacing w:before="183" w:line="359" w:lineRule="auto"/>
        <w:ind w:left="19" w:firstLine="474"/>
        <w:rPr>
          <w:rFonts w:ascii="宋体" w:hAnsi="宋体" w:eastAsia="宋体" w:cs="宋体"/>
          <w:color w:val="auto"/>
          <w:sz w:val="24"/>
          <w:szCs w:val="24"/>
          <w:highlight w:val="none"/>
        </w:rPr>
      </w:pPr>
      <w:r>
        <w:rPr>
          <w:rFonts w:ascii="Times New Roman" w:hAnsi="Times New Roman" w:eastAsia="Times New Roman" w:cs="Times New Roman"/>
          <w:b/>
          <w:bCs/>
          <w:color w:val="auto"/>
          <w:spacing w:val="-4"/>
          <w:sz w:val="24"/>
          <w:szCs w:val="24"/>
          <w:highlight w:val="none"/>
        </w:rPr>
        <w:t xml:space="preserve">3.1.2  </w:t>
      </w:r>
      <w:r>
        <w:rPr>
          <w:rFonts w:ascii="宋体" w:hAnsi="宋体" w:eastAsia="宋体" w:cs="宋体"/>
          <w:color w:val="auto"/>
          <w:spacing w:val="-4"/>
          <w:sz w:val="24"/>
          <w:szCs w:val="24"/>
          <w:highlight w:val="none"/>
        </w:rPr>
        <w:t>投标人须知前附表规定不接受联合体投标的，或投标人没有组成联合体的，</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投标文件不包括</w:t>
      </w:r>
      <w:r>
        <w:rPr>
          <w:rFonts w:ascii="宋体" w:hAnsi="宋体" w:eastAsia="宋体" w:cs="宋体"/>
          <w:strike/>
          <w:dstrike w:val="0"/>
          <w:color w:val="auto"/>
          <w:spacing w:val="-2"/>
          <w:sz w:val="24"/>
          <w:szCs w:val="24"/>
          <w:highlight w:val="none"/>
        </w:rPr>
        <w:t>本章第</w:t>
      </w:r>
      <w:r>
        <w:rPr>
          <w:rFonts w:ascii="Times New Roman" w:hAnsi="Times New Roman" w:eastAsia="Times New Roman" w:cs="Times New Roman"/>
          <w:strike/>
          <w:dstrike w:val="0"/>
          <w:color w:val="auto"/>
          <w:spacing w:val="-2"/>
          <w:sz w:val="24"/>
          <w:szCs w:val="24"/>
          <w:highlight w:val="none"/>
        </w:rPr>
        <w:t>3.1.1</w:t>
      </w: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）目所指</w:t>
      </w:r>
      <w:r>
        <w:rPr>
          <w:rFonts w:ascii="宋体" w:hAnsi="宋体" w:eastAsia="宋体" w:cs="宋体"/>
          <w:color w:val="auto"/>
          <w:spacing w:val="-2"/>
          <w:sz w:val="24"/>
          <w:szCs w:val="24"/>
          <w:highlight w:val="none"/>
        </w:rPr>
        <w:t>的联合体协议书。</w:t>
      </w:r>
    </w:p>
    <w:p w14:paraId="29BEDC59">
      <w:pPr>
        <w:spacing w:line="231" w:lineRule="auto"/>
        <w:ind w:left="11"/>
        <w:rPr>
          <w:rFonts w:ascii="楷体" w:hAnsi="楷体" w:eastAsia="楷体" w:cs="楷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3.2  </w:t>
      </w:r>
      <w:r>
        <w:rPr>
          <w:rFonts w:ascii="楷体" w:hAnsi="楷体" w:eastAsia="楷体" w:cs="楷体"/>
          <w:b/>
          <w:bCs/>
          <w:color w:val="auto"/>
          <w:spacing w:val="-1"/>
          <w:sz w:val="24"/>
          <w:szCs w:val="24"/>
          <w:highlight w:val="none"/>
        </w:rPr>
        <w:t>投标报价</w:t>
      </w:r>
    </w:p>
    <w:p w14:paraId="15D16957">
      <w:pPr>
        <w:spacing w:before="166" w:line="219" w:lineRule="auto"/>
        <w:ind w:left="493"/>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3.2.1  </w:t>
      </w:r>
      <w:r>
        <w:rPr>
          <w:rFonts w:ascii="宋体" w:hAnsi="宋体" w:eastAsia="宋体" w:cs="宋体"/>
          <w:color w:val="auto"/>
          <w:spacing w:val="-1"/>
          <w:sz w:val="24"/>
          <w:szCs w:val="24"/>
          <w:highlight w:val="none"/>
        </w:rPr>
        <w:t>投标人应按第五章“工程量清单”的要求填</w:t>
      </w:r>
      <w:r>
        <w:rPr>
          <w:rFonts w:ascii="宋体" w:hAnsi="宋体" w:eastAsia="宋体" w:cs="宋体"/>
          <w:color w:val="auto"/>
          <w:spacing w:val="-2"/>
          <w:sz w:val="24"/>
          <w:szCs w:val="24"/>
          <w:highlight w:val="none"/>
        </w:rPr>
        <w:t>写相应表格。</w:t>
      </w:r>
    </w:p>
    <w:p w14:paraId="1A2539A5">
      <w:pPr>
        <w:spacing w:before="181" w:line="289" w:lineRule="auto"/>
        <w:ind w:right="67" w:firstLine="493"/>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3.2.2  </w:t>
      </w:r>
      <w:r>
        <w:rPr>
          <w:rFonts w:ascii="宋体" w:hAnsi="宋体" w:eastAsia="宋体" w:cs="宋体"/>
          <w:color w:val="auto"/>
          <w:spacing w:val="1"/>
          <w:sz w:val="24"/>
          <w:szCs w:val="24"/>
          <w:highlight w:val="none"/>
        </w:rPr>
        <w:t>投标人在投标截止时间前修改</w:t>
      </w:r>
      <w:r>
        <w:rPr>
          <w:rFonts w:ascii="宋体" w:hAnsi="宋体" w:eastAsia="宋体" w:cs="宋体"/>
          <w:color w:val="auto"/>
          <w:sz w:val="24"/>
          <w:szCs w:val="24"/>
          <w:highlight w:val="none"/>
        </w:rPr>
        <w:t xml:space="preserve">投标函中的投标总报价，应同时修改第五章 </w:t>
      </w:r>
      <w:r>
        <w:rPr>
          <w:rFonts w:ascii="宋体" w:hAnsi="宋体" w:eastAsia="宋体" w:cs="宋体"/>
          <w:color w:val="auto"/>
          <w:spacing w:val="-1"/>
          <w:sz w:val="24"/>
          <w:szCs w:val="24"/>
          <w:highlight w:val="none"/>
        </w:rPr>
        <w:t>“工程量清单”中的相应报价。此修改须符合本章第</w:t>
      </w:r>
      <w:r>
        <w:rPr>
          <w:rFonts w:ascii="Times New Roman" w:hAnsi="Times New Roman" w:eastAsia="Times New Roman" w:cs="Times New Roman"/>
          <w:color w:val="auto"/>
          <w:spacing w:val="-1"/>
          <w:sz w:val="24"/>
          <w:szCs w:val="24"/>
          <w:highlight w:val="none"/>
        </w:rPr>
        <w:t>4.3</w:t>
      </w:r>
      <w:r>
        <w:rPr>
          <w:rFonts w:ascii="宋体" w:hAnsi="宋体" w:eastAsia="宋体" w:cs="宋体"/>
          <w:color w:val="auto"/>
          <w:spacing w:val="-1"/>
          <w:sz w:val="24"/>
          <w:szCs w:val="24"/>
          <w:highlight w:val="none"/>
        </w:rPr>
        <w:t>款的有关要求。</w:t>
      </w:r>
    </w:p>
    <w:p w14:paraId="05B8B011">
      <w:pPr>
        <w:spacing w:before="183" w:line="225" w:lineRule="auto"/>
        <w:ind w:left="11"/>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3.3  </w:t>
      </w:r>
      <w:r>
        <w:rPr>
          <w:rFonts w:ascii="楷体" w:hAnsi="楷体" w:eastAsia="楷体" w:cs="楷体"/>
          <w:b/>
          <w:bCs/>
          <w:color w:val="auto"/>
          <w:spacing w:val="-2"/>
          <w:sz w:val="24"/>
          <w:szCs w:val="24"/>
          <w:highlight w:val="none"/>
        </w:rPr>
        <w:t>投标有效期</w:t>
      </w:r>
    </w:p>
    <w:p w14:paraId="6D180B07">
      <w:pPr>
        <w:spacing w:before="176" w:line="361" w:lineRule="auto"/>
        <w:ind w:left="19" w:right="67" w:firstLine="47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3.3.1  </w:t>
      </w:r>
      <w:r>
        <w:rPr>
          <w:rFonts w:ascii="宋体" w:hAnsi="宋体" w:eastAsia="宋体" w:cs="宋体"/>
          <w:color w:val="auto"/>
          <w:spacing w:val="1"/>
          <w:sz w:val="24"/>
          <w:szCs w:val="24"/>
          <w:highlight w:val="none"/>
        </w:rPr>
        <w:t>在投标人须知前附表规定的投</w:t>
      </w:r>
      <w:r>
        <w:rPr>
          <w:rFonts w:ascii="宋体" w:hAnsi="宋体" w:eastAsia="宋体" w:cs="宋体"/>
          <w:color w:val="auto"/>
          <w:sz w:val="24"/>
          <w:szCs w:val="24"/>
          <w:highlight w:val="none"/>
        </w:rPr>
        <w:t xml:space="preserve">标有效期内，投标人不得要求撤销或修改其 </w:t>
      </w:r>
      <w:r>
        <w:rPr>
          <w:rFonts w:ascii="宋体" w:hAnsi="宋体" w:eastAsia="宋体" w:cs="宋体"/>
          <w:color w:val="auto"/>
          <w:spacing w:val="-8"/>
          <w:sz w:val="24"/>
          <w:szCs w:val="24"/>
          <w:highlight w:val="none"/>
        </w:rPr>
        <w:t>投标文件。</w:t>
      </w:r>
    </w:p>
    <w:p w14:paraId="75A21227">
      <w:pPr>
        <w:spacing w:line="361" w:lineRule="auto"/>
        <w:rPr>
          <w:rFonts w:ascii="宋体" w:hAnsi="宋体" w:eastAsia="宋体" w:cs="宋体"/>
          <w:color w:val="auto"/>
          <w:sz w:val="24"/>
          <w:szCs w:val="24"/>
          <w:highlight w:val="none"/>
        </w:rPr>
        <w:sectPr>
          <w:footerReference r:id="rId17" w:type="default"/>
          <w:pgSz w:w="11905" w:h="16840"/>
          <w:pgMar w:top="1428" w:right="1461" w:bottom="1255" w:left="1580" w:header="0" w:footer="1093" w:gutter="0"/>
          <w:pgNumType w:fmt="decimal"/>
          <w:cols w:space="720" w:num="1"/>
        </w:sectPr>
      </w:pPr>
    </w:p>
    <w:p w14:paraId="67CFD361">
      <w:pPr>
        <w:spacing w:before="48" w:line="359" w:lineRule="auto"/>
        <w:ind w:left="6" w:right="2" w:firstLine="475"/>
        <w:jc w:val="both"/>
        <w:rPr>
          <w:rFonts w:ascii="宋体" w:hAnsi="宋体" w:eastAsia="宋体" w:cs="宋体"/>
          <w:color w:val="auto"/>
          <w:sz w:val="24"/>
          <w:szCs w:val="24"/>
          <w:highlight w:val="none"/>
        </w:rPr>
      </w:pPr>
      <w:bookmarkStart w:id="43" w:name="bookmark375"/>
      <w:bookmarkEnd w:id="43"/>
      <w:r>
        <w:rPr>
          <w:rFonts w:ascii="Times New Roman" w:hAnsi="Times New Roman" w:eastAsia="Times New Roman" w:cs="Times New Roman"/>
          <w:b/>
          <w:bCs/>
          <w:color w:val="auto"/>
          <w:spacing w:val="1"/>
          <w:sz w:val="24"/>
          <w:szCs w:val="24"/>
          <w:highlight w:val="none"/>
        </w:rPr>
        <w:t xml:space="preserve">3.3.2  </w:t>
      </w:r>
      <w:r>
        <w:rPr>
          <w:rFonts w:ascii="宋体" w:hAnsi="宋体" w:eastAsia="宋体" w:cs="宋体"/>
          <w:color w:val="auto"/>
          <w:spacing w:val="1"/>
          <w:sz w:val="24"/>
          <w:szCs w:val="24"/>
          <w:highlight w:val="none"/>
        </w:rPr>
        <w:t>出现特殊情况需要延长投标有</w:t>
      </w:r>
      <w:r>
        <w:rPr>
          <w:rFonts w:ascii="宋体" w:hAnsi="宋体" w:eastAsia="宋体" w:cs="宋体"/>
          <w:color w:val="auto"/>
          <w:sz w:val="24"/>
          <w:szCs w:val="24"/>
          <w:highlight w:val="none"/>
        </w:rPr>
        <w:t xml:space="preserve">效期的，招标人以书面形式通知所有投标人 </w:t>
      </w:r>
      <w:r>
        <w:rPr>
          <w:rFonts w:ascii="宋体" w:hAnsi="宋体" w:eastAsia="宋体" w:cs="宋体"/>
          <w:color w:val="auto"/>
          <w:spacing w:val="-6"/>
          <w:sz w:val="24"/>
          <w:szCs w:val="24"/>
          <w:highlight w:val="none"/>
        </w:rPr>
        <w:t>延长投标有效期。投标人同意延长的， 应相应延长其投标保证金的有效期，但不得要</w:t>
      </w:r>
      <w:r>
        <w:rPr>
          <w:rFonts w:ascii="宋体" w:hAnsi="宋体" w:eastAsia="宋体" w:cs="宋体"/>
          <w:color w:val="auto"/>
          <w:spacing w:val="3"/>
          <w:sz w:val="24"/>
          <w:szCs w:val="24"/>
          <w:highlight w:val="none"/>
        </w:rPr>
        <w:t xml:space="preserve"> </w:t>
      </w:r>
      <w:r>
        <w:rPr>
          <w:rFonts w:ascii="宋体" w:hAnsi="宋体" w:eastAsia="宋体" w:cs="宋体"/>
          <w:color w:val="auto"/>
          <w:spacing w:val="-3"/>
          <w:sz w:val="24"/>
          <w:szCs w:val="24"/>
          <w:highlight w:val="none"/>
        </w:rPr>
        <w:t>求或被允许修改或撤销其投标文件；投标人拒绝延长的，其投标失效，但投标人有权</w:t>
      </w:r>
      <w:r>
        <w:rPr>
          <w:rFonts w:ascii="宋体" w:hAnsi="宋体" w:eastAsia="宋体" w:cs="宋体"/>
          <w:color w:val="auto"/>
          <w:spacing w:val="6"/>
          <w:sz w:val="24"/>
          <w:szCs w:val="24"/>
          <w:highlight w:val="none"/>
        </w:rPr>
        <w:t xml:space="preserve"> </w:t>
      </w:r>
      <w:r>
        <w:rPr>
          <w:rFonts w:ascii="宋体" w:hAnsi="宋体" w:eastAsia="宋体" w:cs="宋体"/>
          <w:color w:val="auto"/>
          <w:spacing w:val="-5"/>
          <w:sz w:val="24"/>
          <w:szCs w:val="24"/>
          <w:highlight w:val="none"/>
        </w:rPr>
        <w:t>收回其投标保证金。</w:t>
      </w:r>
    </w:p>
    <w:p w14:paraId="2AD439BD">
      <w:pPr>
        <w:spacing w:line="232"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3.4  </w:t>
      </w:r>
      <w:r>
        <w:rPr>
          <w:rFonts w:ascii="楷体" w:hAnsi="楷体" w:eastAsia="楷体" w:cs="楷体"/>
          <w:b/>
          <w:bCs/>
          <w:color w:val="auto"/>
          <w:spacing w:val="-1"/>
          <w:sz w:val="24"/>
          <w:szCs w:val="24"/>
          <w:highlight w:val="none"/>
        </w:rPr>
        <w:t>投标保证金</w:t>
      </w:r>
    </w:p>
    <w:p w14:paraId="2B24EA34">
      <w:pPr>
        <w:spacing w:before="165" w:line="324" w:lineRule="auto"/>
        <w:ind w:left="6" w:right="2" w:firstLine="475"/>
        <w:rPr>
          <w:rFonts w:ascii="宋体" w:hAnsi="宋体" w:eastAsia="宋体" w:cs="宋体"/>
          <w:strike w:val="0"/>
          <w:dstrike w:val="0"/>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3.4.1  </w:t>
      </w:r>
      <w:r>
        <w:rPr>
          <w:rFonts w:ascii="宋体" w:hAnsi="宋体" w:eastAsia="宋体" w:cs="宋体"/>
          <w:color w:val="auto"/>
          <w:spacing w:val="1"/>
          <w:sz w:val="24"/>
          <w:szCs w:val="24"/>
          <w:highlight w:val="none"/>
        </w:rPr>
        <w:t>投标人在递交投标文件的同时</w:t>
      </w:r>
      <w:r>
        <w:rPr>
          <w:rFonts w:ascii="宋体" w:hAnsi="宋体" w:eastAsia="宋体" w:cs="宋体"/>
          <w:color w:val="auto"/>
          <w:sz w:val="24"/>
          <w:szCs w:val="24"/>
          <w:highlight w:val="none"/>
        </w:rPr>
        <w:t xml:space="preserve">，应按投标人须知前附表规定的金额、担保 </w:t>
      </w:r>
      <w:r>
        <w:rPr>
          <w:rFonts w:ascii="宋体" w:hAnsi="宋体" w:eastAsia="宋体" w:cs="宋体"/>
          <w:color w:val="auto"/>
          <w:spacing w:val="-3"/>
          <w:sz w:val="24"/>
          <w:szCs w:val="24"/>
          <w:highlight w:val="none"/>
        </w:rPr>
        <w:t>形式和第八章“投标文件格式”规定的投标保证金格式递交投标保证金，并作为其投</w:t>
      </w:r>
      <w:r>
        <w:rPr>
          <w:rFonts w:ascii="宋体" w:hAnsi="宋体" w:eastAsia="宋体" w:cs="宋体"/>
          <w:color w:val="auto"/>
          <w:spacing w:val="6"/>
          <w:sz w:val="24"/>
          <w:szCs w:val="24"/>
          <w:highlight w:val="none"/>
        </w:rPr>
        <w:t xml:space="preserve"> </w:t>
      </w:r>
      <w:r>
        <w:rPr>
          <w:rFonts w:ascii="宋体" w:hAnsi="宋体" w:eastAsia="宋体" w:cs="宋体"/>
          <w:color w:val="auto"/>
          <w:spacing w:val="-6"/>
          <w:sz w:val="24"/>
          <w:szCs w:val="24"/>
          <w:highlight w:val="none"/>
        </w:rPr>
        <w:t>标文件的组成部分。</w:t>
      </w:r>
      <w:r>
        <w:rPr>
          <w:rFonts w:ascii="宋体" w:hAnsi="宋体" w:eastAsia="宋体" w:cs="宋体"/>
          <w:strike w:val="0"/>
          <w:dstrike w:val="0"/>
          <w:color w:val="auto"/>
          <w:spacing w:val="-6"/>
          <w:sz w:val="24"/>
          <w:szCs w:val="24"/>
          <w:highlight w:val="none"/>
        </w:rPr>
        <w:t>联合体投标的， 其投标保证金由牵头人递交，并应符合投标人须</w:t>
      </w:r>
      <w:r>
        <w:rPr>
          <w:rFonts w:ascii="宋体" w:hAnsi="宋体" w:eastAsia="宋体" w:cs="宋体"/>
          <w:strike w:val="0"/>
          <w:dstrike w:val="0"/>
          <w:color w:val="auto"/>
          <w:spacing w:val="3"/>
          <w:sz w:val="24"/>
          <w:szCs w:val="24"/>
          <w:highlight w:val="none"/>
        </w:rPr>
        <w:t xml:space="preserve"> </w:t>
      </w:r>
      <w:r>
        <w:rPr>
          <w:rFonts w:ascii="宋体" w:hAnsi="宋体" w:eastAsia="宋体" w:cs="宋体"/>
          <w:strike w:val="0"/>
          <w:dstrike w:val="0"/>
          <w:color w:val="auto"/>
          <w:spacing w:val="-5"/>
          <w:sz w:val="24"/>
          <w:szCs w:val="24"/>
          <w:highlight w:val="none"/>
        </w:rPr>
        <w:t>知前附表的规定。</w:t>
      </w:r>
    </w:p>
    <w:p w14:paraId="5C9433BB">
      <w:pPr>
        <w:spacing w:before="183" w:line="289" w:lineRule="auto"/>
        <w:ind w:left="9" w:firstLine="473"/>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3.4.2  </w:t>
      </w:r>
      <w:r>
        <w:rPr>
          <w:rFonts w:ascii="宋体" w:hAnsi="宋体" w:eastAsia="宋体" w:cs="宋体"/>
          <w:color w:val="auto"/>
          <w:spacing w:val="1"/>
          <w:sz w:val="24"/>
          <w:szCs w:val="24"/>
          <w:highlight w:val="none"/>
        </w:rPr>
        <w:t>投标人不按本章第</w:t>
      </w:r>
      <w:r>
        <w:rPr>
          <w:rFonts w:ascii="Times New Roman" w:hAnsi="Times New Roman" w:eastAsia="Times New Roman" w:cs="Times New Roman"/>
          <w:color w:val="auto"/>
          <w:spacing w:val="1"/>
          <w:sz w:val="24"/>
          <w:szCs w:val="24"/>
          <w:highlight w:val="none"/>
        </w:rPr>
        <w:t>3.4.1</w:t>
      </w:r>
      <w:r>
        <w:rPr>
          <w:rFonts w:ascii="宋体" w:hAnsi="宋体" w:eastAsia="宋体" w:cs="宋体"/>
          <w:color w:val="auto"/>
          <w:spacing w:val="1"/>
          <w:sz w:val="24"/>
          <w:szCs w:val="24"/>
          <w:highlight w:val="none"/>
        </w:rPr>
        <w:t>项要</w:t>
      </w:r>
      <w:r>
        <w:rPr>
          <w:rFonts w:ascii="宋体" w:hAnsi="宋体" w:eastAsia="宋体" w:cs="宋体"/>
          <w:color w:val="auto"/>
          <w:sz w:val="24"/>
          <w:szCs w:val="24"/>
          <w:highlight w:val="none"/>
        </w:rPr>
        <w:t xml:space="preserve">求提交投标保证金，或不是通过投标人的基本 </w:t>
      </w:r>
      <w:r>
        <w:rPr>
          <w:rFonts w:ascii="宋体" w:hAnsi="宋体" w:eastAsia="宋体" w:cs="宋体"/>
          <w:color w:val="auto"/>
          <w:spacing w:val="-3"/>
          <w:sz w:val="24"/>
          <w:szCs w:val="24"/>
          <w:highlight w:val="none"/>
        </w:rPr>
        <w:t>账户缴纳的，其投标文件将被否决。</w:t>
      </w:r>
    </w:p>
    <w:p w14:paraId="74929D7B">
      <w:pPr>
        <w:spacing w:before="182" w:line="312" w:lineRule="auto"/>
        <w:ind w:left="4" w:right="3" w:firstLine="477"/>
        <w:rPr>
          <w:rFonts w:ascii="宋体" w:hAnsi="宋体" w:eastAsia="宋体" w:cs="宋体"/>
          <w:color w:val="auto"/>
          <w:sz w:val="24"/>
          <w:szCs w:val="24"/>
          <w:highlight w:val="none"/>
        </w:rPr>
      </w:pPr>
      <w:r>
        <w:rPr>
          <w:rFonts w:ascii="Times New Roman" w:hAnsi="Times New Roman" w:eastAsia="Times New Roman" w:cs="Times New Roman"/>
          <w:b/>
          <w:bCs/>
          <w:color w:val="auto"/>
          <w:spacing w:val="4"/>
          <w:sz w:val="24"/>
          <w:szCs w:val="24"/>
          <w:highlight w:val="none"/>
        </w:rPr>
        <w:t xml:space="preserve">3.4.3  </w:t>
      </w:r>
      <w:r>
        <w:rPr>
          <w:rFonts w:ascii="宋体" w:hAnsi="宋体" w:eastAsia="宋体" w:cs="宋体"/>
          <w:color w:val="auto"/>
          <w:spacing w:val="4"/>
          <w:sz w:val="24"/>
          <w:szCs w:val="24"/>
          <w:highlight w:val="none"/>
        </w:rPr>
        <w:t>非中标候选人的投标保证金及银行</w:t>
      </w:r>
      <w:r>
        <w:rPr>
          <w:rFonts w:ascii="宋体" w:hAnsi="宋体" w:eastAsia="宋体" w:cs="宋体"/>
          <w:color w:val="auto"/>
          <w:spacing w:val="3"/>
          <w:sz w:val="24"/>
          <w:szCs w:val="24"/>
          <w:highlight w:val="none"/>
        </w:rPr>
        <w:t>活期存款利息在中标通知书发出后</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日</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内退回（当地交易平台或行政监督部门另有规定的除外）。中标候选人的投标保证金</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rPr>
        <w:t>及银行活期存款利息在招标人与中标人签订书面合</w:t>
      </w:r>
      <w:r>
        <w:rPr>
          <w:rFonts w:ascii="宋体" w:hAnsi="宋体" w:eastAsia="宋体" w:cs="宋体"/>
          <w:color w:val="auto"/>
          <w:spacing w:val="-2"/>
          <w:sz w:val="24"/>
          <w:szCs w:val="24"/>
          <w:highlight w:val="none"/>
        </w:rPr>
        <w:t>同后</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日内退回。</w:t>
      </w:r>
    </w:p>
    <w:p w14:paraId="3599C7BB">
      <w:pPr>
        <w:spacing w:before="182"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3.4.4  </w:t>
      </w:r>
      <w:r>
        <w:rPr>
          <w:rFonts w:ascii="宋体" w:hAnsi="宋体" w:eastAsia="宋体" w:cs="宋体"/>
          <w:color w:val="auto"/>
          <w:spacing w:val="-2"/>
          <w:sz w:val="24"/>
          <w:szCs w:val="24"/>
          <w:highlight w:val="none"/>
        </w:rPr>
        <w:t>有下列情形之一的，投标保证金将不予退</w:t>
      </w:r>
      <w:r>
        <w:rPr>
          <w:rFonts w:ascii="宋体" w:hAnsi="宋体" w:eastAsia="宋体" w:cs="宋体"/>
          <w:color w:val="auto"/>
          <w:spacing w:val="-3"/>
          <w:sz w:val="24"/>
          <w:szCs w:val="24"/>
          <w:highlight w:val="none"/>
        </w:rPr>
        <w:t>还：</w:t>
      </w:r>
    </w:p>
    <w:p w14:paraId="5663B86D">
      <w:pPr>
        <w:spacing w:before="181" w:line="220" w:lineRule="auto"/>
        <w:ind w:left="49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）投标人在规定的投标有效期内撤销或修改其投标文件。</w:t>
      </w:r>
    </w:p>
    <w:p w14:paraId="1CB743C9">
      <w:pPr>
        <w:spacing w:before="180" w:line="290" w:lineRule="auto"/>
        <w:ind w:left="6" w:right="12"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 xml:space="preserve">）中标人在收到中标通知书后，无正当理由拒签合同协议书或未按招标文件 </w:t>
      </w:r>
      <w:r>
        <w:rPr>
          <w:rFonts w:ascii="宋体" w:hAnsi="宋体" w:eastAsia="宋体" w:cs="宋体"/>
          <w:color w:val="auto"/>
          <w:spacing w:val="-5"/>
          <w:sz w:val="24"/>
          <w:szCs w:val="24"/>
          <w:highlight w:val="none"/>
        </w:rPr>
        <w:t>规定提交履约担保。</w:t>
      </w:r>
    </w:p>
    <w:p w14:paraId="30189C7B">
      <w:pPr>
        <w:spacing w:before="180" w:line="219" w:lineRule="auto"/>
        <w:ind w:left="49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）投标人须知前附表规定的其他情形。</w:t>
      </w:r>
    </w:p>
    <w:p w14:paraId="0110CABD">
      <w:pPr>
        <w:spacing w:before="183"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3.5  </w:t>
      </w:r>
      <w:r>
        <w:rPr>
          <w:rFonts w:ascii="楷体" w:hAnsi="楷体" w:eastAsia="楷体" w:cs="楷体"/>
          <w:b/>
          <w:bCs/>
          <w:color w:val="auto"/>
          <w:spacing w:val="-3"/>
          <w:sz w:val="24"/>
          <w:szCs w:val="24"/>
          <w:highlight w:val="none"/>
        </w:rPr>
        <w:t>资格审查资料（适用于已进行资格预审的）</w:t>
      </w:r>
    </w:p>
    <w:p w14:paraId="4CA275A2">
      <w:pPr>
        <w:spacing w:before="178" w:line="359" w:lineRule="auto"/>
        <w:ind w:left="6" w:right="1" w:firstLine="481"/>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投标人在编制投标文件时，如果投标人在资质条件、组织机构、财务能力、信誉</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等资格条件与资格预审时提交的资格预审申请文件相比较发生变化的，应按新情况更</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新或补充其在资格预审申请文件中提供的资料，以证实其各项资格条件仍能继续满足</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资格预审文件的要求，具备承担本标段施工的资质条件、能力和信誉。</w:t>
      </w:r>
    </w:p>
    <w:p w14:paraId="77749761">
      <w:pPr>
        <w:spacing w:before="1"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若无更新或补充，可不必提交与资格预审申请文件中相同的资料。</w:t>
      </w:r>
    </w:p>
    <w:p w14:paraId="5FD6ED81">
      <w:pPr>
        <w:spacing w:before="182"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3.5  </w:t>
      </w:r>
      <w:r>
        <w:rPr>
          <w:rFonts w:ascii="楷体" w:hAnsi="楷体" w:eastAsia="楷体" w:cs="楷体"/>
          <w:b/>
          <w:bCs/>
          <w:color w:val="auto"/>
          <w:spacing w:val="-3"/>
          <w:sz w:val="24"/>
          <w:szCs w:val="24"/>
          <w:highlight w:val="none"/>
        </w:rPr>
        <w:t>资格审查资料（适用于未进行资格预审的）</w:t>
      </w:r>
    </w:p>
    <w:p w14:paraId="64E067B0">
      <w:pPr>
        <w:spacing w:before="176" w:line="289" w:lineRule="auto"/>
        <w:ind w:left="5" w:right="2" w:firstLine="47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3.5.1  </w:t>
      </w:r>
      <w:r>
        <w:rPr>
          <w:rFonts w:ascii="宋体" w:hAnsi="宋体" w:eastAsia="宋体" w:cs="宋体"/>
          <w:color w:val="auto"/>
          <w:spacing w:val="1"/>
          <w:sz w:val="24"/>
          <w:szCs w:val="24"/>
          <w:highlight w:val="none"/>
        </w:rPr>
        <w:t>“投标人基本情况表”应附投</w:t>
      </w:r>
      <w:r>
        <w:rPr>
          <w:rFonts w:ascii="宋体" w:hAnsi="宋体" w:eastAsia="宋体" w:cs="宋体"/>
          <w:color w:val="auto"/>
          <w:sz w:val="24"/>
          <w:szCs w:val="24"/>
          <w:highlight w:val="none"/>
        </w:rPr>
        <w:t>标人营业执照</w:t>
      </w:r>
      <w:r>
        <w:rPr>
          <w:rFonts w:ascii="宋体" w:hAnsi="宋体" w:eastAsia="宋体" w:cs="宋体"/>
          <w:strike/>
          <w:dstrike w:val="0"/>
          <w:color w:val="auto"/>
          <w:sz w:val="24"/>
          <w:szCs w:val="24"/>
          <w:highlight w:val="none"/>
        </w:rPr>
        <w:t>副本</w:t>
      </w:r>
      <w:r>
        <w:rPr>
          <w:rFonts w:ascii="宋体" w:hAnsi="宋体" w:eastAsia="宋体" w:cs="宋体"/>
          <w:color w:val="auto"/>
          <w:sz w:val="24"/>
          <w:szCs w:val="24"/>
          <w:highlight w:val="none"/>
        </w:rPr>
        <w:t>、资质证书</w:t>
      </w:r>
      <w:r>
        <w:rPr>
          <w:rFonts w:ascii="宋体" w:hAnsi="宋体" w:eastAsia="宋体" w:cs="宋体"/>
          <w:strike/>
          <w:dstrike w:val="0"/>
          <w:color w:val="auto"/>
          <w:sz w:val="24"/>
          <w:szCs w:val="24"/>
          <w:highlight w:val="none"/>
        </w:rPr>
        <w:t>副本</w:t>
      </w:r>
      <w:r>
        <w:rPr>
          <w:rFonts w:ascii="宋体" w:hAnsi="宋体" w:eastAsia="宋体" w:cs="宋体"/>
          <w:color w:val="auto"/>
          <w:sz w:val="24"/>
          <w:szCs w:val="24"/>
          <w:highlight w:val="none"/>
        </w:rPr>
        <w:t xml:space="preserve">和安全生 </w:t>
      </w:r>
      <w:r>
        <w:rPr>
          <w:rFonts w:ascii="宋体" w:hAnsi="宋体" w:eastAsia="宋体" w:cs="宋体"/>
          <w:color w:val="auto"/>
          <w:spacing w:val="-3"/>
          <w:sz w:val="24"/>
          <w:szCs w:val="24"/>
          <w:highlight w:val="none"/>
        </w:rPr>
        <w:t>产许可证</w:t>
      </w:r>
      <w:r>
        <w:rPr>
          <w:rFonts w:ascii="宋体" w:hAnsi="宋体" w:eastAsia="宋体" w:cs="宋体"/>
          <w:strike/>
          <w:dstrike w:val="0"/>
          <w:color w:val="auto"/>
          <w:spacing w:val="-3"/>
          <w:sz w:val="24"/>
          <w:szCs w:val="24"/>
          <w:highlight w:val="none"/>
        </w:rPr>
        <w:t>副本</w:t>
      </w:r>
      <w:r>
        <w:rPr>
          <w:rFonts w:ascii="宋体" w:hAnsi="宋体" w:eastAsia="宋体" w:cs="宋体"/>
          <w:color w:val="auto"/>
          <w:spacing w:val="-3"/>
          <w:sz w:val="24"/>
          <w:szCs w:val="24"/>
          <w:highlight w:val="none"/>
        </w:rPr>
        <w:t>等材料的复制件。</w:t>
      </w:r>
    </w:p>
    <w:p w14:paraId="13F00894">
      <w:pPr>
        <w:spacing w:before="182" w:line="289" w:lineRule="auto"/>
        <w:ind w:left="5" w:right="1" w:firstLine="476"/>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3.5.2  </w:t>
      </w:r>
      <w:r>
        <w:rPr>
          <w:rFonts w:ascii="宋体" w:hAnsi="宋体" w:eastAsia="宋体" w:cs="宋体"/>
          <w:strike/>
          <w:dstrike w:val="0"/>
          <w:color w:val="auto"/>
          <w:sz w:val="24"/>
          <w:szCs w:val="24"/>
          <w:highlight w:val="none"/>
        </w:rPr>
        <w:t>“近年财务状况”应附经会计师事务所或审计机构审计的财务会计报表，</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3"/>
          <w:sz w:val="24"/>
          <w:szCs w:val="24"/>
          <w:highlight w:val="none"/>
        </w:rPr>
        <w:t>包括资产负债表、现金流量表、利润表和财务情况说明书（或财务报表附注）的复制</w:t>
      </w:r>
    </w:p>
    <w:p w14:paraId="77338E22">
      <w:pPr>
        <w:spacing w:line="289" w:lineRule="auto"/>
        <w:rPr>
          <w:rFonts w:ascii="宋体" w:hAnsi="宋体" w:eastAsia="宋体" w:cs="宋体"/>
          <w:strike/>
          <w:dstrike w:val="0"/>
          <w:color w:val="auto"/>
          <w:sz w:val="24"/>
          <w:szCs w:val="24"/>
          <w:highlight w:val="none"/>
        </w:rPr>
        <w:sectPr>
          <w:footerReference r:id="rId18" w:type="default"/>
          <w:pgSz w:w="11905" w:h="16840"/>
          <w:pgMar w:top="1428" w:right="1526" w:bottom="1255" w:left="1591" w:header="0" w:footer="1093" w:gutter="0"/>
          <w:pgNumType w:fmt="decimal"/>
          <w:cols w:space="720" w:num="1"/>
        </w:sectPr>
      </w:pPr>
    </w:p>
    <w:p w14:paraId="1E1A995E">
      <w:pPr>
        <w:spacing w:before="47" w:line="219" w:lineRule="auto"/>
        <w:ind w:left="4"/>
        <w:rPr>
          <w:rFonts w:ascii="宋体" w:hAnsi="宋体" w:eastAsia="宋体" w:cs="宋体"/>
          <w:color w:val="auto"/>
          <w:sz w:val="24"/>
          <w:szCs w:val="24"/>
          <w:highlight w:val="none"/>
        </w:rPr>
      </w:pPr>
      <w:bookmarkStart w:id="44" w:name="bookmark376"/>
      <w:bookmarkEnd w:id="44"/>
      <w:r>
        <w:rPr>
          <w:rFonts w:ascii="宋体" w:hAnsi="宋体" w:eastAsia="宋体" w:cs="宋体"/>
          <w:strike/>
          <w:dstrike w:val="0"/>
          <w:color w:val="auto"/>
          <w:spacing w:val="-3"/>
          <w:sz w:val="24"/>
          <w:szCs w:val="24"/>
          <w:highlight w:val="none"/>
        </w:rPr>
        <w:t>件，具体年份要求见投标人须知前附表。</w:t>
      </w:r>
    </w:p>
    <w:p w14:paraId="4077369F">
      <w:pPr>
        <w:spacing w:before="182" w:line="289" w:lineRule="auto"/>
        <w:ind w:left="10" w:right="54" w:firstLine="46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4"/>
          <w:sz w:val="24"/>
          <w:szCs w:val="24"/>
          <w:highlight w:val="none"/>
        </w:rPr>
        <w:t>3.5.3</w:t>
      </w:r>
      <w:r>
        <w:rPr>
          <w:rFonts w:ascii="宋体" w:hAnsi="宋体" w:eastAsia="宋体" w:cs="宋体"/>
          <w:strike/>
          <w:dstrike w:val="0"/>
          <w:color w:val="auto"/>
          <w:spacing w:val="-4"/>
          <w:sz w:val="24"/>
          <w:szCs w:val="24"/>
          <w:highlight w:val="none"/>
        </w:rPr>
        <w:t>“近年完成的类似项目情况表”应附招标公告规定的业绩证明材料复制件，</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具体年份要求见投标人须知前附表。每张表格只</w:t>
      </w:r>
      <w:r>
        <w:rPr>
          <w:rFonts w:ascii="宋体" w:hAnsi="宋体" w:eastAsia="宋体" w:cs="宋体"/>
          <w:strike/>
          <w:dstrike w:val="0"/>
          <w:color w:val="auto"/>
          <w:spacing w:val="-2"/>
          <w:sz w:val="24"/>
          <w:szCs w:val="24"/>
          <w:highlight w:val="none"/>
        </w:rPr>
        <w:t>填写一个项目，并标明序号。</w:t>
      </w:r>
    </w:p>
    <w:p w14:paraId="33938F98">
      <w:pPr>
        <w:spacing w:before="183" w:line="289" w:lineRule="auto"/>
        <w:ind w:left="5" w:right="35" w:firstLine="476"/>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4"/>
          <w:sz w:val="24"/>
          <w:szCs w:val="24"/>
          <w:highlight w:val="none"/>
        </w:rPr>
        <w:t>3.5.4</w:t>
      </w:r>
      <w:r>
        <w:rPr>
          <w:rFonts w:ascii="宋体" w:hAnsi="宋体" w:eastAsia="宋体" w:cs="宋体"/>
          <w:strike/>
          <w:dstrike w:val="0"/>
          <w:color w:val="auto"/>
          <w:spacing w:val="-4"/>
          <w:sz w:val="24"/>
          <w:szCs w:val="24"/>
          <w:highlight w:val="none"/>
        </w:rPr>
        <w:t>“正在施工和新承接的项目情况表”应附中标通知书或合同协议书复制件。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每张表格只填写一个项目，并标明序号。</w:t>
      </w:r>
    </w:p>
    <w:p w14:paraId="778A8C9C">
      <w:pPr>
        <w:spacing w:before="181" w:line="289" w:lineRule="auto"/>
        <w:ind w:left="6" w:right="2" w:firstLine="475"/>
        <w:rPr>
          <w:rFonts w:ascii="宋体" w:hAnsi="宋体" w:eastAsia="宋体" w:cs="宋体"/>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3.5.5  </w:t>
      </w:r>
      <w:r>
        <w:rPr>
          <w:rFonts w:ascii="宋体" w:hAnsi="宋体" w:eastAsia="宋体" w:cs="宋体"/>
          <w:strike/>
          <w:dstrike w:val="0"/>
          <w:color w:val="auto"/>
          <w:spacing w:val="1"/>
          <w:sz w:val="24"/>
          <w:szCs w:val="24"/>
          <w:highlight w:val="none"/>
        </w:rPr>
        <w:t>“近年发生的诉讼及仲裁情况</w:t>
      </w:r>
      <w:r>
        <w:rPr>
          <w:rFonts w:ascii="宋体" w:hAnsi="宋体" w:eastAsia="宋体" w:cs="宋体"/>
          <w:strike/>
          <w:dstrike w:val="0"/>
          <w:color w:val="auto"/>
          <w:sz w:val="24"/>
          <w:szCs w:val="24"/>
          <w:highlight w:val="none"/>
        </w:rPr>
        <w:t xml:space="preserve">表”应说明相关情况，并附法院或仲裁机构 </w:t>
      </w:r>
      <w:r>
        <w:rPr>
          <w:rFonts w:ascii="宋体" w:hAnsi="宋体" w:eastAsia="宋体" w:cs="宋体"/>
          <w:strike/>
          <w:dstrike w:val="0"/>
          <w:color w:val="auto"/>
          <w:spacing w:val="-1"/>
          <w:sz w:val="24"/>
          <w:szCs w:val="24"/>
          <w:highlight w:val="none"/>
        </w:rPr>
        <w:t>作出的判决、裁决等有关法律文书复制件，具体年份要求</w:t>
      </w:r>
      <w:r>
        <w:rPr>
          <w:rFonts w:ascii="宋体" w:hAnsi="宋体" w:eastAsia="宋体" w:cs="宋体"/>
          <w:strike/>
          <w:dstrike w:val="0"/>
          <w:color w:val="auto"/>
          <w:spacing w:val="-2"/>
          <w:sz w:val="24"/>
          <w:szCs w:val="24"/>
          <w:highlight w:val="none"/>
        </w:rPr>
        <w:t>见投标人须知前附表。</w:t>
      </w:r>
    </w:p>
    <w:p w14:paraId="1FF43C50">
      <w:pPr>
        <w:spacing w:before="181" w:line="290" w:lineRule="auto"/>
        <w:ind w:left="25" w:firstLine="457"/>
        <w:rPr>
          <w:rFonts w:ascii="宋体" w:hAnsi="宋体" w:eastAsia="宋体" w:cs="宋体"/>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3.5.6  </w:t>
      </w:r>
      <w:r>
        <w:rPr>
          <w:rFonts w:ascii="宋体" w:hAnsi="宋体" w:eastAsia="宋体" w:cs="宋体"/>
          <w:strike/>
          <w:dstrike w:val="0"/>
          <w:color w:val="auto"/>
          <w:spacing w:val="1"/>
          <w:sz w:val="24"/>
          <w:szCs w:val="24"/>
          <w:highlight w:val="none"/>
        </w:rPr>
        <w:t>投标人须知前附表规定接受联合体</w:t>
      </w:r>
      <w:r>
        <w:rPr>
          <w:rFonts w:ascii="宋体" w:hAnsi="宋体" w:eastAsia="宋体" w:cs="宋体"/>
          <w:strike/>
          <w:dstrike w:val="0"/>
          <w:color w:val="auto"/>
          <w:sz w:val="24"/>
          <w:szCs w:val="24"/>
          <w:highlight w:val="none"/>
        </w:rPr>
        <w:t>投标的，本章第</w:t>
      </w:r>
      <w:r>
        <w:rPr>
          <w:rFonts w:ascii="Times New Roman" w:hAnsi="Times New Roman" w:eastAsia="Times New Roman" w:cs="Times New Roman"/>
          <w:strike/>
          <w:dstrike w:val="0"/>
          <w:color w:val="auto"/>
          <w:sz w:val="24"/>
          <w:szCs w:val="24"/>
          <w:highlight w:val="none"/>
        </w:rPr>
        <w:t>3.5.1</w:t>
      </w:r>
      <w:r>
        <w:rPr>
          <w:rFonts w:ascii="宋体" w:hAnsi="宋体" w:eastAsia="宋体" w:cs="宋体"/>
          <w:strike/>
          <w:dstrike w:val="0"/>
          <w:color w:val="auto"/>
          <w:sz w:val="24"/>
          <w:szCs w:val="24"/>
          <w:highlight w:val="none"/>
        </w:rPr>
        <w:t>项～第</w:t>
      </w:r>
      <w:r>
        <w:rPr>
          <w:rFonts w:ascii="Times New Roman" w:hAnsi="Times New Roman" w:eastAsia="Times New Roman" w:cs="Times New Roman"/>
          <w:strike/>
          <w:dstrike w:val="0"/>
          <w:color w:val="auto"/>
          <w:sz w:val="24"/>
          <w:szCs w:val="24"/>
          <w:highlight w:val="none"/>
        </w:rPr>
        <w:t>3.5.5</w:t>
      </w:r>
      <w:r>
        <w:rPr>
          <w:rFonts w:ascii="宋体" w:hAnsi="宋体" w:eastAsia="宋体" w:cs="宋体"/>
          <w:strike/>
          <w:dstrike w:val="0"/>
          <w:color w:val="auto"/>
          <w:sz w:val="24"/>
          <w:szCs w:val="24"/>
          <w:highlight w:val="none"/>
        </w:rPr>
        <w:t xml:space="preserve">项规定 </w:t>
      </w:r>
      <w:r>
        <w:rPr>
          <w:rFonts w:ascii="宋体" w:hAnsi="宋体" w:eastAsia="宋体" w:cs="宋体"/>
          <w:strike/>
          <w:dstrike w:val="0"/>
          <w:color w:val="auto"/>
          <w:spacing w:val="-4"/>
          <w:sz w:val="24"/>
          <w:szCs w:val="24"/>
          <w:highlight w:val="none"/>
        </w:rPr>
        <w:t>的表格和资料应包括联合体各方相关情况。</w:t>
      </w:r>
    </w:p>
    <w:p w14:paraId="71D8625E">
      <w:pPr>
        <w:spacing w:before="181" w:line="227"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3.6  </w:t>
      </w:r>
      <w:r>
        <w:rPr>
          <w:rFonts w:ascii="楷体" w:hAnsi="楷体" w:eastAsia="楷体" w:cs="楷体"/>
          <w:b/>
          <w:bCs/>
          <w:color w:val="auto"/>
          <w:spacing w:val="-2"/>
          <w:sz w:val="24"/>
          <w:szCs w:val="24"/>
          <w:highlight w:val="none"/>
        </w:rPr>
        <w:t>备选投标方案</w:t>
      </w:r>
    </w:p>
    <w:p w14:paraId="5444D488">
      <w:pPr>
        <w:spacing w:before="172" w:line="359" w:lineRule="auto"/>
        <w:ind w:left="4" w:right="1" w:firstLine="485"/>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除投标人须知前附表另有规定外，投标人不得递交备选投标方案。允许投标</w:t>
      </w:r>
      <w:r>
        <w:rPr>
          <w:rFonts w:ascii="宋体" w:hAnsi="宋体" w:eastAsia="宋体" w:cs="宋体"/>
          <w:color w:val="auto"/>
          <w:spacing w:val="-4"/>
          <w:sz w:val="24"/>
          <w:szCs w:val="24"/>
          <w:highlight w:val="none"/>
        </w:rPr>
        <w:t>人递</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交备选投标方案，只有中标人所递交的备选投标方案方可予以考虑。评标委员会认为</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中标人递交的备选投标方案优于其按照招标文件要求编制的投标方案时，招标人可以</w:t>
      </w:r>
      <w:r>
        <w:rPr>
          <w:rFonts w:ascii="宋体" w:hAnsi="宋体" w:eastAsia="宋体" w:cs="宋体"/>
          <w:color w:val="auto"/>
          <w:spacing w:val="9"/>
          <w:sz w:val="24"/>
          <w:szCs w:val="24"/>
          <w:highlight w:val="none"/>
        </w:rPr>
        <w:t xml:space="preserve"> </w:t>
      </w:r>
      <w:r>
        <w:rPr>
          <w:rFonts w:ascii="宋体" w:hAnsi="宋体" w:eastAsia="宋体" w:cs="宋体"/>
          <w:color w:val="auto"/>
          <w:spacing w:val="-4"/>
          <w:sz w:val="24"/>
          <w:szCs w:val="24"/>
          <w:highlight w:val="none"/>
        </w:rPr>
        <w:t>接受该备选投标方案。</w:t>
      </w:r>
    </w:p>
    <w:p w14:paraId="6E8D5083">
      <w:pPr>
        <w:spacing w:before="1" w:line="227"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3.7  </w:t>
      </w:r>
      <w:r>
        <w:rPr>
          <w:rFonts w:ascii="楷体" w:hAnsi="楷体" w:eastAsia="楷体" w:cs="楷体"/>
          <w:b/>
          <w:bCs/>
          <w:color w:val="auto"/>
          <w:spacing w:val="-2"/>
          <w:sz w:val="24"/>
          <w:szCs w:val="24"/>
          <w:highlight w:val="none"/>
        </w:rPr>
        <w:t>投标文件的编制</w:t>
      </w:r>
    </w:p>
    <w:p w14:paraId="01E37074">
      <w:pPr>
        <w:spacing w:before="169" w:line="313" w:lineRule="auto"/>
        <w:ind w:left="7" w:right="2" w:firstLine="47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3.7.1  </w:t>
      </w:r>
      <w:r>
        <w:rPr>
          <w:rFonts w:ascii="宋体" w:hAnsi="宋体" w:eastAsia="宋体" w:cs="宋体"/>
          <w:color w:val="auto"/>
          <w:spacing w:val="1"/>
          <w:sz w:val="24"/>
          <w:szCs w:val="24"/>
          <w:highlight w:val="none"/>
        </w:rPr>
        <w:t>投标文件应按第八章“投标文</w:t>
      </w:r>
      <w:r>
        <w:rPr>
          <w:rFonts w:ascii="宋体" w:hAnsi="宋体" w:eastAsia="宋体" w:cs="宋体"/>
          <w:color w:val="auto"/>
          <w:sz w:val="24"/>
          <w:szCs w:val="24"/>
          <w:highlight w:val="none"/>
        </w:rPr>
        <w:t xml:space="preserve">件格式”进行编写，如有必要，可以增加附 </w:t>
      </w:r>
      <w:r>
        <w:rPr>
          <w:rFonts w:ascii="宋体" w:hAnsi="宋体" w:eastAsia="宋体" w:cs="宋体"/>
          <w:color w:val="auto"/>
          <w:spacing w:val="-6"/>
          <w:sz w:val="24"/>
          <w:szCs w:val="24"/>
          <w:highlight w:val="none"/>
        </w:rPr>
        <w:t>页，作为投标文件的组成部分。其中， 投标函附录在满足招标文件实质性要求的基础</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上，可以提出比招标文件要求更有利于招标人的承诺。</w:t>
      </w:r>
    </w:p>
    <w:p w14:paraId="28B1555D">
      <w:pPr>
        <w:spacing w:before="182" w:line="289" w:lineRule="auto"/>
        <w:ind w:left="6" w:right="2" w:firstLine="475"/>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3.7.2  </w:t>
      </w:r>
      <w:r>
        <w:rPr>
          <w:rFonts w:ascii="宋体" w:hAnsi="宋体" w:eastAsia="宋体" w:cs="宋体"/>
          <w:color w:val="auto"/>
          <w:spacing w:val="1"/>
          <w:sz w:val="24"/>
          <w:szCs w:val="24"/>
          <w:highlight w:val="none"/>
        </w:rPr>
        <w:t>投标文件应当对招标文件有关</w:t>
      </w:r>
      <w:r>
        <w:rPr>
          <w:rFonts w:ascii="宋体" w:hAnsi="宋体" w:eastAsia="宋体" w:cs="宋体"/>
          <w:color w:val="auto"/>
          <w:sz w:val="24"/>
          <w:szCs w:val="24"/>
          <w:highlight w:val="none"/>
        </w:rPr>
        <w:t xml:space="preserve">工期、投标有效期、质量要求、技术标准和 </w:t>
      </w:r>
      <w:r>
        <w:rPr>
          <w:rFonts w:ascii="宋体" w:hAnsi="宋体" w:eastAsia="宋体" w:cs="宋体"/>
          <w:color w:val="auto"/>
          <w:spacing w:val="-3"/>
          <w:sz w:val="24"/>
          <w:szCs w:val="24"/>
          <w:highlight w:val="none"/>
        </w:rPr>
        <w:t>要求、招标范围等实质性内容作出响应。</w:t>
      </w:r>
    </w:p>
    <w:p w14:paraId="567115D4">
      <w:pPr>
        <w:spacing w:before="181" w:line="219"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3.7.3  </w:t>
      </w:r>
      <w:r>
        <w:rPr>
          <w:rFonts w:ascii="宋体" w:hAnsi="宋体" w:eastAsia="宋体" w:cs="宋体"/>
          <w:color w:val="auto"/>
          <w:spacing w:val="-1"/>
          <w:sz w:val="24"/>
          <w:szCs w:val="24"/>
          <w:highlight w:val="none"/>
        </w:rPr>
        <w:t>投标文件签字或盖章的具体要求见投标</w:t>
      </w:r>
      <w:r>
        <w:rPr>
          <w:rFonts w:ascii="宋体" w:hAnsi="宋体" w:eastAsia="宋体" w:cs="宋体"/>
          <w:color w:val="auto"/>
          <w:spacing w:val="-2"/>
          <w:sz w:val="24"/>
          <w:szCs w:val="24"/>
          <w:highlight w:val="none"/>
        </w:rPr>
        <w:t>人须知前附表。</w:t>
      </w:r>
    </w:p>
    <w:p w14:paraId="6CB0D787">
      <w:pPr>
        <w:spacing w:before="183" w:line="219"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3.7.4  </w:t>
      </w:r>
      <w:r>
        <w:rPr>
          <w:rFonts w:ascii="宋体" w:hAnsi="宋体" w:eastAsia="宋体" w:cs="宋体"/>
          <w:color w:val="auto"/>
          <w:spacing w:val="-2"/>
          <w:sz w:val="24"/>
          <w:szCs w:val="24"/>
          <w:highlight w:val="none"/>
        </w:rPr>
        <w:t>投标文件份数的具体要求见投标人须知前附表。</w:t>
      </w:r>
    </w:p>
    <w:p w14:paraId="42506203">
      <w:pPr>
        <w:spacing w:before="308" w:line="227" w:lineRule="auto"/>
        <w:ind w:left="3"/>
        <w:outlineLvl w:val="2"/>
        <w:rPr>
          <w:rFonts w:ascii="宋体" w:hAnsi="宋体" w:eastAsia="宋体" w:cs="宋体"/>
          <w:color w:val="auto"/>
          <w:sz w:val="27"/>
          <w:szCs w:val="27"/>
          <w:highlight w:val="none"/>
        </w:rPr>
      </w:pPr>
      <w:bookmarkStart w:id="45" w:name="bookmark28"/>
      <w:bookmarkEnd w:id="45"/>
      <w:bookmarkStart w:id="46" w:name="_Toc28031"/>
      <w:r>
        <w:rPr>
          <w:rFonts w:ascii="Times New Roman" w:hAnsi="Times New Roman" w:eastAsia="Times New Roman" w:cs="Times New Roman"/>
          <w:b/>
          <w:bCs/>
          <w:color w:val="auto"/>
          <w:spacing w:val="-1"/>
          <w:sz w:val="27"/>
          <w:szCs w:val="27"/>
          <w:highlight w:val="none"/>
        </w:rPr>
        <w:t>4</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1"/>
          <w:sz w:val="27"/>
          <w:szCs w:val="27"/>
          <w:highlight w:val="none"/>
        </w:rPr>
        <w:t>投标</w:t>
      </w:r>
      <w:bookmarkEnd w:id="46"/>
    </w:p>
    <w:p w14:paraId="6483E4AA">
      <w:pPr>
        <w:pStyle w:val="8"/>
        <w:spacing w:line="247" w:lineRule="auto"/>
        <w:rPr>
          <w:color w:val="auto"/>
          <w:highlight w:val="none"/>
        </w:rPr>
      </w:pPr>
    </w:p>
    <w:p w14:paraId="473353D0">
      <w:pPr>
        <w:spacing w:before="79" w:line="227" w:lineRule="auto"/>
        <w:ind w:left="2"/>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4.1  </w:t>
      </w:r>
      <w:r>
        <w:rPr>
          <w:rFonts w:ascii="楷体" w:hAnsi="楷体" w:eastAsia="楷体" w:cs="楷体"/>
          <w:b/>
          <w:bCs/>
          <w:color w:val="auto"/>
          <w:spacing w:val="-2"/>
          <w:sz w:val="24"/>
          <w:szCs w:val="24"/>
          <w:highlight w:val="none"/>
        </w:rPr>
        <w:t>投标文件的密封和标识</w:t>
      </w:r>
    </w:p>
    <w:p w14:paraId="3D49D320">
      <w:pPr>
        <w:spacing w:before="171"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4.1.1  </w:t>
      </w:r>
      <w:r>
        <w:rPr>
          <w:rFonts w:ascii="宋体" w:hAnsi="宋体" w:eastAsia="宋体" w:cs="宋体"/>
          <w:color w:val="auto"/>
          <w:spacing w:val="-1"/>
          <w:sz w:val="24"/>
          <w:szCs w:val="24"/>
          <w:highlight w:val="none"/>
        </w:rPr>
        <w:t>光盘、样品等材料的包装和标记</w:t>
      </w:r>
    </w:p>
    <w:p w14:paraId="22C33064">
      <w:pPr>
        <w:spacing w:before="182" w:line="219"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光盘、样品等材料的外包装和标记要求：见投标人须知前附表。</w:t>
      </w:r>
    </w:p>
    <w:p w14:paraId="4441961A">
      <w:pPr>
        <w:spacing w:before="183" w:line="227" w:lineRule="auto"/>
        <w:ind w:left="2"/>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4.2  </w:t>
      </w:r>
      <w:r>
        <w:rPr>
          <w:rFonts w:ascii="楷体" w:hAnsi="楷体" w:eastAsia="楷体" w:cs="楷体"/>
          <w:b/>
          <w:bCs/>
          <w:color w:val="auto"/>
          <w:spacing w:val="-2"/>
          <w:sz w:val="24"/>
          <w:szCs w:val="24"/>
          <w:highlight w:val="none"/>
        </w:rPr>
        <w:t>投标文件的递交</w:t>
      </w:r>
    </w:p>
    <w:p w14:paraId="3D6FAFFE">
      <w:pPr>
        <w:spacing w:before="172"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4.2.1  </w:t>
      </w:r>
      <w:r>
        <w:rPr>
          <w:rFonts w:ascii="宋体" w:hAnsi="宋体" w:eastAsia="宋体" w:cs="宋体"/>
          <w:color w:val="auto"/>
          <w:spacing w:val="-1"/>
          <w:sz w:val="24"/>
          <w:szCs w:val="24"/>
          <w:highlight w:val="none"/>
        </w:rPr>
        <w:t>投标人应在本章第</w:t>
      </w:r>
      <w:r>
        <w:rPr>
          <w:rFonts w:ascii="Times New Roman" w:hAnsi="Times New Roman" w:eastAsia="Times New Roman" w:cs="Times New Roman"/>
          <w:color w:val="auto"/>
          <w:spacing w:val="-1"/>
          <w:sz w:val="24"/>
          <w:szCs w:val="24"/>
          <w:highlight w:val="none"/>
        </w:rPr>
        <w:t>1.10.3</w:t>
      </w:r>
      <w:r>
        <w:rPr>
          <w:rFonts w:ascii="宋体" w:hAnsi="宋体" w:eastAsia="宋体" w:cs="宋体"/>
          <w:color w:val="auto"/>
          <w:spacing w:val="-1"/>
          <w:sz w:val="24"/>
          <w:szCs w:val="24"/>
          <w:highlight w:val="none"/>
        </w:rPr>
        <w:t>项规定的投标截止时间前递交投标文件。</w:t>
      </w:r>
    </w:p>
    <w:p w14:paraId="3C507289">
      <w:pPr>
        <w:spacing w:before="182"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4.2.2  </w:t>
      </w:r>
      <w:r>
        <w:rPr>
          <w:rFonts w:ascii="宋体" w:hAnsi="宋体" w:eastAsia="宋体" w:cs="宋体"/>
          <w:color w:val="auto"/>
          <w:spacing w:val="-1"/>
          <w:sz w:val="24"/>
          <w:szCs w:val="24"/>
          <w:highlight w:val="none"/>
        </w:rPr>
        <w:t>投标人递交投标文件的方式和地点见投</w:t>
      </w:r>
      <w:r>
        <w:rPr>
          <w:rFonts w:ascii="宋体" w:hAnsi="宋体" w:eastAsia="宋体" w:cs="宋体"/>
          <w:color w:val="auto"/>
          <w:spacing w:val="-2"/>
          <w:sz w:val="24"/>
          <w:szCs w:val="24"/>
          <w:highlight w:val="none"/>
        </w:rPr>
        <w:t>标人须知前附表。</w:t>
      </w:r>
    </w:p>
    <w:p w14:paraId="73582F73">
      <w:pPr>
        <w:spacing w:line="219" w:lineRule="auto"/>
        <w:rPr>
          <w:rFonts w:ascii="宋体" w:hAnsi="宋体" w:eastAsia="宋体" w:cs="宋体"/>
          <w:color w:val="auto"/>
          <w:sz w:val="24"/>
          <w:szCs w:val="24"/>
          <w:highlight w:val="none"/>
        </w:rPr>
        <w:sectPr>
          <w:footerReference r:id="rId19" w:type="default"/>
          <w:pgSz w:w="11905" w:h="16840"/>
          <w:pgMar w:top="1428" w:right="1526" w:bottom="1255" w:left="1591" w:header="0" w:footer="1093" w:gutter="0"/>
          <w:pgNumType w:fmt="decimal"/>
          <w:cols w:space="720" w:num="1"/>
        </w:sectPr>
      </w:pPr>
    </w:p>
    <w:p w14:paraId="4DB29DBF">
      <w:pPr>
        <w:spacing w:before="47" w:line="220" w:lineRule="auto"/>
        <w:ind w:left="484"/>
        <w:rPr>
          <w:rFonts w:ascii="宋体" w:hAnsi="宋体" w:eastAsia="宋体" w:cs="宋体"/>
          <w:color w:val="auto"/>
          <w:sz w:val="24"/>
          <w:szCs w:val="24"/>
          <w:highlight w:val="none"/>
        </w:rPr>
      </w:pPr>
      <w:bookmarkStart w:id="47" w:name="bookmark377"/>
      <w:bookmarkEnd w:id="47"/>
      <w:r>
        <w:rPr>
          <w:rFonts w:ascii="Times New Roman" w:hAnsi="Times New Roman" w:eastAsia="Times New Roman" w:cs="Times New Roman"/>
          <w:b/>
          <w:bCs/>
          <w:color w:val="auto"/>
          <w:spacing w:val="-2"/>
          <w:sz w:val="24"/>
          <w:szCs w:val="24"/>
          <w:highlight w:val="none"/>
        </w:rPr>
        <w:t xml:space="preserve">4.2.3  </w:t>
      </w:r>
      <w:r>
        <w:rPr>
          <w:rFonts w:ascii="宋体" w:hAnsi="宋体" w:eastAsia="宋体" w:cs="宋体"/>
          <w:color w:val="auto"/>
          <w:spacing w:val="-2"/>
          <w:sz w:val="24"/>
          <w:szCs w:val="24"/>
          <w:highlight w:val="none"/>
        </w:rPr>
        <w:t>投标人所递交的投标文件不予退还。</w:t>
      </w:r>
    </w:p>
    <w:p w14:paraId="50D9C7B2">
      <w:pPr>
        <w:spacing w:before="181" w:line="289" w:lineRule="auto"/>
        <w:ind w:left="26" w:right="2" w:firstLine="45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4.2.4  </w:t>
      </w:r>
      <w:r>
        <w:rPr>
          <w:rFonts w:ascii="宋体" w:hAnsi="宋体" w:eastAsia="宋体" w:cs="宋体"/>
          <w:strike/>
          <w:dstrike w:val="0"/>
          <w:color w:val="auto"/>
          <w:sz w:val="24"/>
          <w:szCs w:val="24"/>
          <w:highlight w:val="none"/>
        </w:rPr>
        <w:t>投标人完成电子投标文件上传后，电子招标投标交易平台即时向投标人发</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2"/>
          <w:sz w:val="24"/>
          <w:szCs w:val="24"/>
          <w:highlight w:val="none"/>
        </w:rPr>
        <w:t>出递交回执通知。递交时间以递交回执通知载明的传输完成时间为</w:t>
      </w:r>
      <w:r>
        <w:rPr>
          <w:rFonts w:ascii="宋体" w:hAnsi="宋体" w:eastAsia="宋体" w:cs="宋体"/>
          <w:strike/>
          <w:dstrike w:val="0"/>
          <w:color w:val="auto"/>
          <w:spacing w:val="-3"/>
          <w:sz w:val="24"/>
          <w:szCs w:val="24"/>
          <w:highlight w:val="none"/>
        </w:rPr>
        <w:t>准。</w:t>
      </w:r>
    </w:p>
    <w:p w14:paraId="1D424838">
      <w:pPr>
        <w:spacing w:before="182"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4.2.5  </w:t>
      </w:r>
      <w:r>
        <w:rPr>
          <w:rFonts w:ascii="宋体" w:hAnsi="宋体" w:eastAsia="宋体" w:cs="宋体"/>
          <w:color w:val="auto"/>
          <w:spacing w:val="-1"/>
          <w:sz w:val="24"/>
          <w:szCs w:val="24"/>
          <w:highlight w:val="none"/>
        </w:rPr>
        <w:t>当出现投标人须知前附表规定的任何一种情形的，其投标文件将被拒收。</w:t>
      </w:r>
    </w:p>
    <w:p w14:paraId="3DBB4DF5">
      <w:pPr>
        <w:spacing w:before="182" w:line="227" w:lineRule="auto"/>
        <w:ind w:left="2"/>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  </w:t>
      </w:r>
      <w:r>
        <w:rPr>
          <w:rFonts w:ascii="楷体" w:hAnsi="楷体" w:eastAsia="楷体" w:cs="楷体"/>
          <w:b/>
          <w:bCs/>
          <w:color w:val="auto"/>
          <w:spacing w:val="-2"/>
          <w:sz w:val="24"/>
          <w:szCs w:val="24"/>
          <w:highlight w:val="none"/>
        </w:rPr>
        <w:t>投标文件的修改与撤回</w:t>
      </w:r>
    </w:p>
    <w:p w14:paraId="35A3FE62">
      <w:pPr>
        <w:spacing w:before="171" w:line="289" w:lineRule="auto"/>
        <w:ind w:left="8" w:right="2" w:firstLine="47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4.3.1  </w:t>
      </w:r>
      <w:r>
        <w:rPr>
          <w:rFonts w:ascii="宋体" w:hAnsi="宋体" w:eastAsia="宋体" w:cs="宋体"/>
          <w:color w:val="auto"/>
          <w:spacing w:val="-2"/>
          <w:sz w:val="24"/>
          <w:szCs w:val="24"/>
          <w:highlight w:val="none"/>
        </w:rPr>
        <w:t>在本章第</w:t>
      </w:r>
      <w:r>
        <w:rPr>
          <w:rFonts w:ascii="Times New Roman" w:hAnsi="Times New Roman" w:eastAsia="Times New Roman" w:cs="Times New Roman"/>
          <w:color w:val="auto"/>
          <w:spacing w:val="-2"/>
          <w:sz w:val="24"/>
          <w:szCs w:val="24"/>
          <w:highlight w:val="none"/>
        </w:rPr>
        <w:t>1.10.3</w:t>
      </w:r>
      <w:r>
        <w:rPr>
          <w:rFonts w:ascii="宋体" w:hAnsi="宋体" w:eastAsia="宋体" w:cs="宋体"/>
          <w:color w:val="auto"/>
          <w:spacing w:val="-2"/>
          <w:sz w:val="24"/>
          <w:szCs w:val="24"/>
          <w:highlight w:val="none"/>
        </w:rPr>
        <w:t>项规定的投标截止时间</w:t>
      </w:r>
      <w:r>
        <w:rPr>
          <w:rFonts w:ascii="宋体" w:hAnsi="宋体" w:eastAsia="宋体" w:cs="宋体"/>
          <w:color w:val="auto"/>
          <w:spacing w:val="-3"/>
          <w:sz w:val="24"/>
          <w:szCs w:val="24"/>
          <w:highlight w:val="none"/>
        </w:rPr>
        <w:t>前，投标人可以修改或撤回已递交的</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投标文件。</w:t>
      </w:r>
    </w:p>
    <w:p w14:paraId="23BC9775">
      <w:pPr>
        <w:spacing w:before="181" w:line="313" w:lineRule="auto"/>
        <w:ind w:left="6" w:firstLine="47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4.3.2  </w:t>
      </w:r>
      <w:r>
        <w:rPr>
          <w:rFonts w:ascii="Times New Roman" w:hAnsi="Times New Roman" w:eastAsia="宋体" w:cs="Times New Roman"/>
          <w:color w:val="auto"/>
          <w:sz w:val="24"/>
          <w:szCs w:val="24"/>
          <w:highlight w:val="none"/>
          <w:lang w:eastAsia="zh-CN"/>
        </w:rPr>
        <w:t>投标人修改或撤回已递交投标文件的书面通知应按照本章第3.7.3项的要求签字或盖章。</w:t>
      </w:r>
    </w:p>
    <w:p w14:paraId="0D103BB8">
      <w:pPr>
        <w:spacing w:before="182" w:line="289" w:lineRule="auto"/>
        <w:ind w:right="1" w:firstLine="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4.3.3  </w:t>
      </w:r>
      <w:r>
        <w:rPr>
          <w:rFonts w:ascii="宋体" w:hAnsi="宋体" w:eastAsia="宋体" w:cs="宋体"/>
          <w:color w:val="auto"/>
          <w:spacing w:val="-2"/>
          <w:sz w:val="24"/>
          <w:szCs w:val="24"/>
          <w:highlight w:val="none"/>
        </w:rPr>
        <w:t>修改的内容为投标文件的组</w:t>
      </w:r>
      <w:r>
        <w:rPr>
          <w:rFonts w:ascii="宋体" w:hAnsi="宋体" w:eastAsia="宋体" w:cs="宋体"/>
          <w:color w:val="auto"/>
          <w:spacing w:val="-3"/>
          <w:sz w:val="24"/>
          <w:szCs w:val="24"/>
          <w:highlight w:val="none"/>
        </w:rPr>
        <w:t>成部分。修改的投标文件应按照本章第</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节、第</w:t>
      </w:r>
      <w:r>
        <w:rPr>
          <w:rFonts w:ascii="宋体" w:hAnsi="宋体" w:eastAsia="宋体" w:cs="宋体"/>
          <w:color w:val="auto"/>
          <w:sz w:val="24"/>
          <w:szCs w:val="24"/>
          <w:highlight w:val="none"/>
        </w:rPr>
        <w:t xml:space="preserve"> </w:t>
      </w:r>
      <w:r>
        <w:rPr>
          <w:rFonts w:ascii="Times New Roman" w:hAnsi="Times New Roman" w:eastAsia="Times New Roman" w:cs="Times New Roman"/>
          <w:color w:val="auto"/>
          <w:spacing w:val="-3"/>
          <w:sz w:val="24"/>
          <w:szCs w:val="24"/>
          <w:highlight w:val="none"/>
        </w:rPr>
        <w:t>4</w:t>
      </w:r>
      <w:r>
        <w:rPr>
          <w:rFonts w:ascii="宋体" w:hAnsi="宋体" w:eastAsia="宋体" w:cs="宋体"/>
          <w:color w:val="auto"/>
          <w:spacing w:val="-3"/>
          <w:sz w:val="24"/>
          <w:szCs w:val="24"/>
          <w:highlight w:val="none"/>
        </w:rPr>
        <w:t>节规定进行编制并递交。</w:t>
      </w:r>
    </w:p>
    <w:p w14:paraId="1B29FA20">
      <w:pPr>
        <w:spacing w:before="182" w:line="289" w:lineRule="auto"/>
        <w:ind w:left="4" w:right="1" w:firstLine="479"/>
        <w:rPr>
          <w:rFonts w:ascii="宋体" w:hAnsi="宋体" w:eastAsia="宋体" w:cs="宋体"/>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4.3.4  </w:t>
      </w:r>
      <w:r>
        <w:rPr>
          <w:rFonts w:ascii="宋体" w:hAnsi="宋体" w:eastAsia="宋体" w:cs="宋体"/>
          <w:strike/>
          <w:dstrike w:val="0"/>
          <w:color w:val="auto"/>
          <w:spacing w:val="-2"/>
          <w:sz w:val="24"/>
          <w:szCs w:val="24"/>
          <w:highlight w:val="none"/>
        </w:rPr>
        <w:t>投标人撤回投标文件的，招</w:t>
      </w:r>
      <w:r>
        <w:rPr>
          <w:rFonts w:ascii="宋体" w:hAnsi="宋体" w:eastAsia="宋体" w:cs="宋体"/>
          <w:strike/>
          <w:dstrike w:val="0"/>
          <w:color w:val="auto"/>
          <w:spacing w:val="-3"/>
          <w:sz w:val="24"/>
          <w:szCs w:val="24"/>
          <w:highlight w:val="none"/>
        </w:rPr>
        <w:t>标人自收到投标人书面撤回通知之日起</w:t>
      </w:r>
      <w:r>
        <w:rPr>
          <w:rFonts w:ascii="Times New Roman" w:hAnsi="Times New Roman" w:eastAsia="Times New Roman" w:cs="Times New Roman"/>
          <w:strike/>
          <w:dstrike w:val="0"/>
          <w:color w:val="auto"/>
          <w:spacing w:val="-3"/>
          <w:sz w:val="24"/>
          <w:szCs w:val="24"/>
          <w:highlight w:val="none"/>
        </w:rPr>
        <w:t>5</w:t>
      </w:r>
      <w:r>
        <w:rPr>
          <w:rFonts w:ascii="宋体" w:hAnsi="宋体" w:eastAsia="宋体" w:cs="宋体"/>
          <w:strike/>
          <w:dstrike w:val="0"/>
          <w:color w:val="auto"/>
          <w:spacing w:val="-3"/>
          <w:sz w:val="24"/>
          <w:szCs w:val="24"/>
          <w:highlight w:val="none"/>
        </w:rPr>
        <w:t>日内退</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还已收取的投标保证金及银行活期存款利息。</w:t>
      </w:r>
    </w:p>
    <w:p w14:paraId="138AC4B3">
      <w:pPr>
        <w:spacing w:before="308" w:line="227" w:lineRule="auto"/>
        <w:ind w:left="5"/>
        <w:outlineLvl w:val="2"/>
        <w:rPr>
          <w:rFonts w:ascii="宋体" w:hAnsi="宋体" w:eastAsia="宋体" w:cs="宋体"/>
          <w:color w:val="auto"/>
          <w:sz w:val="27"/>
          <w:szCs w:val="27"/>
          <w:highlight w:val="none"/>
        </w:rPr>
      </w:pPr>
      <w:bookmarkStart w:id="48" w:name="bookmark29"/>
      <w:bookmarkEnd w:id="48"/>
      <w:bookmarkStart w:id="49" w:name="_Toc17445"/>
      <w:r>
        <w:rPr>
          <w:rFonts w:ascii="Times New Roman" w:hAnsi="Times New Roman" w:eastAsia="Times New Roman" w:cs="Times New Roman"/>
          <w:b/>
          <w:bCs/>
          <w:color w:val="auto"/>
          <w:spacing w:val="-1"/>
          <w:sz w:val="27"/>
          <w:szCs w:val="27"/>
          <w:highlight w:val="none"/>
        </w:rPr>
        <w:t>5</w:t>
      </w:r>
      <w:r>
        <w:rPr>
          <w:rFonts w:ascii="Times New Roman" w:hAnsi="Times New Roman" w:eastAsia="Times New Roman" w:cs="Times New Roman"/>
          <w:b/>
          <w:bCs/>
          <w:color w:val="auto"/>
          <w:spacing w:val="9"/>
          <w:sz w:val="27"/>
          <w:szCs w:val="27"/>
          <w:highlight w:val="none"/>
        </w:rPr>
        <w:t xml:space="preserve">  </w:t>
      </w:r>
      <w:r>
        <w:rPr>
          <w:rFonts w:ascii="宋体" w:hAnsi="宋体" w:eastAsia="宋体" w:cs="宋体"/>
          <w:b/>
          <w:bCs/>
          <w:color w:val="auto"/>
          <w:spacing w:val="-1"/>
          <w:sz w:val="27"/>
          <w:szCs w:val="27"/>
          <w:highlight w:val="none"/>
        </w:rPr>
        <w:t>开标</w:t>
      </w:r>
      <w:bookmarkEnd w:id="49"/>
    </w:p>
    <w:p w14:paraId="678465CC">
      <w:pPr>
        <w:pStyle w:val="8"/>
        <w:spacing w:line="246" w:lineRule="auto"/>
        <w:rPr>
          <w:color w:val="auto"/>
          <w:highlight w:val="none"/>
        </w:rPr>
      </w:pPr>
    </w:p>
    <w:p w14:paraId="1AEBB10C">
      <w:pPr>
        <w:spacing w:before="79" w:line="227" w:lineRule="auto"/>
        <w:ind w:left="4"/>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5.1</w:t>
      </w:r>
      <w:r>
        <w:rPr>
          <w:rFonts w:ascii="楷体" w:hAnsi="楷体" w:eastAsia="楷体" w:cs="楷体"/>
          <w:b/>
          <w:bCs/>
          <w:color w:val="auto"/>
          <w:spacing w:val="-2"/>
          <w:sz w:val="24"/>
          <w:szCs w:val="24"/>
          <w:highlight w:val="none"/>
        </w:rPr>
        <w:t>开标时间和地点</w:t>
      </w:r>
    </w:p>
    <w:p w14:paraId="6DFCD04B">
      <w:pPr>
        <w:spacing w:before="172" w:line="359" w:lineRule="auto"/>
        <w:ind w:left="10" w:firstLine="476"/>
        <w:rPr>
          <w:rFonts w:ascii="宋体" w:hAnsi="宋体" w:eastAsia="宋体" w:cs="宋体"/>
          <w:color w:val="auto"/>
          <w:sz w:val="24"/>
          <w:szCs w:val="24"/>
          <w:highlight w:val="none"/>
        </w:rPr>
      </w:pPr>
      <w:r>
        <w:rPr>
          <w:rFonts w:ascii="宋体" w:hAnsi="宋体" w:eastAsia="宋体" w:cs="宋体"/>
          <w:color w:val="auto"/>
          <w:sz w:val="24"/>
          <w:szCs w:val="24"/>
          <w:highlight w:val="none"/>
        </w:rPr>
        <w:t>招标人在本章第</w:t>
      </w:r>
      <w:r>
        <w:rPr>
          <w:rFonts w:ascii="Times New Roman" w:hAnsi="Times New Roman" w:eastAsia="Times New Roman" w:cs="Times New Roman"/>
          <w:color w:val="auto"/>
          <w:sz w:val="24"/>
          <w:szCs w:val="24"/>
          <w:highlight w:val="none"/>
        </w:rPr>
        <w:t>1.10.3</w:t>
      </w:r>
      <w:r>
        <w:rPr>
          <w:rFonts w:ascii="宋体" w:hAnsi="宋体" w:eastAsia="宋体" w:cs="宋体"/>
          <w:color w:val="auto"/>
          <w:sz w:val="24"/>
          <w:szCs w:val="24"/>
          <w:highlight w:val="none"/>
        </w:rPr>
        <w:t>项规定的投标截止时间（开标时间</w:t>
      </w:r>
      <w:r>
        <w:rPr>
          <w:rFonts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lang w:val="en-US" w:eastAsia="zh-CN"/>
        </w:rPr>
        <w:t>在绍兴市公共资源交易中心越城区分中心三楼指定开标室（延安东路660号）</w:t>
      </w:r>
      <w:r>
        <w:rPr>
          <w:rFonts w:ascii="宋体" w:hAnsi="宋体" w:eastAsia="宋体" w:cs="宋体"/>
          <w:color w:val="auto"/>
          <w:spacing w:val="-2"/>
          <w:sz w:val="24"/>
          <w:szCs w:val="24"/>
          <w:highlight w:val="none"/>
        </w:rPr>
        <w:t>公开开标，具体要求见投标人须知前附表规定。</w:t>
      </w:r>
    </w:p>
    <w:p w14:paraId="781F33EF">
      <w:pPr>
        <w:spacing w:line="226" w:lineRule="auto"/>
        <w:ind w:left="4"/>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5.2</w:t>
      </w:r>
      <w:r>
        <w:rPr>
          <w:rFonts w:ascii="Times New Roman" w:hAnsi="Times New Roman" w:eastAsia="Times New Roman" w:cs="Times New Roman"/>
          <w:b/>
          <w:bCs/>
          <w:color w:val="auto"/>
          <w:spacing w:val="7"/>
          <w:sz w:val="24"/>
          <w:szCs w:val="24"/>
          <w:highlight w:val="none"/>
        </w:rPr>
        <w:t xml:space="preserve">  </w:t>
      </w:r>
      <w:r>
        <w:rPr>
          <w:rFonts w:ascii="楷体" w:hAnsi="楷体" w:eastAsia="楷体" w:cs="楷体"/>
          <w:b/>
          <w:bCs/>
          <w:color w:val="auto"/>
          <w:spacing w:val="-4"/>
          <w:sz w:val="24"/>
          <w:szCs w:val="24"/>
          <w:highlight w:val="none"/>
        </w:rPr>
        <w:t>开标程序</w:t>
      </w:r>
    </w:p>
    <w:p w14:paraId="720FB314">
      <w:pPr>
        <w:spacing w:before="173" w:line="219" w:lineRule="auto"/>
        <w:ind w:left="49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开标程序见投标人须知前附表。</w:t>
      </w:r>
    </w:p>
    <w:p w14:paraId="41E8EAA7">
      <w:pPr>
        <w:spacing w:before="182" w:line="223" w:lineRule="auto"/>
        <w:ind w:left="4"/>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5.3</w:t>
      </w:r>
      <w:r>
        <w:rPr>
          <w:rFonts w:ascii="Times New Roman" w:hAnsi="Times New Roman" w:eastAsia="Times New Roman" w:cs="Times New Roman"/>
          <w:b/>
          <w:bCs/>
          <w:color w:val="auto"/>
          <w:spacing w:val="9"/>
          <w:sz w:val="24"/>
          <w:szCs w:val="24"/>
          <w:highlight w:val="none"/>
        </w:rPr>
        <w:t xml:space="preserve">  </w:t>
      </w:r>
      <w:r>
        <w:rPr>
          <w:rFonts w:ascii="楷体" w:hAnsi="楷体" w:eastAsia="楷体" w:cs="楷体"/>
          <w:b/>
          <w:bCs/>
          <w:color w:val="auto"/>
          <w:spacing w:val="-4"/>
          <w:sz w:val="24"/>
          <w:szCs w:val="24"/>
          <w:highlight w:val="none"/>
        </w:rPr>
        <w:t>特殊情况处置</w:t>
      </w:r>
    </w:p>
    <w:p w14:paraId="4025F8C6">
      <w:pPr>
        <w:spacing w:before="177" w:line="219" w:lineRule="auto"/>
        <w:ind w:left="49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特殊情况处置见投标人须知前附表。</w:t>
      </w:r>
    </w:p>
    <w:p w14:paraId="0BE8664B">
      <w:pPr>
        <w:spacing w:before="182" w:line="225" w:lineRule="auto"/>
        <w:ind w:left="4"/>
        <w:rPr>
          <w:rFonts w:ascii="楷体" w:hAnsi="楷体" w:eastAsia="楷体" w:cs="楷体"/>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5.4  </w:t>
      </w:r>
      <w:r>
        <w:rPr>
          <w:rFonts w:ascii="楷体" w:hAnsi="楷体" w:eastAsia="楷体" w:cs="楷体"/>
          <w:b/>
          <w:bCs/>
          <w:strike/>
          <w:dstrike w:val="0"/>
          <w:color w:val="auto"/>
          <w:spacing w:val="-2"/>
          <w:sz w:val="24"/>
          <w:szCs w:val="24"/>
          <w:highlight w:val="none"/>
        </w:rPr>
        <w:t>开标异议</w:t>
      </w:r>
    </w:p>
    <w:p w14:paraId="7EF3C750">
      <w:pPr>
        <w:spacing w:before="175" w:line="361" w:lineRule="auto"/>
        <w:ind w:left="11" w:right="1" w:firstLine="477"/>
        <w:rPr>
          <w:rFonts w:ascii="宋体" w:hAnsi="宋体" w:eastAsia="宋体" w:cs="宋体"/>
          <w:strike/>
          <w:dstrike w:val="0"/>
          <w:color w:val="auto"/>
          <w:spacing w:val="-3"/>
          <w:sz w:val="24"/>
          <w:szCs w:val="24"/>
          <w:highlight w:val="none"/>
        </w:rPr>
      </w:pPr>
      <w:r>
        <w:rPr>
          <w:rFonts w:ascii="宋体" w:hAnsi="宋体" w:eastAsia="宋体" w:cs="宋体"/>
          <w:strike/>
          <w:dstrike w:val="0"/>
          <w:color w:val="auto"/>
          <w:spacing w:val="-3"/>
          <w:sz w:val="24"/>
          <w:szCs w:val="24"/>
          <w:highlight w:val="none"/>
        </w:rPr>
        <w:t>投标人对开标有异议的，应当通过电子招标投标交易平台提出，招标人将在开标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结束前通过电子招标投标交易平台作出答复。</w:t>
      </w:r>
    </w:p>
    <w:p w14:paraId="16E446ED">
      <w:pPr>
        <w:spacing w:before="175" w:line="361" w:lineRule="auto"/>
        <w:ind w:left="11" w:right="1" w:firstLine="477"/>
        <w:rPr>
          <w:rFonts w:hint="eastAsia" w:ascii="宋体" w:hAnsi="宋体" w:eastAsia="宋体" w:cs="宋体"/>
          <w:strike w:val="0"/>
          <w:dstrike w:val="0"/>
          <w:color w:val="auto"/>
          <w:spacing w:val="-3"/>
          <w:sz w:val="24"/>
          <w:szCs w:val="24"/>
          <w:highlight w:val="none"/>
          <w:lang w:val="en-US" w:eastAsia="zh-CN"/>
        </w:rPr>
      </w:pPr>
      <w:r>
        <w:rPr>
          <w:rFonts w:hint="eastAsia" w:ascii="宋体" w:hAnsi="宋体" w:eastAsia="宋体" w:cs="宋体"/>
          <w:strike w:val="0"/>
          <w:dstrike w:val="0"/>
          <w:color w:val="auto"/>
          <w:spacing w:val="-3"/>
          <w:sz w:val="24"/>
          <w:szCs w:val="24"/>
          <w:highlight w:val="none"/>
          <w:lang w:val="en-US" w:eastAsia="zh-CN"/>
        </w:rPr>
        <w:t>投标人认为开标不符合有关规定的，应当在开标时通过电子邮箱（2429136371@qq.com）向招标人提出异议并电话告知（13656752180）。招标人将当场对异议给予处理或者告知处理的办法。异议和答复应记入开标记录或者制作专门记录以存档备查。</w:t>
      </w:r>
    </w:p>
    <w:p w14:paraId="7A100B7E">
      <w:pPr>
        <w:pStyle w:val="2"/>
        <w:rPr>
          <w:rFonts w:hint="default"/>
          <w:color w:val="auto"/>
          <w:highlight w:val="none"/>
          <w:lang w:val="en-US" w:eastAsia="zh-CN"/>
        </w:rPr>
      </w:pPr>
    </w:p>
    <w:p w14:paraId="32E11EF8">
      <w:pPr>
        <w:spacing w:before="121" w:line="227" w:lineRule="auto"/>
        <w:ind w:left="6"/>
        <w:outlineLvl w:val="2"/>
        <w:rPr>
          <w:color w:val="auto"/>
          <w:highlight w:val="none"/>
        </w:rPr>
      </w:pPr>
      <w:bookmarkStart w:id="50" w:name="bookmark30"/>
      <w:bookmarkEnd w:id="50"/>
      <w:bookmarkStart w:id="51" w:name="_Toc14750"/>
      <w:r>
        <w:rPr>
          <w:rFonts w:ascii="Times New Roman" w:hAnsi="Times New Roman" w:eastAsia="Times New Roman" w:cs="Times New Roman"/>
          <w:b/>
          <w:bCs/>
          <w:color w:val="auto"/>
          <w:spacing w:val="-1"/>
          <w:sz w:val="27"/>
          <w:szCs w:val="27"/>
          <w:highlight w:val="none"/>
        </w:rPr>
        <w:t>6</w:t>
      </w:r>
      <w:r>
        <w:rPr>
          <w:rFonts w:ascii="Times New Roman" w:hAnsi="Times New Roman" w:eastAsia="Times New Roman" w:cs="Times New Roman"/>
          <w:b/>
          <w:bCs/>
          <w:color w:val="auto"/>
          <w:spacing w:val="8"/>
          <w:sz w:val="27"/>
          <w:szCs w:val="27"/>
          <w:highlight w:val="none"/>
        </w:rPr>
        <w:t xml:space="preserve">  </w:t>
      </w:r>
      <w:r>
        <w:rPr>
          <w:rFonts w:ascii="宋体" w:hAnsi="宋体" w:eastAsia="宋体" w:cs="宋体"/>
          <w:b/>
          <w:bCs/>
          <w:color w:val="auto"/>
          <w:spacing w:val="-1"/>
          <w:sz w:val="27"/>
          <w:szCs w:val="27"/>
          <w:highlight w:val="none"/>
        </w:rPr>
        <w:t>评标</w:t>
      </w:r>
      <w:bookmarkEnd w:id="51"/>
    </w:p>
    <w:p w14:paraId="090624F0">
      <w:pPr>
        <w:spacing w:before="79" w:line="223" w:lineRule="auto"/>
        <w:ind w:left="5"/>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6.1  </w:t>
      </w:r>
      <w:r>
        <w:rPr>
          <w:rFonts w:ascii="楷体" w:hAnsi="楷体" w:eastAsia="楷体" w:cs="楷体"/>
          <w:b/>
          <w:bCs/>
          <w:color w:val="auto"/>
          <w:spacing w:val="-2"/>
          <w:sz w:val="24"/>
          <w:szCs w:val="24"/>
          <w:highlight w:val="none"/>
        </w:rPr>
        <w:t>评标委员会</w:t>
      </w:r>
    </w:p>
    <w:p w14:paraId="30308F24">
      <w:pPr>
        <w:spacing w:before="48" w:line="359" w:lineRule="auto"/>
        <w:ind w:right="84"/>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6.1.1  </w:t>
      </w:r>
      <w:r>
        <w:rPr>
          <w:rFonts w:ascii="宋体" w:hAnsi="宋体" w:eastAsia="宋体" w:cs="宋体"/>
          <w:color w:val="auto"/>
          <w:sz w:val="24"/>
          <w:szCs w:val="24"/>
          <w:highlight w:val="none"/>
        </w:rPr>
        <w:t>评标由招标人依法组建的评标委员会负责。评标委员会由招标人或其委托</w:t>
      </w:r>
      <w:r>
        <w:rPr>
          <w:rFonts w:ascii="宋体" w:hAnsi="宋体" w:eastAsia="宋体" w:cs="宋体"/>
          <w:color w:val="auto"/>
          <w:spacing w:val="-3"/>
          <w:sz w:val="24"/>
          <w:szCs w:val="24"/>
          <w:highlight w:val="none"/>
        </w:rPr>
        <w:t>的招标代理机构熟悉相关业务的代表，以及有关技术、</w:t>
      </w:r>
      <w:r>
        <w:rPr>
          <w:rFonts w:ascii="宋体" w:hAnsi="宋体" w:eastAsia="宋体" w:cs="宋体"/>
          <w:color w:val="auto"/>
          <w:spacing w:val="-4"/>
          <w:sz w:val="24"/>
          <w:szCs w:val="24"/>
          <w:highlight w:val="none"/>
        </w:rPr>
        <w:t>经济等方面的专家组成。评标</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委员会成员人数以及技术、经济等方面专家的确定方式见</w:t>
      </w:r>
      <w:r>
        <w:rPr>
          <w:rFonts w:ascii="宋体" w:hAnsi="宋体" w:eastAsia="宋体" w:cs="宋体"/>
          <w:color w:val="auto"/>
          <w:spacing w:val="-2"/>
          <w:sz w:val="24"/>
          <w:szCs w:val="24"/>
          <w:highlight w:val="none"/>
        </w:rPr>
        <w:t>投标人须知前附表。</w:t>
      </w:r>
    </w:p>
    <w:p w14:paraId="17121B2B">
      <w:pPr>
        <w:spacing w:before="1" w:line="218" w:lineRule="auto"/>
        <w:ind w:left="483"/>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6.1.2  </w:t>
      </w:r>
      <w:r>
        <w:rPr>
          <w:rFonts w:ascii="宋体" w:hAnsi="宋体" w:eastAsia="宋体" w:cs="宋体"/>
          <w:color w:val="auto"/>
          <w:spacing w:val="-2"/>
          <w:sz w:val="24"/>
          <w:szCs w:val="24"/>
          <w:highlight w:val="none"/>
        </w:rPr>
        <w:t>评标委员会成员有下列情形之一的，应当回</w:t>
      </w:r>
      <w:r>
        <w:rPr>
          <w:rFonts w:ascii="宋体" w:hAnsi="宋体" w:eastAsia="宋体" w:cs="宋体"/>
          <w:color w:val="auto"/>
          <w:spacing w:val="-3"/>
          <w:sz w:val="24"/>
          <w:szCs w:val="24"/>
          <w:highlight w:val="none"/>
        </w:rPr>
        <w:t>避：</w:t>
      </w:r>
    </w:p>
    <w:p w14:paraId="1E61D269">
      <w:pPr>
        <w:spacing w:before="181" w:line="220"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）投标人或投标人的主要负责人的近亲属。</w:t>
      </w:r>
    </w:p>
    <w:p w14:paraId="75434993">
      <w:pPr>
        <w:spacing w:before="180" w:line="220"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）项目主管部门或者行政监督部门的人员。</w:t>
      </w:r>
    </w:p>
    <w:p w14:paraId="63FFD009">
      <w:pPr>
        <w:spacing w:before="181" w:line="220"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）与投标人有经济利益关系，可能影响对投标公正评审的。</w:t>
      </w:r>
    </w:p>
    <w:p w14:paraId="27EB67A1">
      <w:pPr>
        <w:spacing w:before="180" w:line="290" w:lineRule="auto"/>
        <w:ind w:right="95"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4</w:t>
      </w:r>
      <w:r>
        <w:rPr>
          <w:rFonts w:ascii="宋体" w:hAnsi="宋体" w:eastAsia="宋体" w:cs="宋体"/>
          <w:color w:val="auto"/>
          <w:sz w:val="24"/>
          <w:szCs w:val="24"/>
          <w:highlight w:val="none"/>
        </w:rPr>
        <w:t>）曾因在招标、评标以及其他与招标投标有关活动中从事违法行为而受</w:t>
      </w:r>
      <w:r>
        <w:rPr>
          <w:rFonts w:ascii="宋体" w:hAnsi="宋体" w:eastAsia="宋体" w:cs="宋体"/>
          <w:color w:val="auto"/>
          <w:spacing w:val="-1"/>
          <w:sz w:val="24"/>
          <w:szCs w:val="24"/>
          <w:highlight w:val="none"/>
        </w:rPr>
        <w:t>过行</w:t>
      </w:r>
      <w:r>
        <w:rPr>
          <w:rFonts w:ascii="宋体" w:hAnsi="宋体" w:eastAsia="宋体" w:cs="宋体"/>
          <w:color w:val="auto"/>
          <w:spacing w:val="-4"/>
          <w:sz w:val="24"/>
          <w:szCs w:val="24"/>
          <w:highlight w:val="none"/>
        </w:rPr>
        <w:t>政处罚或刑事处罚的。</w:t>
      </w:r>
    </w:p>
    <w:p w14:paraId="62725FA2">
      <w:pPr>
        <w:spacing w:before="181" w:line="219"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）法律、法规、规章规定应当回避的其</w:t>
      </w:r>
      <w:r>
        <w:rPr>
          <w:rFonts w:ascii="宋体" w:hAnsi="宋体" w:eastAsia="宋体" w:cs="宋体"/>
          <w:color w:val="auto"/>
          <w:spacing w:val="-3"/>
          <w:sz w:val="24"/>
          <w:szCs w:val="24"/>
          <w:highlight w:val="none"/>
        </w:rPr>
        <w:t>他情形。</w:t>
      </w:r>
    </w:p>
    <w:p w14:paraId="7D92C306">
      <w:pPr>
        <w:spacing w:before="183"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6.2</w:t>
      </w:r>
      <w:r>
        <w:rPr>
          <w:rFonts w:ascii="Times New Roman" w:hAnsi="Times New Roman" w:eastAsia="Times New Roman" w:cs="Times New Roman"/>
          <w:b/>
          <w:bCs/>
          <w:color w:val="auto"/>
          <w:spacing w:val="6"/>
          <w:sz w:val="24"/>
          <w:szCs w:val="24"/>
          <w:highlight w:val="none"/>
        </w:rPr>
        <w:t xml:space="preserve">  </w:t>
      </w:r>
      <w:r>
        <w:rPr>
          <w:rFonts w:ascii="楷体" w:hAnsi="楷体" w:eastAsia="楷体" w:cs="楷体"/>
          <w:b/>
          <w:bCs/>
          <w:color w:val="auto"/>
          <w:spacing w:val="-4"/>
          <w:sz w:val="24"/>
          <w:szCs w:val="24"/>
          <w:highlight w:val="none"/>
        </w:rPr>
        <w:t>评标原则</w:t>
      </w:r>
    </w:p>
    <w:p w14:paraId="2A287790">
      <w:pPr>
        <w:spacing w:before="176"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评标活动遵循公平、公正、科学和择优的原则。</w:t>
      </w:r>
    </w:p>
    <w:p w14:paraId="308AAFD8">
      <w:pPr>
        <w:spacing w:before="183"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6.3  </w:t>
      </w:r>
      <w:r>
        <w:rPr>
          <w:rFonts w:ascii="楷体" w:hAnsi="楷体" w:eastAsia="楷体" w:cs="楷体"/>
          <w:b/>
          <w:bCs/>
          <w:color w:val="auto"/>
          <w:spacing w:val="-2"/>
          <w:sz w:val="24"/>
          <w:szCs w:val="24"/>
          <w:highlight w:val="none"/>
        </w:rPr>
        <w:t>评标办法与中标候选人推荐</w:t>
      </w:r>
    </w:p>
    <w:p w14:paraId="13D2BEFF">
      <w:pPr>
        <w:spacing w:before="177" w:line="359" w:lineRule="auto"/>
        <w:ind w:left="2" w:right="82" w:firstLine="478"/>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评标委员会按照第三章“评标办法”规定的方法、评审因素、标准和程序对投标</w:t>
      </w:r>
      <w:r>
        <w:rPr>
          <w:rFonts w:ascii="宋体" w:hAnsi="宋体" w:eastAsia="宋体" w:cs="宋体"/>
          <w:color w:val="auto"/>
          <w:spacing w:val="-6"/>
          <w:sz w:val="24"/>
          <w:szCs w:val="24"/>
          <w:highlight w:val="none"/>
        </w:rPr>
        <w:t>文件进行评审并推荐中标候选人，中标候选人数量详见投标人须知前附表。第</w:t>
      </w:r>
      <w:r>
        <w:rPr>
          <w:rFonts w:ascii="Times New Roman" w:hAnsi="Times New Roman" w:eastAsia="Times New Roman" w:cs="Times New Roman"/>
          <w:color w:val="auto"/>
          <w:spacing w:val="-6"/>
          <w:sz w:val="24"/>
          <w:szCs w:val="24"/>
          <w:highlight w:val="none"/>
        </w:rPr>
        <w:t>3</w:t>
      </w:r>
      <w:r>
        <w:rPr>
          <w:rFonts w:ascii="宋体" w:hAnsi="宋体" w:eastAsia="宋体" w:cs="宋体"/>
          <w:color w:val="auto"/>
          <w:spacing w:val="-6"/>
          <w:sz w:val="24"/>
          <w:szCs w:val="24"/>
          <w:highlight w:val="none"/>
        </w:rPr>
        <w:t>章“评</w:t>
      </w:r>
      <w:r>
        <w:rPr>
          <w:rFonts w:ascii="宋体" w:hAnsi="宋体" w:eastAsia="宋体" w:cs="宋体"/>
          <w:color w:val="auto"/>
          <w:spacing w:val="-2"/>
          <w:sz w:val="24"/>
          <w:szCs w:val="24"/>
          <w:highlight w:val="none"/>
        </w:rPr>
        <w:t>标办法”没有规定的方法、评审因素和标准，不作为评标依据。</w:t>
      </w:r>
    </w:p>
    <w:p w14:paraId="355140AC">
      <w:pPr>
        <w:spacing w:line="222"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6.4</w:t>
      </w:r>
      <w:r>
        <w:rPr>
          <w:rFonts w:ascii="Times New Roman" w:hAnsi="Times New Roman" w:eastAsia="Times New Roman" w:cs="Times New Roman"/>
          <w:b/>
          <w:bCs/>
          <w:color w:val="auto"/>
          <w:spacing w:val="21"/>
          <w:w w:val="101"/>
          <w:sz w:val="24"/>
          <w:szCs w:val="24"/>
          <w:highlight w:val="none"/>
        </w:rPr>
        <w:t xml:space="preserve">  </w:t>
      </w:r>
      <w:r>
        <w:rPr>
          <w:rFonts w:ascii="楷体" w:hAnsi="楷体" w:eastAsia="楷体" w:cs="楷体"/>
          <w:b/>
          <w:bCs/>
          <w:color w:val="auto"/>
          <w:spacing w:val="-5"/>
          <w:sz w:val="24"/>
          <w:szCs w:val="24"/>
          <w:highlight w:val="none"/>
        </w:rPr>
        <w:t>中标候选人公示及媒介</w:t>
      </w:r>
    </w:p>
    <w:p w14:paraId="199C6122">
      <w:pPr>
        <w:spacing w:before="177" w:line="361" w:lineRule="auto"/>
        <w:ind w:left="1" w:right="83"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招标人自确定中标候选人之日起</w:t>
      </w:r>
      <w:r>
        <w:rPr>
          <w:rFonts w:ascii="Times New Roman" w:hAnsi="Times New Roman" w:eastAsia="Times New Roman" w:cs="Times New Roman"/>
          <w:color w:val="auto"/>
          <w:sz w:val="24"/>
          <w:szCs w:val="24"/>
          <w:highlight w:val="none"/>
        </w:rPr>
        <w:t>3</w:t>
      </w:r>
      <w:r>
        <w:rPr>
          <w:rFonts w:ascii="宋体" w:hAnsi="宋体" w:eastAsia="宋体" w:cs="宋体"/>
          <w:color w:val="auto"/>
          <w:sz w:val="24"/>
          <w:szCs w:val="24"/>
          <w:highlight w:val="none"/>
        </w:rPr>
        <w:t>日内，应在原发布招标公告或资格预审公告的</w:t>
      </w:r>
      <w:r>
        <w:rPr>
          <w:rFonts w:ascii="宋体" w:hAnsi="宋体" w:eastAsia="宋体" w:cs="宋体"/>
          <w:color w:val="auto"/>
          <w:spacing w:val="-1"/>
          <w:sz w:val="24"/>
          <w:szCs w:val="24"/>
          <w:highlight w:val="none"/>
        </w:rPr>
        <w:t>媒介上发布中标公示 ，公示期为</w:t>
      </w: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日，公示媒</w:t>
      </w:r>
      <w:r>
        <w:rPr>
          <w:rFonts w:ascii="宋体" w:hAnsi="宋体" w:eastAsia="宋体" w:cs="宋体"/>
          <w:color w:val="auto"/>
          <w:spacing w:val="-2"/>
          <w:sz w:val="24"/>
          <w:szCs w:val="24"/>
          <w:highlight w:val="none"/>
        </w:rPr>
        <w:t>介见投标人须知前附表。</w:t>
      </w:r>
    </w:p>
    <w:p w14:paraId="69397955">
      <w:pPr>
        <w:spacing w:before="122" w:line="228" w:lineRule="auto"/>
        <w:ind w:left="1"/>
        <w:outlineLvl w:val="2"/>
        <w:rPr>
          <w:rFonts w:ascii="宋体" w:hAnsi="宋体" w:eastAsia="宋体" w:cs="宋体"/>
          <w:color w:val="auto"/>
          <w:sz w:val="27"/>
          <w:szCs w:val="27"/>
          <w:highlight w:val="none"/>
        </w:rPr>
      </w:pPr>
      <w:bookmarkStart w:id="52" w:name="bookmark31"/>
      <w:bookmarkEnd w:id="52"/>
      <w:bookmarkStart w:id="53" w:name="_Toc25445"/>
      <w:r>
        <w:rPr>
          <w:rFonts w:ascii="Times New Roman" w:hAnsi="Times New Roman" w:eastAsia="Times New Roman" w:cs="Times New Roman"/>
          <w:b/>
          <w:bCs/>
          <w:color w:val="auto"/>
          <w:spacing w:val="2"/>
          <w:sz w:val="27"/>
          <w:szCs w:val="27"/>
          <w:highlight w:val="none"/>
        </w:rPr>
        <w:t>7</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2"/>
          <w:sz w:val="27"/>
          <w:szCs w:val="27"/>
          <w:highlight w:val="none"/>
        </w:rPr>
        <w:t>合同授予</w:t>
      </w:r>
      <w:bookmarkEnd w:id="53"/>
    </w:p>
    <w:p w14:paraId="0571CD52">
      <w:pPr>
        <w:pStyle w:val="8"/>
        <w:spacing w:line="245" w:lineRule="auto"/>
        <w:rPr>
          <w:color w:val="auto"/>
          <w:highlight w:val="none"/>
        </w:rPr>
      </w:pPr>
    </w:p>
    <w:p w14:paraId="280696DC">
      <w:pPr>
        <w:spacing w:before="79" w:line="231"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7.1</w:t>
      </w:r>
      <w:r>
        <w:rPr>
          <w:rFonts w:ascii="Times New Roman" w:hAnsi="Times New Roman" w:eastAsia="Times New Roman" w:cs="Times New Roman"/>
          <w:b/>
          <w:bCs/>
          <w:color w:val="auto"/>
          <w:spacing w:val="11"/>
          <w:sz w:val="24"/>
          <w:szCs w:val="24"/>
          <w:highlight w:val="none"/>
        </w:rPr>
        <w:t xml:space="preserve">  </w:t>
      </w:r>
      <w:r>
        <w:rPr>
          <w:rFonts w:ascii="楷体" w:hAnsi="楷体" w:eastAsia="楷体" w:cs="楷体"/>
          <w:b/>
          <w:bCs/>
          <w:color w:val="auto"/>
          <w:spacing w:val="-5"/>
          <w:sz w:val="24"/>
          <w:szCs w:val="24"/>
          <w:highlight w:val="none"/>
        </w:rPr>
        <w:t>定标方式</w:t>
      </w:r>
    </w:p>
    <w:p w14:paraId="6EEA2DCD">
      <w:pPr>
        <w:spacing w:before="164" w:line="332" w:lineRule="auto"/>
        <w:ind w:firstLine="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7.1.1  </w:t>
      </w:r>
      <w:r>
        <w:rPr>
          <w:rFonts w:ascii="宋体" w:hAnsi="宋体" w:eastAsia="宋体" w:cs="宋体"/>
          <w:color w:val="auto"/>
          <w:spacing w:val="1"/>
          <w:sz w:val="24"/>
          <w:szCs w:val="24"/>
          <w:highlight w:val="none"/>
        </w:rPr>
        <w:t>除投标人须知前附表规定评标</w:t>
      </w:r>
      <w:r>
        <w:rPr>
          <w:rFonts w:ascii="宋体" w:hAnsi="宋体" w:eastAsia="宋体" w:cs="宋体"/>
          <w:color w:val="auto"/>
          <w:sz w:val="24"/>
          <w:szCs w:val="24"/>
          <w:highlight w:val="none"/>
        </w:rPr>
        <w:t xml:space="preserve">委员会直接确定中标人外，招标人依据评标 </w:t>
      </w:r>
      <w:r>
        <w:rPr>
          <w:rFonts w:ascii="宋体" w:hAnsi="宋体" w:eastAsia="宋体" w:cs="宋体"/>
          <w:color w:val="auto"/>
          <w:spacing w:val="-6"/>
          <w:sz w:val="24"/>
          <w:szCs w:val="24"/>
          <w:highlight w:val="none"/>
        </w:rPr>
        <w:t>委员会推荐的中标候选人确定中标人。采用评定分离的， 由招标人在投标人须知前附</w:t>
      </w:r>
      <w:r>
        <w:rPr>
          <w:rFonts w:ascii="宋体" w:hAnsi="宋体" w:eastAsia="宋体" w:cs="宋体"/>
          <w:color w:val="auto"/>
          <w:spacing w:val="7"/>
          <w:sz w:val="24"/>
          <w:szCs w:val="24"/>
          <w:highlight w:val="none"/>
        </w:rPr>
        <w:t xml:space="preserve"> </w:t>
      </w:r>
      <w:r>
        <w:rPr>
          <w:rFonts w:ascii="宋体" w:hAnsi="宋体" w:eastAsia="宋体" w:cs="宋体"/>
          <w:color w:val="auto"/>
          <w:sz w:val="24"/>
          <w:szCs w:val="24"/>
          <w:highlight w:val="none"/>
        </w:rPr>
        <w:t>表</w:t>
      </w:r>
      <w:r>
        <w:rPr>
          <w:rFonts w:ascii="Times New Roman" w:hAnsi="Times New Roman" w:eastAsia="Times New Roman" w:cs="Times New Roman"/>
          <w:color w:val="auto"/>
          <w:sz w:val="24"/>
          <w:szCs w:val="24"/>
          <w:highlight w:val="none"/>
        </w:rPr>
        <w:t>7.1.1</w:t>
      </w:r>
      <w:r>
        <w:rPr>
          <w:rFonts w:ascii="宋体" w:hAnsi="宋体" w:eastAsia="宋体" w:cs="宋体"/>
          <w:color w:val="auto"/>
          <w:sz w:val="24"/>
          <w:szCs w:val="24"/>
          <w:highlight w:val="none"/>
        </w:rPr>
        <w:t>项中明确。定标前，招标人可对中</w:t>
      </w:r>
      <w:r>
        <w:rPr>
          <w:rFonts w:ascii="宋体" w:hAnsi="宋体" w:eastAsia="宋体" w:cs="宋体"/>
          <w:color w:val="auto"/>
          <w:spacing w:val="-1"/>
          <w:sz w:val="24"/>
          <w:szCs w:val="24"/>
          <w:highlight w:val="none"/>
        </w:rPr>
        <w:t>标候选人的证书、业绩、诚信等进行核查</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评定分离的定标办法按本章</w:t>
      </w:r>
      <w:r>
        <w:rPr>
          <w:rFonts w:ascii="Times New Roman" w:hAnsi="Times New Roman" w:eastAsia="Times New Roman" w:cs="Times New Roman"/>
          <w:color w:val="auto"/>
          <w:spacing w:val="-3"/>
          <w:sz w:val="24"/>
          <w:szCs w:val="24"/>
          <w:highlight w:val="none"/>
        </w:rPr>
        <w:t>7.1.8</w:t>
      </w:r>
      <w:r>
        <w:rPr>
          <w:rFonts w:ascii="宋体" w:hAnsi="宋体" w:eastAsia="宋体" w:cs="宋体"/>
          <w:color w:val="auto"/>
          <w:spacing w:val="-3"/>
          <w:sz w:val="24"/>
          <w:szCs w:val="24"/>
          <w:highlight w:val="none"/>
        </w:rPr>
        <w:t>项规定的定标程序和方法，组建定标委员会确定中标</w:t>
      </w:r>
      <w:r>
        <w:rPr>
          <w:rFonts w:ascii="宋体" w:hAnsi="宋体" w:eastAsia="宋体" w:cs="宋体"/>
          <w:color w:val="auto"/>
          <w:spacing w:val="-11"/>
          <w:sz w:val="24"/>
          <w:szCs w:val="24"/>
          <w:highlight w:val="none"/>
        </w:rPr>
        <w:t>人。</w:t>
      </w:r>
    </w:p>
    <w:p w14:paraId="2B9E0834">
      <w:pPr>
        <w:spacing w:before="178" w:line="313" w:lineRule="auto"/>
        <w:ind w:right="81" w:firstLine="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7.1.2  </w:t>
      </w:r>
      <w:r>
        <w:rPr>
          <w:rFonts w:ascii="宋体" w:hAnsi="宋体" w:eastAsia="宋体" w:cs="宋体"/>
          <w:color w:val="auto"/>
          <w:spacing w:val="1"/>
          <w:sz w:val="24"/>
          <w:szCs w:val="24"/>
          <w:highlight w:val="none"/>
        </w:rPr>
        <w:t>依法必须招标的项目，中标候</w:t>
      </w:r>
      <w:r>
        <w:rPr>
          <w:rFonts w:ascii="宋体" w:hAnsi="宋体" w:eastAsia="宋体" w:cs="宋体"/>
          <w:color w:val="auto"/>
          <w:sz w:val="24"/>
          <w:szCs w:val="24"/>
          <w:highlight w:val="none"/>
        </w:rPr>
        <w:t>选人放弃中标、因不可抗力提出不能履行合</w:t>
      </w:r>
      <w:r>
        <w:rPr>
          <w:rFonts w:ascii="宋体" w:hAnsi="宋体" w:eastAsia="宋体" w:cs="宋体"/>
          <w:color w:val="auto"/>
          <w:spacing w:val="-3"/>
          <w:sz w:val="24"/>
          <w:szCs w:val="24"/>
          <w:highlight w:val="none"/>
        </w:rPr>
        <w:t>同，或者招标文件规定应当提交履约担保而在规定的期限内未能提交，或者被查实存</w:t>
      </w:r>
      <w:r>
        <w:rPr>
          <w:rFonts w:ascii="宋体" w:hAnsi="宋体" w:eastAsia="宋体" w:cs="宋体"/>
          <w:color w:val="auto"/>
          <w:spacing w:val="-1"/>
          <w:sz w:val="24"/>
          <w:szCs w:val="24"/>
          <w:highlight w:val="none"/>
        </w:rPr>
        <w:t>在影响中标结果的违法行为等情形，不符合中标条件</w:t>
      </w:r>
      <w:r>
        <w:rPr>
          <w:rFonts w:ascii="宋体" w:hAnsi="宋体" w:eastAsia="宋体" w:cs="宋体"/>
          <w:color w:val="auto"/>
          <w:spacing w:val="-2"/>
          <w:sz w:val="24"/>
          <w:szCs w:val="24"/>
          <w:highlight w:val="none"/>
        </w:rPr>
        <w:t>的，取消其中标资格。</w:t>
      </w:r>
    </w:p>
    <w:p w14:paraId="6A098D3C">
      <w:pPr>
        <w:spacing w:before="178" w:line="313" w:lineRule="auto"/>
        <w:ind w:right="81" w:firstLine="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7.1.3  </w:t>
      </w:r>
      <w:r>
        <w:rPr>
          <w:rFonts w:ascii="宋体" w:hAnsi="宋体" w:eastAsia="宋体" w:cs="宋体"/>
          <w:color w:val="auto"/>
          <w:spacing w:val="1"/>
          <w:sz w:val="24"/>
          <w:szCs w:val="24"/>
          <w:highlight w:val="none"/>
        </w:rPr>
        <w:t>招标人在定标前，应通过中国</w:t>
      </w:r>
      <w:r>
        <w:rPr>
          <w:rFonts w:ascii="宋体" w:hAnsi="宋体" w:eastAsia="宋体" w:cs="宋体"/>
          <w:color w:val="auto"/>
          <w:sz w:val="24"/>
          <w:szCs w:val="24"/>
          <w:highlight w:val="none"/>
        </w:rPr>
        <w:t>裁判文书网查询中标候选人及其法定代表人</w:t>
      </w:r>
      <w:r>
        <w:rPr>
          <w:rFonts w:ascii="宋体" w:hAnsi="宋体" w:eastAsia="宋体" w:cs="宋体"/>
          <w:color w:val="auto"/>
          <w:spacing w:val="-3"/>
          <w:sz w:val="24"/>
          <w:szCs w:val="24"/>
          <w:highlight w:val="none"/>
        </w:rPr>
        <w:t>和拟派项目负责人有无行贿犯罪记录，若发现有未如实填报或隐瞒不报情况的，一律</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rPr>
        <w:t>取消其中标资格并上报行政主管部门，由行</w:t>
      </w:r>
      <w:r>
        <w:rPr>
          <w:rFonts w:ascii="宋体" w:hAnsi="宋体" w:eastAsia="宋体" w:cs="宋体"/>
          <w:color w:val="auto"/>
          <w:spacing w:val="-2"/>
          <w:sz w:val="24"/>
          <w:szCs w:val="24"/>
          <w:highlight w:val="none"/>
        </w:rPr>
        <w:t>政主管部门列为不良行为记录。</w:t>
      </w:r>
    </w:p>
    <w:p w14:paraId="6E1E2546">
      <w:pPr>
        <w:spacing w:before="178" w:line="313" w:lineRule="auto"/>
        <w:ind w:right="81" w:firstLine="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7.1.4  </w:t>
      </w:r>
      <w:r>
        <w:rPr>
          <w:rFonts w:ascii="宋体" w:hAnsi="宋体" w:eastAsia="宋体" w:cs="宋体"/>
          <w:color w:val="auto"/>
          <w:spacing w:val="1"/>
          <w:sz w:val="24"/>
          <w:szCs w:val="24"/>
          <w:highlight w:val="none"/>
        </w:rPr>
        <w:t>招标人在定标前，应查询中标</w:t>
      </w:r>
      <w:r>
        <w:rPr>
          <w:rFonts w:ascii="宋体" w:hAnsi="宋体" w:eastAsia="宋体" w:cs="宋体"/>
          <w:color w:val="auto"/>
          <w:sz w:val="24"/>
          <w:szCs w:val="24"/>
          <w:highlight w:val="none"/>
        </w:rPr>
        <w:t>候选人及其法定代表人和拟派项目负责人的</w:t>
      </w:r>
      <w:r>
        <w:rPr>
          <w:rFonts w:ascii="宋体" w:hAnsi="宋体" w:eastAsia="宋体" w:cs="宋体"/>
          <w:color w:val="auto"/>
          <w:spacing w:val="-2"/>
          <w:sz w:val="24"/>
          <w:szCs w:val="24"/>
          <w:highlight w:val="none"/>
        </w:rPr>
        <w:t>失信被执行人名单（以“信用中国”网站（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Times New Roman" w:hAnsi="Times New Roman" w:eastAsia="Times New Roman" w:cs="Times New Roman"/>
          <w:color w:val="auto"/>
          <w:spacing w:val="-2"/>
          <w:sz w:val="24"/>
          <w:szCs w:val="24"/>
          <w:highlight w:val="none"/>
        </w:rPr>
        <w:t>www.creditchina.gov.cn</w:t>
      </w:r>
      <w:r>
        <w:rPr>
          <w:rFonts w:ascii="Times New Roman" w:hAnsi="Times New Roman" w:eastAsia="Times New Roman" w:cs="Times New Roman"/>
          <w:color w:val="auto"/>
          <w:spacing w:val="-2"/>
          <w:sz w:val="24"/>
          <w:szCs w:val="24"/>
          <w:highlight w:val="none"/>
        </w:rPr>
        <w:fldChar w:fldCharType="end"/>
      </w:r>
      <w:r>
        <w:rPr>
          <w:rFonts w:ascii="Times New Roman" w:hAnsi="Times New Roman" w:eastAsia="Times New Roman" w:cs="Times New Roman"/>
          <w:color w:val="auto"/>
          <w:spacing w:val="-25"/>
          <w:sz w:val="24"/>
          <w:szCs w:val="24"/>
          <w:highlight w:val="none"/>
        </w:rPr>
        <w:t xml:space="preserve"> </w:t>
      </w:r>
      <w:r>
        <w:rPr>
          <w:rFonts w:ascii="宋体" w:hAnsi="宋体" w:eastAsia="宋体" w:cs="宋体"/>
          <w:color w:val="auto"/>
          <w:spacing w:val="-2"/>
          <w:sz w:val="24"/>
          <w:szCs w:val="24"/>
          <w:highlight w:val="none"/>
        </w:rPr>
        <w:t>）查询为准</w:t>
      </w:r>
      <w:r>
        <w:rPr>
          <w:rFonts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2"/>
          <w:sz w:val="24"/>
          <w:szCs w:val="24"/>
          <w:highlight w:val="none"/>
        </w:rPr>
        <w:t>若</w:t>
      </w:r>
      <w:r>
        <w:rPr>
          <w:rFonts w:ascii="宋体" w:hAnsi="宋体" w:eastAsia="宋体" w:cs="宋体"/>
          <w:color w:val="auto"/>
          <w:spacing w:val="-3"/>
          <w:sz w:val="24"/>
          <w:szCs w:val="24"/>
          <w:highlight w:val="none"/>
        </w:rPr>
        <w:t>发现有未如实填报或隐瞒不报情况的，一律取消其中标资格并上报行政主管部门</w:t>
      </w: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3"/>
          <w:sz w:val="24"/>
          <w:szCs w:val="24"/>
          <w:highlight w:val="none"/>
        </w:rPr>
        <w:t>由行政主管部门列为不良行为记录。</w:t>
      </w:r>
    </w:p>
    <w:p w14:paraId="7041BCE4">
      <w:pPr>
        <w:spacing w:before="181" w:line="325" w:lineRule="auto"/>
        <w:ind w:left="1" w:firstLine="478"/>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 xml:space="preserve">7.1.5  </w:t>
      </w:r>
      <w:r>
        <w:rPr>
          <w:rFonts w:ascii="宋体" w:hAnsi="宋体" w:eastAsia="宋体" w:cs="宋体"/>
          <w:color w:val="auto"/>
          <w:spacing w:val="-3"/>
          <w:sz w:val="24"/>
          <w:szCs w:val="24"/>
          <w:highlight w:val="none"/>
        </w:rPr>
        <w:t>招标人在定标前，应查询中标候选人全国水利建设市场信用平台“黑名单</w:t>
      </w: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18"/>
          <w:sz w:val="24"/>
          <w:szCs w:val="24"/>
          <w:highlight w:val="none"/>
        </w:rPr>
        <w:t xml:space="preserve"> </w:t>
      </w:r>
      <w:r>
        <w:rPr>
          <w:rFonts w:ascii="宋体" w:hAnsi="宋体" w:eastAsia="宋体" w:cs="宋体"/>
          <w:color w:val="auto"/>
          <w:spacing w:val="-1"/>
          <w:sz w:val="24"/>
          <w:szCs w:val="24"/>
          <w:highlight w:val="none"/>
        </w:rPr>
        <w:t>（以</w:t>
      </w:r>
      <w:r>
        <w:rPr>
          <w:color w:val="auto"/>
          <w:highlight w:val="none"/>
        </w:rPr>
        <w:fldChar w:fldCharType="begin"/>
      </w:r>
      <w:r>
        <w:rPr>
          <w:color w:val="auto"/>
          <w:highlight w:val="none"/>
        </w:rPr>
        <w:instrText xml:space="preserve"> HYPERLINK "https://rcpu.cweun.org" </w:instrText>
      </w:r>
      <w:r>
        <w:rPr>
          <w:color w:val="auto"/>
          <w:highlight w:val="none"/>
        </w:rPr>
        <w:fldChar w:fldCharType="separate"/>
      </w:r>
      <w:r>
        <w:rPr>
          <w:rFonts w:ascii="Times New Roman" w:hAnsi="Times New Roman" w:eastAsia="Times New Roman" w:cs="Times New Roman"/>
          <w:color w:val="auto"/>
          <w:spacing w:val="-1"/>
          <w:sz w:val="24"/>
          <w:szCs w:val="24"/>
          <w:highlight w:val="none"/>
        </w:rPr>
        <w:t>https://rcpu.cweun.org</w:t>
      </w:r>
      <w:r>
        <w:rPr>
          <w:rFonts w:ascii="Times New Roman" w:hAnsi="Times New Roman" w:eastAsia="Times New Roman" w:cs="Times New Roman"/>
          <w:color w:val="auto"/>
          <w:spacing w:val="-1"/>
          <w:sz w:val="24"/>
          <w:szCs w:val="24"/>
          <w:highlight w:val="none"/>
        </w:rPr>
        <w:fldChar w:fldCharType="end"/>
      </w:r>
      <w:r>
        <w:rPr>
          <w:rFonts w:ascii="宋体" w:hAnsi="宋体" w:eastAsia="宋体" w:cs="宋体"/>
          <w:color w:val="auto"/>
          <w:spacing w:val="-1"/>
          <w:sz w:val="24"/>
          <w:szCs w:val="24"/>
          <w:highlight w:val="none"/>
        </w:rPr>
        <w:t>—失信黑名单查询为准</w:t>
      </w:r>
      <w:r>
        <w:rPr>
          <w:rFonts w:ascii="宋体" w:hAnsi="宋体" w:eastAsia="宋体" w:cs="宋体"/>
          <w:color w:val="auto"/>
          <w:spacing w:val="-28"/>
          <w:sz w:val="24"/>
          <w:szCs w:val="24"/>
          <w:highlight w:val="none"/>
        </w:rPr>
        <w:t>），</w:t>
      </w:r>
      <w:r>
        <w:rPr>
          <w:rFonts w:ascii="宋体" w:hAnsi="宋体" w:eastAsia="宋体" w:cs="宋体"/>
          <w:color w:val="auto"/>
          <w:spacing w:val="-1"/>
          <w:sz w:val="24"/>
          <w:szCs w:val="24"/>
          <w:highlight w:val="none"/>
        </w:rPr>
        <w:t>若发现有未如实填报或隐瞒不报</w:t>
      </w:r>
      <w:r>
        <w:rPr>
          <w:rFonts w:ascii="宋体" w:hAnsi="宋体" w:eastAsia="宋体" w:cs="宋体"/>
          <w:color w:val="auto"/>
          <w:spacing w:val="-3"/>
          <w:sz w:val="24"/>
          <w:szCs w:val="24"/>
          <w:highlight w:val="none"/>
        </w:rPr>
        <w:t>情况的，一律取消其中标资格并上报行政主管部门，由行政主管部门列为不良行为记</w:t>
      </w:r>
      <w:r>
        <w:rPr>
          <w:rFonts w:ascii="宋体" w:hAnsi="宋体" w:eastAsia="宋体" w:cs="宋体"/>
          <w:color w:val="auto"/>
          <w:spacing w:val="-12"/>
          <w:sz w:val="24"/>
          <w:szCs w:val="24"/>
          <w:highlight w:val="none"/>
        </w:rPr>
        <w:t>录。</w:t>
      </w:r>
    </w:p>
    <w:p w14:paraId="22D75F16">
      <w:pPr>
        <w:spacing w:before="179" w:line="324" w:lineRule="auto"/>
        <w:ind w:right="66" w:firstLine="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7.1.6  </w:t>
      </w:r>
      <w:r>
        <w:rPr>
          <w:rFonts w:ascii="宋体" w:hAnsi="宋体" w:eastAsia="宋体" w:cs="宋体"/>
          <w:color w:val="auto"/>
          <w:spacing w:val="1"/>
          <w:sz w:val="24"/>
          <w:szCs w:val="24"/>
          <w:highlight w:val="none"/>
        </w:rPr>
        <w:t>招标人在定标前，应查询中标</w:t>
      </w:r>
      <w:r>
        <w:rPr>
          <w:rFonts w:ascii="宋体" w:hAnsi="宋体" w:eastAsia="宋体" w:cs="宋体"/>
          <w:color w:val="auto"/>
          <w:sz w:val="24"/>
          <w:szCs w:val="24"/>
          <w:highlight w:val="none"/>
        </w:rPr>
        <w:t>候选人资质动态核查处于“合格”状态（根</w:t>
      </w:r>
      <w:r>
        <w:rPr>
          <w:rFonts w:ascii="宋体" w:hAnsi="宋体" w:eastAsia="宋体" w:cs="宋体"/>
          <w:color w:val="auto"/>
          <w:spacing w:val="-2"/>
          <w:sz w:val="24"/>
          <w:szCs w:val="24"/>
          <w:highlight w:val="none"/>
        </w:rPr>
        <w:t>据相关文件要求进行核查</w:t>
      </w:r>
      <w:r>
        <w:rPr>
          <w:rFonts w:ascii="宋体" w:hAnsi="宋体" w:eastAsia="宋体" w:cs="宋体"/>
          <w:color w:val="auto"/>
          <w:spacing w:val="-17"/>
          <w:sz w:val="24"/>
          <w:szCs w:val="24"/>
          <w:highlight w:val="none"/>
        </w:rPr>
        <w:t>），</w:t>
      </w:r>
      <w:r>
        <w:rPr>
          <w:rFonts w:ascii="宋体" w:hAnsi="宋体" w:eastAsia="宋体" w:cs="宋体"/>
          <w:color w:val="auto"/>
          <w:spacing w:val="-2"/>
          <w:sz w:val="24"/>
          <w:szCs w:val="24"/>
          <w:highlight w:val="none"/>
        </w:rPr>
        <w:t>若发现有未如实填报或隐瞒不报情况的，一律取消其中</w:t>
      </w:r>
      <w:r>
        <w:rPr>
          <w:rFonts w:ascii="宋体" w:hAnsi="宋体" w:eastAsia="宋体" w:cs="宋体"/>
          <w:color w:val="auto"/>
          <w:spacing w:val="-1"/>
          <w:sz w:val="24"/>
          <w:szCs w:val="24"/>
          <w:highlight w:val="none"/>
        </w:rPr>
        <w:t>标资格并上报行政主管部门，由行政主管部门列为不良行为记录；核查结果</w:t>
      </w:r>
      <w:r>
        <w:rPr>
          <w:rFonts w:ascii="Times New Roman" w:hAnsi="Times New Roman" w:eastAsia="Times New Roman" w:cs="Times New Roman"/>
          <w:color w:val="auto"/>
          <w:spacing w:val="-1"/>
          <w:sz w:val="24"/>
          <w:szCs w:val="24"/>
          <w:highlight w:val="none"/>
        </w:rPr>
        <w:t>“</w:t>
      </w:r>
      <w:r>
        <w:rPr>
          <w:rFonts w:ascii="宋体" w:hAnsi="宋体" w:eastAsia="宋体" w:cs="宋体"/>
          <w:color w:val="auto"/>
          <w:spacing w:val="-1"/>
          <w:sz w:val="24"/>
          <w:szCs w:val="24"/>
          <w:highlight w:val="none"/>
        </w:rPr>
        <w:t>不合格</w:t>
      </w:r>
      <w:r>
        <w:rPr>
          <w:rFonts w:ascii="Times New Roman" w:hAnsi="Times New Roman" w:eastAsia="Times New Roman" w:cs="Times New Roman"/>
          <w:color w:val="auto"/>
          <w:spacing w:val="-1"/>
          <w:sz w:val="24"/>
          <w:szCs w:val="24"/>
          <w:highlight w:val="none"/>
        </w:rPr>
        <w:t>”</w:t>
      </w:r>
      <w:r>
        <w:rPr>
          <w:rFonts w:ascii="Times New Roman" w:hAnsi="Times New Roman" w:eastAsia="Times New Roman" w:cs="Times New Roman"/>
          <w:color w:val="auto"/>
          <w:spacing w:val="17"/>
          <w:sz w:val="24"/>
          <w:szCs w:val="24"/>
          <w:highlight w:val="none"/>
        </w:rPr>
        <w:t xml:space="preserve"> </w:t>
      </w:r>
      <w:r>
        <w:rPr>
          <w:rFonts w:ascii="宋体" w:hAnsi="宋体" w:eastAsia="宋体" w:cs="宋体"/>
          <w:color w:val="auto"/>
          <w:spacing w:val="-4"/>
          <w:sz w:val="24"/>
          <w:szCs w:val="24"/>
          <w:highlight w:val="none"/>
        </w:rPr>
        <w:t>的，取消其中标资格。</w:t>
      </w:r>
    </w:p>
    <w:p w14:paraId="57D77FE0">
      <w:pPr>
        <w:spacing w:before="180" w:line="313" w:lineRule="auto"/>
        <w:ind w:left="1" w:right="119" w:firstLine="478"/>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7.1.7  </w:t>
      </w:r>
      <w:r>
        <w:rPr>
          <w:rFonts w:ascii="宋体" w:hAnsi="宋体" w:eastAsia="宋体" w:cs="宋体"/>
          <w:color w:val="auto"/>
          <w:spacing w:val="1"/>
          <w:sz w:val="24"/>
          <w:szCs w:val="24"/>
          <w:highlight w:val="none"/>
        </w:rPr>
        <w:t>出现本章第</w:t>
      </w:r>
      <w:r>
        <w:rPr>
          <w:rFonts w:ascii="Times New Roman" w:hAnsi="Times New Roman" w:eastAsia="Times New Roman" w:cs="Times New Roman"/>
          <w:color w:val="auto"/>
          <w:spacing w:val="1"/>
          <w:sz w:val="24"/>
          <w:szCs w:val="24"/>
          <w:highlight w:val="none"/>
        </w:rPr>
        <w:t>7.1.2</w:t>
      </w:r>
      <w:r>
        <w:rPr>
          <w:rFonts w:ascii="宋体" w:hAnsi="宋体" w:eastAsia="宋体" w:cs="宋体"/>
          <w:color w:val="auto"/>
          <w:spacing w:val="1"/>
          <w:sz w:val="24"/>
          <w:szCs w:val="24"/>
          <w:highlight w:val="none"/>
        </w:rPr>
        <w:t>项～</w:t>
      </w:r>
      <w:r>
        <w:rPr>
          <w:rFonts w:ascii="宋体" w:hAnsi="宋体" w:eastAsia="宋体" w:cs="宋体"/>
          <w:color w:val="auto"/>
          <w:sz w:val="24"/>
          <w:szCs w:val="24"/>
          <w:highlight w:val="none"/>
        </w:rPr>
        <w:t>第</w:t>
      </w:r>
      <w:r>
        <w:rPr>
          <w:rFonts w:ascii="Times New Roman" w:hAnsi="Times New Roman" w:eastAsia="Times New Roman" w:cs="Times New Roman"/>
          <w:color w:val="auto"/>
          <w:sz w:val="24"/>
          <w:szCs w:val="24"/>
          <w:highlight w:val="none"/>
        </w:rPr>
        <w:t>7.1.6</w:t>
      </w:r>
      <w:r>
        <w:rPr>
          <w:rFonts w:ascii="宋体" w:hAnsi="宋体" w:eastAsia="宋体" w:cs="宋体"/>
          <w:color w:val="auto"/>
          <w:sz w:val="24"/>
          <w:szCs w:val="24"/>
          <w:highlight w:val="none"/>
        </w:rPr>
        <w:t>项情形被取消中标资格的，招标人可以按照评</w:t>
      </w:r>
      <w:r>
        <w:rPr>
          <w:rFonts w:ascii="宋体" w:hAnsi="宋体" w:eastAsia="宋体" w:cs="宋体"/>
          <w:color w:val="auto"/>
          <w:spacing w:val="-3"/>
          <w:sz w:val="24"/>
          <w:szCs w:val="24"/>
          <w:highlight w:val="none"/>
        </w:rPr>
        <w:t>标委员会提出的中标候选人名单排序依次确定其他中标候选人为中标人，也可以重新</w:t>
      </w:r>
      <w:r>
        <w:rPr>
          <w:rFonts w:ascii="宋体" w:hAnsi="宋体" w:eastAsia="宋体" w:cs="宋体"/>
          <w:color w:val="auto"/>
          <w:spacing w:val="-11"/>
          <w:sz w:val="24"/>
          <w:szCs w:val="24"/>
          <w:highlight w:val="none"/>
        </w:rPr>
        <w:t>招标。</w:t>
      </w:r>
    </w:p>
    <w:p w14:paraId="1D3C5FFA">
      <w:pPr>
        <w:spacing w:before="180" w:line="220" w:lineRule="auto"/>
        <w:ind w:left="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7.1.8  </w:t>
      </w:r>
      <w:r>
        <w:rPr>
          <w:rFonts w:ascii="宋体" w:hAnsi="宋体" w:eastAsia="宋体" w:cs="宋体"/>
          <w:color w:val="auto"/>
          <w:spacing w:val="-1"/>
          <w:sz w:val="24"/>
          <w:szCs w:val="24"/>
          <w:highlight w:val="none"/>
        </w:rPr>
        <w:t>评定分离定标办法</w:t>
      </w:r>
    </w:p>
    <w:p w14:paraId="5F7D8D73">
      <w:pPr>
        <w:spacing w:before="182" w:line="220" w:lineRule="auto"/>
        <w:ind w:left="48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1</w:t>
      </w:r>
      <w:r>
        <w:rPr>
          <w:rFonts w:ascii="宋体" w:hAnsi="宋体" w:eastAsia="宋体" w:cs="宋体"/>
          <w:color w:val="auto"/>
          <w:spacing w:val="-5"/>
          <w:sz w:val="24"/>
          <w:szCs w:val="24"/>
          <w:highlight w:val="none"/>
        </w:rPr>
        <w:t>）定标原则</w:t>
      </w:r>
    </w:p>
    <w:p w14:paraId="3DD4D094">
      <w:pPr>
        <w:spacing w:before="180" w:line="218"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定标应遵循招标人负责制、兼顾择优和竞价、公平竞争的原则。</w:t>
      </w:r>
    </w:p>
    <w:p w14:paraId="0B00FBCE">
      <w:pPr>
        <w:spacing w:before="184" w:line="220"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）评定分离定标组织</w:t>
      </w:r>
    </w:p>
    <w:p w14:paraId="20260D44">
      <w:pPr>
        <w:spacing w:before="181" w:line="359" w:lineRule="auto"/>
        <w:ind w:right="121" w:firstLine="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定标工作由招标人组建的定标委员会负责，定标委员会的组建见投标人</w:t>
      </w:r>
      <w:r>
        <w:rPr>
          <w:rFonts w:ascii="宋体" w:hAnsi="宋体" w:eastAsia="宋体" w:cs="宋体"/>
          <w:color w:val="auto"/>
          <w:spacing w:val="-4"/>
          <w:sz w:val="24"/>
          <w:szCs w:val="24"/>
          <w:highlight w:val="none"/>
        </w:rPr>
        <w:t>须知前附</w:t>
      </w:r>
      <w:r>
        <w:rPr>
          <w:rFonts w:ascii="宋体" w:hAnsi="宋体" w:eastAsia="宋体" w:cs="宋体"/>
          <w:color w:val="auto"/>
          <w:spacing w:val="-2"/>
          <w:sz w:val="24"/>
          <w:szCs w:val="24"/>
          <w:highlight w:val="none"/>
        </w:rPr>
        <w:t>表，定标委员会成员为不少于</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人的单数。</w:t>
      </w:r>
    </w:p>
    <w:p w14:paraId="3DE68D44">
      <w:pPr>
        <w:keepNext w:val="0"/>
        <w:keepLines w:val="0"/>
        <w:pageBreakBefore w:val="0"/>
        <w:widowControl/>
        <w:kinsoku w:val="0"/>
        <w:wordWrap/>
        <w:overflowPunct/>
        <w:topLinePunct w:val="0"/>
        <w:autoSpaceDE w:val="0"/>
        <w:autoSpaceDN w:val="0"/>
        <w:bidi w:val="0"/>
        <w:adjustRightInd w:val="0"/>
        <w:snapToGrid w:val="0"/>
        <w:spacing w:before="1" w:line="360" w:lineRule="auto"/>
        <w:ind w:right="120" w:firstLine="486"/>
        <w:jc w:val="both"/>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定标委员会成员一般由招标人代表、项目业主代表和项目使用单位代表组</w:t>
      </w:r>
      <w:r>
        <w:rPr>
          <w:rFonts w:ascii="宋体" w:hAnsi="宋体" w:eastAsia="宋体" w:cs="宋体"/>
          <w:color w:val="auto"/>
          <w:spacing w:val="-4"/>
          <w:sz w:val="24"/>
          <w:szCs w:val="24"/>
          <w:highlight w:val="none"/>
        </w:rPr>
        <w:t>成。确</w:t>
      </w:r>
      <w:r>
        <w:rPr>
          <w:rFonts w:ascii="宋体" w:hAnsi="宋体" w:eastAsia="宋体" w:cs="宋体"/>
          <w:color w:val="auto"/>
          <w:spacing w:val="-3"/>
          <w:sz w:val="24"/>
          <w:szCs w:val="24"/>
          <w:highlight w:val="none"/>
        </w:rPr>
        <w:t>有需要的，招标人可邀请外部专家担任定标委员会成员，但邀请的外部成员人数不得超过定标委员会成员总人数的二分之一。评标委员会成员原则上不得担任定标委员会</w:t>
      </w:r>
      <w:r>
        <w:rPr>
          <w:rFonts w:ascii="宋体" w:hAnsi="宋体" w:eastAsia="宋体" w:cs="宋体"/>
          <w:color w:val="auto"/>
          <w:spacing w:val="-5"/>
          <w:sz w:val="24"/>
          <w:szCs w:val="24"/>
          <w:highlight w:val="none"/>
        </w:rPr>
        <w:t>成员。招标人的法定代表人或主要负责人或分管负责人应进入定标委员会，</w:t>
      </w:r>
      <w:r>
        <w:rPr>
          <w:rFonts w:ascii="宋体" w:hAnsi="宋体" w:eastAsia="宋体" w:cs="宋体"/>
          <w:color w:val="auto"/>
          <w:spacing w:val="-36"/>
          <w:sz w:val="24"/>
          <w:szCs w:val="24"/>
          <w:highlight w:val="none"/>
        </w:rPr>
        <w:t xml:space="preserve"> </w:t>
      </w:r>
      <w:r>
        <w:rPr>
          <w:rFonts w:ascii="宋体" w:hAnsi="宋体" w:eastAsia="宋体" w:cs="宋体"/>
          <w:color w:val="auto"/>
          <w:spacing w:val="-5"/>
          <w:sz w:val="24"/>
          <w:szCs w:val="24"/>
          <w:highlight w:val="none"/>
        </w:rPr>
        <w:t>并担任组</w:t>
      </w:r>
      <w:r>
        <w:rPr>
          <w:rFonts w:ascii="宋体" w:hAnsi="宋体" w:eastAsia="宋体" w:cs="宋体"/>
          <w:color w:val="auto"/>
          <w:spacing w:val="-3"/>
          <w:sz w:val="24"/>
          <w:szCs w:val="24"/>
          <w:highlight w:val="none"/>
        </w:rPr>
        <w:t>长，主持定标会议。招标人的法定代表人、主要负责人、分管负责人均进入定标委员</w:t>
      </w:r>
      <w:r>
        <w:rPr>
          <w:rFonts w:ascii="宋体" w:hAnsi="宋体" w:eastAsia="宋体" w:cs="宋体"/>
          <w:color w:val="auto"/>
          <w:spacing w:val="-1"/>
          <w:sz w:val="24"/>
          <w:szCs w:val="24"/>
          <w:highlight w:val="none"/>
        </w:rPr>
        <w:t>会的，或其中两人进入定标委员会的，应从其中</w:t>
      </w:r>
      <w:r>
        <w:rPr>
          <w:rFonts w:ascii="宋体" w:hAnsi="宋体" w:eastAsia="宋体" w:cs="宋体"/>
          <w:color w:val="auto"/>
          <w:spacing w:val="-2"/>
          <w:sz w:val="24"/>
          <w:szCs w:val="24"/>
          <w:highlight w:val="none"/>
        </w:rPr>
        <w:t>推选一人担任组长。</w:t>
      </w:r>
    </w:p>
    <w:p w14:paraId="17477CAD">
      <w:pPr>
        <w:keepNext w:val="0"/>
        <w:keepLines w:val="0"/>
        <w:pageBreakBefore w:val="0"/>
        <w:widowControl/>
        <w:kinsoku w:val="0"/>
        <w:wordWrap/>
        <w:overflowPunct/>
        <w:topLinePunct w:val="0"/>
        <w:autoSpaceDE w:val="0"/>
        <w:autoSpaceDN w:val="0"/>
        <w:bidi w:val="0"/>
        <w:adjustRightInd w:val="0"/>
        <w:snapToGrid w:val="0"/>
        <w:spacing w:before="1" w:line="360" w:lineRule="auto"/>
        <w:ind w:right="120" w:firstLine="486"/>
        <w:jc w:val="both"/>
        <w:textAlignment w:val="baseline"/>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定标委员会成员与中标候选人有利害关系的应主动说明并申请回避。</w:t>
      </w:r>
    </w:p>
    <w:p w14:paraId="64DE82A8">
      <w:pPr>
        <w:keepNext w:val="0"/>
        <w:keepLines w:val="0"/>
        <w:pageBreakBefore w:val="0"/>
        <w:widowControl/>
        <w:kinsoku w:val="0"/>
        <w:wordWrap/>
        <w:overflowPunct/>
        <w:topLinePunct w:val="0"/>
        <w:autoSpaceDE w:val="0"/>
        <w:autoSpaceDN w:val="0"/>
        <w:bidi w:val="0"/>
        <w:adjustRightInd w:val="0"/>
        <w:snapToGrid w:val="0"/>
        <w:spacing w:before="1" w:line="360" w:lineRule="auto"/>
        <w:ind w:right="120" w:firstLine="486"/>
        <w:jc w:val="both"/>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定标委员会名单在中标结果确定前应保密。</w:t>
      </w:r>
    </w:p>
    <w:p w14:paraId="6DDC6F80">
      <w:pPr>
        <w:keepNext w:val="0"/>
        <w:keepLines w:val="0"/>
        <w:pageBreakBefore w:val="0"/>
        <w:widowControl/>
        <w:kinsoku w:val="0"/>
        <w:wordWrap/>
        <w:overflowPunct/>
        <w:topLinePunct w:val="0"/>
        <w:autoSpaceDE w:val="0"/>
        <w:autoSpaceDN w:val="0"/>
        <w:bidi w:val="0"/>
        <w:adjustRightInd w:val="0"/>
        <w:snapToGrid w:val="0"/>
        <w:spacing w:before="1" w:line="360" w:lineRule="auto"/>
        <w:ind w:right="120" w:firstLine="486"/>
        <w:jc w:val="both"/>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定标委员会应推举产生</w:t>
      </w:r>
      <w:r>
        <w:rPr>
          <w:rFonts w:ascii="Times New Roman" w:hAnsi="Times New Roman" w:eastAsia="Times New Roman" w:cs="Times New Roman"/>
          <w:color w:val="auto"/>
          <w:sz w:val="24"/>
          <w:szCs w:val="24"/>
          <w:highlight w:val="none"/>
        </w:rPr>
        <w:t>1</w:t>
      </w:r>
      <w:r>
        <w:rPr>
          <w:rFonts w:ascii="宋体" w:hAnsi="宋体" w:eastAsia="宋体" w:cs="宋体"/>
          <w:color w:val="auto"/>
          <w:sz w:val="24"/>
          <w:szCs w:val="24"/>
          <w:highlight w:val="none"/>
        </w:rPr>
        <w:t>名定标委员会组长。定标委员会组长负责组织定标、掌握定标进程、现场面试、编写定标报告等工作，定标委员会组长（集体议事法除外）</w:t>
      </w:r>
      <w:r>
        <w:rPr>
          <w:rFonts w:ascii="宋体" w:hAnsi="宋体" w:eastAsia="宋体" w:cs="宋体"/>
          <w:color w:val="auto"/>
          <w:spacing w:val="-1"/>
          <w:sz w:val="24"/>
          <w:szCs w:val="24"/>
          <w:highlight w:val="none"/>
        </w:rPr>
        <w:t>与其他成员具有同等的权利。定标委员会成员对所提出</w:t>
      </w:r>
      <w:r>
        <w:rPr>
          <w:rFonts w:ascii="宋体" w:hAnsi="宋体" w:eastAsia="宋体" w:cs="宋体"/>
          <w:color w:val="auto"/>
          <w:spacing w:val="-2"/>
          <w:sz w:val="24"/>
          <w:szCs w:val="24"/>
          <w:highlight w:val="none"/>
        </w:rPr>
        <w:t>的意见承担个人责任。</w:t>
      </w:r>
    </w:p>
    <w:p w14:paraId="072B9B2A">
      <w:pPr>
        <w:keepNext w:val="0"/>
        <w:keepLines w:val="0"/>
        <w:pageBreakBefore w:val="0"/>
        <w:widowControl/>
        <w:kinsoku w:val="0"/>
        <w:wordWrap/>
        <w:overflowPunct/>
        <w:topLinePunct w:val="0"/>
        <w:autoSpaceDE w:val="0"/>
        <w:autoSpaceDN w:val="0"/>
        <w:bidi w:val="0"/>
        <w:adjustRightInd w:val="0"/>
        <w:snapToGrid w:val="0"/>
        <w:spacing w:line="360" w:lineRule="auto"/>
        <w:ind w:right="104" w:firstLine="486"/>
        <w:textAlignment w:val="baseline"/>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定标委员会应当按照招标文件确定的定标标准和方</w:t>
      </w:r>
      <w:r>
        <w:rPr>
          <w:rFonts w:ascii="宋体" w:hAnsi="宋体" w:eastAsia="宋体" w:cs="宋体"/>
          <w:color w:val="auto"/>
          <w:spacing w:val="-7"/>
          <w:sz w:val="24"/>
          <w:szCs w:val="24"/>
          <w:highlight w:val="none"/>
        </w:rPr>
        <w:t>法，客观、公正定标， 招标文</w:t>
      </w:r>
      <w:r>
        <w:rPr>
          <w:rFonts w:ascii="宋体" w:hAnsi="宋体" w:eastAsia="宋体" w:cs="宋体"/>
          <w:color w:val="auto"/>
          <w:spacing w:val="-2"/>
          <w:sz w:val="24"/>
          <w:szCs w:val="24"/>
          <w:highlight w:val="none"/>
        </w:rPr>
        <w:t>件没有规定的定标标准和方法不得作为定标的依据。</w:t>
      </w:r>
    </w:p>
    <w:p w14:paraId="7CAB51B5">
      <w:pPr>
        <w:spacing w:before="1" w:line="218"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）定标会议时间和地点见投标人须知前附表。</w:t>
      </w:r>
    </w:p>
    <w:p w14:paraId="7735A3AD">
      <w:pPr>
        <w:spacing w:before="182" w:line="324" w:lineRule="auto"/>
        <w:ind w:right="101" w:firstLine="48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4</w:t>
      </w:r>
      <w:r>
        <w:rPr>
          <w:rFonts w:ascii="宋体" w:hAnsi="宋体" w:eastAsia="宋体" w:cs="宋体"/>
          <w:color w:val="auto"/>
          <w:spacing w:val="-1"/>
          <w:sz w:val="24"/>
          <w:szCs w:val="24"/>
          <w:highlight w:val="none"/>
        </w:rPr>
        <w:t>）招标人可在投标须知前附表规定的时间前对所有中标候选人进行考察、质</w:t>
      </w:r>
      <w:r>
        <w:rPr>
          <w:rFonts w:ascii="宋体" w:hAnsi="宋体" w:eastAsia="宋体" w:cs="宋体"/>
          <w:color w:val="auto"/>
          <w:spacing w:val="-3"/>
          <w:sz w:val="24"/>
          <w:szCs w:val="24"/>
          <w:highlight w:val="none"/>
        </w:rPr>
        <w:t>询。考察、质询小组应由投标须知前附表规定的人数组成。考察、质询小组应由</w:t>
      </w:r>
      <w:r>
        <w:rPr>
          <w:rFonts w:ascii="Times New Roman" w:hAnsi="Times New Roman" w:eastAsia="Times New Roman" w:cs="Times New Roman"/>
          <w:color w:val="auto"/>
          <w:spacing w:val="-3"/>
          <w:sz w:val="24"/>
          <w:szCs w:val="24"/>
          <w:highlight w:val="none"/>
        </w:rPr>
        <w:t xml:space="preserve">3  </w:t>
      </w:r>
      <w:r>
        <w:rPr>
          <w:rFonts w:ascii="宋体" w:hAnsi="宋体" w:eastAsia="宋体" w:cs="宋体"/>
          <w:color w:val="auto"/>
          <w:spacing w:val="-3"/>
          <w:sz w:val="24"/>
          <w:szCs w:val="24"/>
          <w:highlight w:val="none"/>
        </w:rPr>
        <w:t>人</w:t>
      </w:r>
      <w:r>
        <w:rPr>
          <w:rFonts w:ascii="宋体" w:hAnsi="宋体" w:eastAsia="宋体" w:cs="宋体"/>
          <w:color w:val="auto"/>
          <w:spacing w:val="-6"/>
          <w:sz w:val="24"/>
          <w:szCs w:val="24"/>
          <w:highlight w:val="none"/>
        </w:rPr>
        <w:t>及以上单数组成。考察、质询小组应如实记录考察、质询情况， 并出具考察、质询报</w:t>
      </w:r>
      <w:r>
        <w:rPr>
          <w:rFonts w:ascii="宋体" w:hAnsi="宋体" w:eastAsia="宋体" w:cs="宋体"/>
          <w:color w:val="auto"/>
          <w:spacing w:val="-10"/>
          <w:sz w:val="24"/>
          <w:szCs w:val="24"/>
          <w:highlight w:val="none"/>
        </w:rPr>
        <w:t>告作为定标要素之一。考察、质询报告应客观公正，不得有明示或暗示中标人的内容。</w:t>
      </w:r>
    </w:p>
    <w:p w14:paraId="6E406A7C">
      <w:pPr>
        <w:spacing w:before="183" w:line="219"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）现场面试见投标人须知前附表。</w:t>
      </w:r>
    </w:p>
    <w:p w14:paraId="14400C71">
      <w:pPr>
        <w:spacing w:before="183" w:line="312" w:lineRule="auto"/>
        <w:ind w:left="1" w:right="18"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6</w:t>
      </w:r>
      <w:r>
        <w:rPr>
          <w:rFonts w:ascii="宋体" w:hAnsi="宋体" w:eastAsia="宋体" w:cs="宋体"/>
          <w:color w:val="auto"/>
          <w:sz w:val="24"/>
          <w:szCs w:val="24"/>
          <w:highlight w:val="none"/>
        </w:rPr>
        <w:t>）定标因素由招标人在投标人须知前附表中根据项目实际情况进行调整并细</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化。招标人在定标阶段对中标候选人的法定代表人、拟派项目负责人开展现场面试</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3"/>
          <w:sz w:val="24"/>
          <w:szCs w:val="24"/>
          <w:highlight w:val="none"/>
        </w:rPr>
        <w:t>现场面试由定标委员会具体实施。</w:t>
      </w:r>
    </w:p>
    <w:p w14:paraId="2022235D">
      <w:pPr>
        <w:spacing w:before="183" w:line="219"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7</w:t>
      </w:r>
      <w:r>
        <w:rPr>
          <w:rFonts w:ascii="宋体" w:hAnsi="宋体" w:eastAsia="宋体" w:cs="宋体"/>
          <w:color w:val="auto"/>
          <w:spacing w:val="-3"/>
          <w:sz w:val="24"/>
          <w:szCs w:val="24"/>
          <w:highlight w:val="none"/>
        </w:rPr>
        <w:t>）定标方法可采用下列方法或者下列方法的组合：</w:t>
      </w:r>
    </w:p>
    <w:p w14:paraId="37224B3F">
      <w:pPr>
        <w:spacing w:before="182" w:line="219" w:lineRule="auto"/>
        <w:ind w:left="499"/>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）票决法，由定标委员会直接票决方式确定中标人。</w:t>
      </w:r>
    </w:p>
    <w:p w14:paraId="3F801A18">
      <w:pPr>
        <w:spacing w:before="183" w:line="312" w:lineRule="auto"/>
        <w:ind w:left="1" w:right="103" w:firstLine="474"/>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）集体议事法，由定标委员会集体商议，在组成成员各自发表意见的基础上</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3"/>
          <w:sz w:val="24"/>
          <w:szCs w:val="24"/>
          <w:highlight w:val="none"/>
        </w:rPr>
        <w:t>由定标委员会负责人最终确定中标人。所有参加会议的定标委员会成员的意见应作书</w:t>
      </w:r>
      <w:r>
        <w:rPr>
          <w:rFonts w:ascii="宋体" w:hAnsi="宋体" w:eastAsia="宋体" w:cs="宋体"/>
          <w:color w:val="auto"/>
          <w:spacing w:val="-4"/>
          <w:sz w:val="24"/>
          <w:szCs w:val="24"/>
          <w:highlight w:val="none"/>
        </w:rPr>
        <w:t>面记录，并由本人签字确认。</w:t>
      </w:r>
    </w:p>
    <w:p w14:paraId="41E90768">
      <w:pPr>
        <w:spacing w:before="182" w:line="219" w:lineRule="auto"/>
        <w:ind w:left="481"/>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）投标须知前附表规定的其他定标办法。</w:t>
      </w:r>
    </w:p>
    <w:p w14:paraId="1828BE75">
      <w:pPr>
        <w:spacing w:before="183" w:line="359" w:lineRule="auto"/>
        <w:ind w:left="2" w:right="130"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8</w:t>
      </w:r>
      <w:r>
        <w:rPr>
          <w:rFonts w:ascii="宋体" w:hAnsi="宋体" w:eastAsia="宋体" w:cs="宋体"/>
          <w:color w:val="auto"/>
          <w:spacing w:val="-1"/>
          <w:sz w:val="24"/>
          <w:szCs w:val="24"/>
          <w:highlight w:val="none"/>
        </w:rPr>
        <w:t>）定标后有下列情形之一的，招标人可以组织原定标委员会从其他中标候选</w:t>
      </w:r>
      <w:r>
        <w:rPr>
          <w:rFonts w:ascii="宋体" w:hAnsi="宋体" w:eastAsia="宋体" w:cs="宋体"/>
          <w:color w:val="auto"/>
          <w:spacing w:val="-5"/>
          <w:sz w:val="24"/>
          <w:szCs w:val="24"/>
          <w:highlight w:val="none"/>
        </w:rPr>
        <w:t>人中按原定标方法确定中标人：</w:t>
      </w:r>
    </w:p>
    <w:p w14:paraId="1D403348">
      <w:pPr>
        <w:spacing w:before="1" w:line="219" w:lineRule="auto"/>
        <w:ind w:left="499"/>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）中标人放弃中标资格或者拒不签订合同的；</w:t>
      </w:r>
    </w:p>
    <w:p w14:paraId="5D72C7C5">
      <w:pPr>
        <w:spacing w:before="182" w:line="220" w:lineRule="auto"/>
        <w:ind w:left="476"/>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）中标人被查实存在违法行为影响中标结果的；</w:t>
      </w:r>
    </w:p>
    <w:p w14:paraId="0D023811">
      <w:pPr>
        <w:spacing w:before="181" w:line="219" w:lineRule="auto"/>
        <w:ind w:left="481"/>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）投标须知前附表规定的其他情形。</w:t>
      </w:r>
    </w:p>
    <w:p w14:paraId="0FC25887">
      <w:pPr>
        <w:spacing w:before="182" w:line="220" w:lineRule="auto"/>
        <w:ind w:left="48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9</w:t>
      </w:r>
      <w:r>
        <w:rPr>
          <w:rFonts w:ascii="宋体" w:hAnsi="宋体" w:eastAsia="宋体" w:cs="宋体"/>
          <w:color w:val="auto"/>
          <w:spacing w:val="-4"/>
          <w:sz w:val="24"/>
          <w:szCs w:val="24"/>
          <w:highlight w:val="none"/>
        </w:rPr>
        <w:t>）定标后有下列情形之一的，应重新定标：</w:t>
      </w:r>
    </w:p>
    <w:p w14:paraId="75FA1AAD">
      <w:pPr>
        <w:spacing w:before="181" w:line="219" w:lineRule="auto"/>
        <w:ind w:left="499"/>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）查实定标委员会未按定标办法公正履职的；</w:t>
      </w:r>
    </w:p>
    <w:p w14:paraId="4F7A3B58">
      <w:pPr>
        <w:spacing w:before="182" w:line="219" w:lineRule="auto"/>
        <w:ind w:left="476"/>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）有定标委员会成员与中标候选人有利害关系且未申请回</w:t>
      </w:r>
      <w:r>
        <w:rPr>
          <w:rFonts w:ascii="宋体" w:hAnsi="宋体" w:eastAsia="宋体" w:cs="宋体"/>
          <w:color w:val="auto"/>
          <w:spacing w:val="-3"/>
          <w:sz w:val="24"/>
          <w:szCs w:val="24"/>
          <w:highlight w:val="none"/>
        </w:rPr>
        <w:t>避的；</w:t>
      </w:r>
    </w:p>
    <w:p w14:paraId="23D1B50E">
      <w:pPr>
        <w:spacing w:before="182" w:line="219" w:lineRule="auto"/>
        <w:ind w:left="481"/>
        <w:rPr>
          <w:rFonts w:ascii="宋体" w:hAnsi="宋体" w:eastAsia="宋体" w:cs="宋体"/>
          <w:color w:val="auto"/>
          <w:spacing w:val="-3"/>
          <w:sz w:val="24"/>
          <w:szCs w:val="24"/>
          <w:highlight w:val="none"/>
        </w:rPr>
      </w:pP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）投标须知前附表规定的其他情形。</w:t>
      </w:r>
      <w:bookmarkStart w:id="54" w:name="bookmark378"/>
      <w:bookmarkEnd w:id="54"/>
    </w:p>
    <w:p w14:paraId="218BEAD9">
      <w:pPr>
        <w:spacing w:before="182" w:line="219" w:lineRule="auto"/>
        <w:rPr>
          <w:rFonts w:ascii="楷体" w:hAnsi="楷体" w:eastAsia="楷体" w:cs="楷体"/>
          <w:color w:val="auto"/>
          <w:sz w:val="24"/>
          <w:szCs w:val="24"/>
          <w:highlight w:val="none"/>
        </w:rPr>
      </w:pPr>
      <w:bookmarkStart w:id="55" w:name="bookmark379"/>
      <w:bookmarkEnd w:id="55"/>
      <w:r>
        <w:rPr>
          <w:rFonts w:ascii="Times New Roman" w:hAnsi="Times New Roman" w:eastAsia="Times New Roman" w:cs="Times New Roman"/>
          <w:b/>
          <w:bCs/>
          <w:color w:val="auto"/>
          <w:spacing w:val="-7"/>
          <w:sz w:val="24"/>
          <w:szCs w:val="24"/>
          <w:highlight w:val="none"/>
        </w:rPr>
        <w:t>7.2</w:t>
      </w:r>
      <w:r>
        <w:rPr>
          <w:rFonts w:ascii="Times New Roman" w:hAnsi="Times New Roman" w:eastAsia="Times New Roman" w:cs="Times New Roman"/>
          <w:b/>
          <w:bCs/>
          <w:color w:val="auto"/>
          <w:spacing w:val="20"/>
          <w:w w:val="101"/>
          <w:sz w:val="24"/>
          <w:szCs w:val="24"/>
          <w:highlight w:val="none"/>
        </w:rPr>
        <w:t xml:space="preserve">  </w:t>
      </w:r>
      <w:r>
        <w:rPr>
          <w:rFonts w:ascii="楷体" w:hAnsi="楷体" w:eastAsia="楷体" w:cs="楷体"/>
          <w:b/>
          <w:bCs/>
          <w:color w:val="auto"/>
          <w:spacing w:val="-7"/>
          <w:sz w:val="24"/>
          <w:szCs w:val="24"/>
          <w:highlight w:val="none"/>
        </w:rPr>
        <w:t>中标通知</w:t>
      </w:r>
    </w:p>
    <w:p w14:paraId="5A878A89">
      <w:pPr>
        <w:spacing w:before="174" w:line="359" w:lineRule="auto"/>
        <w:ind w:right="3" w:firstLine="47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在本章第</w:t>
      </w:r>
      <w:r>
        <w:rPr>
          <w:rFonts w:ascii="Times New Roman" w:hAnsi="Times New Roman" w:eastAsia="Times New Roman" w:cs="Times New Roman"/>
          <w:color w:val="auto"/>
          <w:spacing w:val="2"/>
          <w:sz w:val="24"/>
          <w:szCs w:val="24"/>
          <w:highlight w:val="none"/>
        </w:rPr>
        <w:t>3.3</w:t>
      </w:r>
      <w:r>
        <w:rPr>
          <w:rFonts w:ascii="宋体" w:hAnsi="宋体" w:eastAsia="宋体" w:cs="宋体"/>
          <w:color w:val="auto"/>
          <w:spacing w:val="2"/>
          <w:sz w:val="24"/>
          <w:szCs w:val="24"/>
          <w:highlight w:val="none"/>
        </w:rPr>
        <w:t>款规定的投标有效期内，</w:t>
      </w:r>
      <w:r>
        <w:rPr>
          <w:rFonts w:ascii="宋体" w:hAnsi="宋体" w:eastAsia="宋体" w:cs="宋体"/>
          <w:strike/>
          <w:dstrike w:val="0"/>
          <w:color w:val="auto"/>
          <w:spacing w:val="2"/>
          <w:sz w:val="24"/>
          <w:szCs w:val="24"/>
          <w:highlight w:val="none"/>
        </w:rPr>
        <w:t>招标人应通过电子招标投标交易平台以数</w:t>
      </w:r>
      <w:r>
        <w:rPr>
          <w:rFonts w:ascii="宋体" w:hAnsi="宋体" w:eastAsia="宋体" w:cs="宋体"/>
          <w:strike/>
          <w:dstrike w:val="0"/>
          <w:color w:val="auto"/>
          <w:spacing w:val="4"/>
          <w:sz w:val="24"/>
          <w:szCs w:val="24"/>
          <w:highlight w:val="none"/>
        </w:rPr>
        <w:t xml:space="preserve"> </w:t>
      </w:r>
      <w:r>
        <w:rPr>
          <w:rFonts w:ascii="宋体" w:hAnsi="宋体" w:eastAsia="宋体" w:cs="宋体"/>
          <w:strike/>
          <w:dstrike w:val="0"/>
          <w:color w:val="auto"/>
          <w:spacing w:val="-1"/>
          <w:sz w:val="24"/>
          <w:szCs w:val="24"/>
          <w:highlight w:val="none"/>
        </w:rPr>
        <w:t>据电文形式向中标人发出中标通知书，</w:t>
      </w:r>
      <w:r>
        <w:rPr>
          <w:rFonts w:hint="eastAsia" w:ascii="宋体" w:hAnsi="宋体" w:eastAsia="宋体" w:cs="宋体"/>
          <w:strike w:val="0"/>
          <w:dstrike w:val="0"/>
          <w:color w:val="auto"/>
          <w:spacing w:val="-1"/>
          <w:sz w:val="24"/>
          <w:szCs w:val="24"/>
          <w:highlight w:val="none"/>
        </w:rPr>
        <w:t>招标人以书面形式向中标人发出中标通知书</w:t>
      </w:r>
      <w:r>
        <w:rPr>
          <w:rFonts w:ascii="宋体" w:hAnsi="宋体" w:eastAsia="宋体" w:cs="宋体"/>
          <w:strike w:val="0"/>
          <w:dstrike w:val="0"/>
          <w:color w:val="auto"/>
          <w:spacing w:val="-1"/>
          <w:sz w:val="24"/>
          <w:szCs w:val="24"/>
          <w:highlight w:val="none"/>
        </w:rPr>
        <w:t>同时将中标结果通</w:t>
      </w:r>
      <w:r>
        <w:rPr>
          <w:rFonts w:ascii="宋体" w:hAnsi="宋体" w:eastAsia="宋体" w:cs="宋体"/>
          <w:strike w:val="0"/>
          <w:dstrike w:val="0"/>
          <w:color w:val="auto"/>
          <w:spacing w:val="-2"/>
          <w:sz w:val="24"/>
          <w:szCs w:val="24"/>
          <w:highlight w:val="none"/>
        </w:rPr>
        <w:t>知未中标的投标人</w:t>
      </w:r>
      <w:r>
        <w:rPr>
          <w:rFonts w:ascii="宋体" w:hAnsi="宋体" w:eastAsia="宋体" w:cs="宋体"/>
          <w:strike w:val="0"/>
          <w:color w:val="auto"/>
          <w:spacing w:val="-2"/>
          <w:sz w:val="24"/>
          <w:szCs w:val="24"/>
          <w:highlight w:val="none"/>
        </w:rPr>
        <w:t>。</w:t>
      </w:r>
    </w:p>
    <w:p w14:paraId="190082EC">
      <w:pPr>
        <w:spacing w:line="226"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7.3  </w:t>
      </w:r>
      <w:r>
        <w:rPr>
          <w:rFonts w:ascii="楷体" w:hAnsi="楷体" w:eastAsia="楷体" w:cs="楷体"/>
          <w:b/>
          <w:bCs/>
          <w:color w:val="auto"/>
          <w:spacing w:val="-2"/>
          <w:sz w:val="24"/>
          <w:szCs w:val="24"/>
          <w:highlight w:val="none"/>
        </w:rPr>
        <w:t>履约担保</w:t>
      </w:r>
    </w:p>
    <w:p w14:paraId="29B02DB0">
      <w:pPr>
        <w:spacing w:before="172" w:line="324" w:lineRule="auto"/>
        <w:ind w:left="1" w:right="2" w:firstLine="481"/>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7.3.1  </w:t>
      </w:r>
      <w:r>
        <w:rPr>
          <w:rFonts w:ascii="宋体" w:hAnsi="宋体" w:eastAsia="宋体" w:cs="宋体"/>
          <w:color w:val="auto"/>
          <w:sz w:val="24"/>
          <w:szCs w:val="24"/>
          <w:highlight w:val="none"/>
        </w:rPr>
        <w:t>在签订合同前，中标人应按投标人须知前附表规定的金额、担保形式和招</w:t>
      </w:r>
      <w:r>
        <w:rPr>
          <w:rFonts w:ascii="宋体" w:hAnsi="宋体" w:eastAsia="宋体" w:cs="宋体"/>
          <w:color w:val="auto"/>
          <w:spacing w:val="15"/>
          <w:sz w:val="24"/>
          <w:szCs w:val="24"/>
          <w:highlight w:val="none"/>
        </w:rPr>
        <w:t xml:space="preserve"> </w:t>
      </w:r>
      <w:r>
        <w:rPr>
          <w:rFonts w:ascii="宋体" w:hAnsi="宋体" w:eastAsia="宋体" w:cs="宋体"/>
          <w:color w:val="auto"/>
          <w:spacing w:val="-3"/>
          <w:sz w:val="24"/>
          <w:szCs w:val="24"/>
          <w:highlight w:val="none"/>
        </w:rPr>
        <w:t>标文件第四章“合同条款及格式”规定的履约担保格式向招标人提交履约担保。联合</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体中标的，其履约担保由牵头人递交，并应符合投标人须知前附表规定的金额、担保</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形式和招标文件第四章“合同条款及格式”规定的履约担保格式要求。</w:t>
      </w:r>
    </w:p>
    <w:p w14:paraId="20F8951F">
      <w:pPr>
        <w:spacing w:before="181" w:line="313" w:lineRule="auto"/>
        <w:ind w:left="2" w:firstLine="480"/>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7.3.2</w:t>
      </w:r>
      <w:r>
        <w:rPr>
          <w:rFonts w:ascii="Times New Roman" w:hAnsi="Times New Roman" w:eastAsia="Times New Roman" w:cs="Times New Roman"/>
          <w:b/>
          <w:bCs/>
          <w:color w:val="auto"/>
          <w:spacing w:val="16"/>
          <w:sz w:val="24"/>
          <w:szCs w:val="24"/>
          <w:highlight w:val="none"/>
        </w:rPr>
        <w:t xml:space="preserve">  </w:t>
      </w:r>
      <w:r>
        <w:rPr>
          <w:rFonts w:ascii="宋体" w:hAnsi="宋体" w:eastAsia="宋体" w:cs="宋体"/>
          <w:color w:val="auto"/>
          <w:sz w:val="24"/>
          <w:szCs w:val="24"/>
          <w:highlight w:val="none"/>
        </w:rPr>
        <w:t>中标人不能按本章第</w:t>
      </w:r>
      <w:r>
        <w:rPr>
          <w:rFonts w:ascii="Times New Roman" w:hAnsi="Times New Roman" w:eastAsia="Times New Roman" w:cs="Times New Roman"/>
          <w:color w:val="auto"/>
          <w:sz w:val="24"/>
          <w:szCs w:val="24"/>
          <w:highlight w:val="none"/>
        </w:rPr>
        <w:t>7.3.1</w:t>
      </w:r>
      <w:r>
        <w:rPr>
          <w:rFonts w:ascii="宋体" w:hAnsi="宋体" w:eastAsia="宋体" w:cs="宋体"/>
          <w:color w:val="auto"/>
          <w:sz w:val="24"/>
          <w:szCs w:val="24"/>
          <w:highlight w:val="none"/>
        </w:rPr>
        <w:t>项要求提交履约</w:t>
      </w:r>
      <w:r>
        <w:rPr>
          <w:rFonts w:ascii="宋体" w:hAnsi="宋体" w:eastAsia="宋体" w:cs="宋体"/>
          <w:color w:val="auto"/>
          <w:spacing w:val="-1"/>
          <w:sz w:val="24"/>
          <w:szCs w:val="24"/>
          <w:highlight w:val="none"/>
        </w:rPr>
        <w:t>担保的，视为放弃中标，其投标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保证金不予退还，给招标人造成的损失超过投标保证金数额的，中标人还应当对超过</w:t>
      </w:r>
      <w:r>
        <w:rPr>
          <w:rFonts w:ascii="宋体" w:hAnsi="宋体" w:eastAsia="宋体" w:cs="宋体"/>
          <w:color w:val="auto"/>
          <w:spacing w:val="8"/>
          <w:sz w:val="24"/>
          <w:szCs w:val="24"/>
          <w:highlight w:val="none"/>
        </w:rPr>
        <w:t xml:space="preserve"> </w:t>
      </w:r>
      <w:r>
        <w:rPr>
          <w:rFonts w:ascii="宋体" w:hAnsi="宋体" w:eastAsia="宋体" w:cs="宋体"/>
          <w:color w:val="auto"/>
          <w:spacing w:val="-6"/>
          <w:sz w:val="24"/>
          <w:szCs w:val="24"/>
          <w:highlight w:val="none"/>
        </w:rPr>
        <w:t>部分予以赔偿。</w:t>
      </w:r>
    </w:p>
    <w:p w14:paraId="4F9E137F">
      <w:pPr>
        <w:spacing w:before="182"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7.4  </w:t>
      </w:r>
      <w:r>
        <w:rPr>
          <w:rFonts w:ascii="楷体" w:hAnsi="楷体" w:eastAsia="楷体" w:cs="楷体"/>
          <w:b/>
          <w:bCs/>
          <w:color w:val="auto"/>
          <w:spacing w:val="-2"/>
          <w:sz w:val="24"/>
          <w:szCs w:val="24"/>
          <w:highlight w:val="none"/>
        </w:rPr>
        <w:t>签订合同</w:t>
      </w:r>
    </w:p>
    <w:p w14:paraId="627ECE44">
      <w:pPr>
        <w:spacing w:before="177" w:line="289" w:lineRule="auto"/>
        <w:ind w:left="3" w:right="1" w:firstLine="479"/>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7.4.1</w:t>
      </w:r>
      <w:r>
        <w:rPr>
          <w:rFonts w:ascii="宋体" w:hAnsi="宋体" w:eastAsia="宋体" w:cs="宋体"/>
          <w:color w:val="auto"/>
          <w:spacing w:val="-3"/>
          <w:sz w:val="24"/>
          <w:szCs w:val="24"/>
          <w:highlight w:val="none"/>
        </w:rPr>
        <w:t>招标人和中标人应当自中标通知书发出之日起</w:t>
      </w:r>
      <w:r>
        <w:rPr>
          <w:rFonts w:ascii="Times New Roman" w:hAnsi="Times New Roman" w:eastAsia="Times New Roman" w:cs="Times New Roman"/>
          <w:color w:val="auto"/>
          <w:spacing w:val="-3"/>
          <w:sz w:val="24"/>
          <w:szCs w:val="24"/>
          <w:highlight w:val="none"/>
        </w:rPr>
        <w:t>30</w:t>
      </w:r>
      <w:r>
        <w:rPr>
          <w:rFonts w:ascii="宋体" w:hAnsi="宋体" w:eastAsia="宋体" w:cs="宋体"/>
          <w:color w:val="auto"/>
          <w:spacing w:val="-3"/>
          <w:sz w:val="24"/>
          <w:szCs w:val="24"/>
          <w:highlight w:val="none"/>
        </w:rPr>
        <w:t>日内，根据招标文件和中标</w:t>
      </w:r>
      <w:r>
        <w:rPr>
          <w:rFonts w:ascii="宋体" w:hAnsi="宋体" w:eastAsia="宋体" w:cs="宋体"/>
          <w:color w:val="auto"/>
          <w:spacing w:val="14"/>
          <w:sz w:val="24"/>
          <w:szCs w:val="24"/>
          <w:highlight w:val="none"/>
        </w:rPr>
        <w:t xml:space="preserve"> </w:t>
      </w:r>
      <w:r>
        <w:rPr>
          <w:rFonts w:ascii="宋体" w:hAnsi="宋体" w:eastAsia="宋体" w:cs="宋体"/>
          <w:color w:val="auto"/>
          <w:spacing w:val="-2"/>
          <w:sz w:val="24"/>
          <w:szCs w:val="24"/>
          <w:highlight w:val="none"/>
        </w:rPr>
        <w:t>人的投标文件通过电子招标投标交易平台以数据电文形式签订合同。</w:t>
      </w:r>
    </w:p>
    <w:p w14:paraId="3EAE6A27">
      <w:pPr>
        <w:spacing w:before="181" w:line="290" w:lineRule="auto"/>
        <w:ind w:left="1" w:right="2" w:firstLine="481"/>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7.4.2  </w:t>
      </w:r>
      <w:r>
        <w:rPr>
          <w:rFonts w:ascii="宋体" w:hAnsi="宋体" w:eastAsia="宋体" w:cs="宋体"/>
          <w:color w:val="auto"/>
          <w:sz w:val="24"/>
          <w:szCs w:val="24"/>
          <w:highlight w:val="none"/>
        </w:rPr>
        <w:t>发出中标通知书后，招标人无正当理由拒签合同的，招标人向中标人退还</w:t>
      </w:r>
      <w:r>
        <w:rPr>
          <w:rFonts w:ascii="宋体" w:hAnsi="宋体" w:eastAsia="宋体" w:cs="宋体"/>
          <w:color w:val="auto"/>
          <w:spacing w:val="15"/>
          <w:sz w:val="24"/>
          <w:szCs w:val="24"/>
          <w:highlight w:val="none"/>
        </w:rPr>
        <w:t xml:space="preserve"> </w:t>
      </w:r>
      <w:r>
        <w:rPr>
          <w:rFonts w:ascii="宋体" w:hAnsi="宋体" w:eastAsia="宋体" w:cs="宋体"/>
          <w:color w:val="auto"/>
          <w:spacing w:val="-5"/>
          <w:sz w:val="24"/>
          <w:szCs w:val="24"/>
          <w:highlight w:val="none"/>
        </w:rPr>
        <w:t>双倍的投标保证金。</w:t>
      </w:r>
    </w:p>
    <w:p w14:paraId="7494C190">
      <w:pPr>
        <w:spacing w:before="178" w:line="313" w:lineRule="auto"/>
        <w:ind w:left="1" w:right="2" w:firstLine="481"/>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7.4.3  </w:t>
      </w:r>
      <w:r>
        <w:rPr>
          <w:rFonts w:ascii="宋体" w:hAnsi="宋体" w:eastAsia="宋体" w:cs="宋体"/>
          <w:color w:val="auto"/>
          <w:sz w:val="24"/>
          <w:szCs w:val="24"/>
          <w:highlight w:val="none"/>
        </w:rPr>
        <w:t>发出中标通知书后，中标人无正当理由拒签合同的，招标人取消其中标资</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格，其投标保证金不予退还；给招标人造成的损失超过投标保证金数额的，中标人还</w:t>
      </w:r>
      <w:r>
        <w:rPr>
          <w:rFonts w:ascii="宋体" w:hAnsi="宋体" w:eastAsia="宋体" w:cs="宋体"/>
          <w:color w:val="auto"/>
          <w:spacing w:val="7"/>
          <w:sz w:val="24"/>
          <w:szCs w:val="24"/>
          <w:highlight w:val="none"/>
        </w:rPr>
        <w:t xml:space="preserve"> </w:t>
      </w:r>
      <w:r>
        <w:rPr>
          <w:rFonts w:ascii="宋体" w:hAnsi="宋体" w:eastAsia="宋体" w:cs="宋体"/>
          <w:color w:val="auto"/>
          <w:spacing w:val="-4"/>
          <w:sz w:val="24"/>
          <w:szCs w:val="24"/>
          <w:highlight w:val="none"/>
        </w:rPr>
        <w:t>应当对超过部分予以赔偿。</w:t>
      </w:r>
    </w:p>
    <w:p w14:paraId="4E7D1B06">
      <w:pPr>
        <w:spacing w:before="308" w:line="227" w:lineRule="auto"/>
        <w:ind w:left="1"/>
        <w:outlineLvl w:val="2"/>
        <w:rPr>
          <w:rFonts w:ascii="宋体" w:hAnsi="宋体" w:eastAsia="宋体" w:cs="宋体"/>
          <w:color w:val="auto"/>
          <w:sz w:val="27"/>
          <w:szCs w:val="27"/>
          <w:highlight w:val="none"/>
        </w:rPr>
      </w:pPr>
      <w:bookmarkStart w:id="56" w:name="bookmark32"/>
      <w:bookmarkEnd w:id="56"/>
      <w:bookmarkStart w:id="57" w:name="_Toc9265"/>
      <w:r>
        <w:rPr>
          <w:rFonts w:ascii="Times New Roman" w:hAnsi="Times New Roman" w:eastAsia="Times New Roman" w:cs="Times New Roman"/>
          <w:b/>
          <w:bCs/>
          <w:color w:val="auto"/>
          <w:spacing w:val="6"/>
          <w:sz w:val="27"/>
          <w:szCs w:val="27"/>
          <w:highlight w:val="none"/>
        </w:rPr>
        <w:t xml:space="preserve">8  </w:t>
      </w:r>
      <w:r>
        <w:rPr>
          <w:rFonts w:ascii="宋体" w:hAnsi="宋体" w:eastAsia="宋体" w:cs="宋体"/>
          <w:b/>
          <w:bCs/>
          <w:color w:val="auto"/>
          <w:spacing w:val="6"/>
          <w:sz w:val="27"/>
          <w:szCs w:val="27"/>
          <w:highlight w:val="none"/>
        </w:rPr>
        <w:t>重新招标和不再招标</w:t>
      </w:r>
      <w:bookmarkEnd w:id="57"/>
    </w:p>
    <w:p w14:paraId="57568CE3">
      <w:pPr>
        <w:pStyle w:val="8"/>
        <w:spacing w:line="247" w:lineRule="auto"/>
        <w:rPr>
          <w:color w:val="auto"/>
          <w:highlight w:val="none"/>
        </w:rPr>
      </w:pPr>
    </w:p>
    <w:p w14:paraId="5CE54653">
      <w:pPr>
        <w:spacing w:before="78" w:line="225"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8.1</w:t>
      </w:r>
      <w:r>
        <w:rPr>
          <w:rFonts w:ascii="Times New Roman" w:hAnsi="Times New Roman" w:eastAsia="Times New Roman" w:cs="Times New Roman"/>
          <w:b/>
          <w:bCs/>
          <w:color w:val="auto"/>
          <w:spacing w:val="7"/>
          <w:sz w:val="24"/>
          <w:szCs w:val="24"/>
          <w:highlight w:val="none"/>
        </w:rPr>
        <w:t xml:space="preserve">  </w:t>
      </w:r>
      <w:r>
        <w:rPr>
          <w:rFonts w:ascii="楷体" w:hAnsi="楷体" w:eastAsia="楷体" w:cs="楷体"/>
          <w:b/>
          <w:bCs/>
          <w:color w:val="auto"/>
          <w:spacing w:val="-4"/>
          <w:sz w:val="24"/>
          <w:szCs w:val="24"/>
          <w:highlight w:val="none"/>
        </w:rPr>
        <w:t>重新招标</w:t>
      </w:r>
    </w:p>
    <w:p w14:paraId="7948DF27">
      <w:pPr>
        <w:spacing w:before="174" w:line="220" w:lineRule="auto"/>
        <w:ind w:left="48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有下列情形之一的，招标人将重新招标：</w:t>
      </w:r>
    </w:p>
    <w:p w14:paraId="040DE280">
      <w:pPr>
        <w:spacing w:before="182" w:line="289" w:lineRule="auto"/>
        <w:ind w:left="2" w:right="2"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1</w:t>
      </w:r>
      <w:r>
        <w:rPr>
          <w:rFonts w:ascii="宋体" w:hAnsi="宋体" w:eastAsia="宋体" w:cs="宋体"/>
          <w:color w:val="auto"/>
          <w:sz w:val="24"/>
          <w:szCs w:val="24"/>
          <w:highlight w:val="none"/>
        </w:rPr>
        <w:t>） 投标报名截止时间止，报名参加投标的潜在投标人少于</w:t>
      </w:r>
      <w:r>
        <w:rPr>
          <w:rFonts w:ascii="Times New Roman" w:hAnsi="Times New Roman" w:eastAsia="Times New Roman" w:cs="Times New Roman"/>
          <w:color w:val="auto"/>
          <w:sz w:val="24"/>
          <w:szCs w:val="24"/>
          <w:highlight w:val="none"/>
        </w:rPr>
        <w:t>3</w:t>
      </w:r>
      <w:r>
        <w:rPr>
          <w:rFonts w:ascii="宋体" w:hAnsi="宋体" w:eastAsia="宋体" w:cs="宋体"/>
          <w:color w:val="auto"/>
          <w:sz w:val="24"/>
          <w:szCs w:val="24"/>
          <w:highlight w:val="none"/>
        </w:rPr>
        <w:t>个的；或投标截</w:t>
      </w:r>
      <w:r>
        <w:rPr>
          <w:rFonts w:ascii="宋体" w:hAnsi="宋体" w:eastAsia="宋体" w:cs="宋体"/>
          <w:color w:val="auto"/>
          <w:spacing w:val="11"/>
          <w:sz w:val="24"/>
          <w:szCs w:val="24"/>
          <w:highlight w:val="none"/>
        </w:rPr>
        <w:t xml:space="preserve"> </w:t>
      </w:r>
      <w:r>
        <w:rPr>
          <w:rFonts w:ascii="宋体" w:hAnsi="宋体" w:eastAsia="宋体" w:cs="宋体"/>
          <w:color w:val="auto"/>
          <w:spacing w:val="-3"/>
          <w:sz w:val="24"/>
          <w:szCs w:val="24"/>
          <w:highlight w:val="none"/>
        </w:rPr>
        <w:t>止时间止，投标人少于</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个的。</w:t>
      </w:r>
    </w:p>
    <w:p w14:paraId="56ED1B13">
      <w:pPr>
        <w:spacing w:before="181" w:line="219"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）经评标委员会评审后否决所有投标的。</w:t>
      </w:r>
    </w:p>
    <w:p w14:paraId="5A2A94A6">
      <w:pPr>
        <w:spacing w:before="182" w:line="289" w:lineRule="auto"/>
        <w:ind w:left="2" w:right="1" w:firstLine="4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）评标委员会否决不合格投标后因有效标不足</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个使得投标明显缺乏竞争，评</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标委员会否决全部投标的。</w:t>
      </w:r>
    </w:p>
    <w:p w14:paraId="5EE467B3">
      <w:pPr>
        <w:spacing w:before="183" w:line="220"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）同意延长投标有效期的投标人少于</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个的。</w:t>
      </w:r>
    </w:p>
    <w:p w14:paraId="062380D2">
      <w:pPr>
        <w:spacing w:before="181" w:line="220" w:lineRule="auto"/>
        <w:ind w:left="487"/>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）中标候选人均未与招标人签订合同的。</w:t>
      </w:r>
    </w:p>
    <w:p w14:paraId="5AE24D30">
      <w:pPr>
        <w:spacing w:before="181" w:line="220"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6</w:t>
      </w:r>
      <w:r>
        <w:rPr>
          <w:rFonts w:ascii="宋体" w:hAnsi="宋体" w:eastAsia="宋体" w:cs="宋体"/>
          <w:color w:val="auto"/>
          <w:spacing w:val="-3"/>
          <w:sz w:val="24"/>
          <w:szCs w:val="24"/>
          <w:highlight w:val="none"/>
        </w:rPr>
        <w:t>）出现本须知第</w:t>
      </w:r>
      <w:r>
        <w:rPr>
          <w:rFonts w:ascii="Times New Roman" w:hAnsi="Times New Roman" w:eastAsia="Times New Roman" w:cs="Times New Roman"/>
          <w:color w:val="auto"/>
          <w:spacing w:val="-3"/>
          <w:sz w:val="24"/>
          <w:szCs w:val="24"/>
          <w:highlight w:val="none"/>
        </w:rPr>
        <w:t>7.1.7</w:t>
      </w:r>
      <w:r>
        <w:rPr>
          <w:rFonts w:ascii="宋体" w:hAnsi="宋体" w:eastAsia="宋体" w:cs="宋体"/>
          <w:color w:val="auto"/>
          <w:spacing w:val="-3"/>
          <w:sz w:val="24"/>
          <w:szCs w:val="24"/>
          <w:highlight w:val="none"/>
        </w:rPr>
        <w:t>项情形的。</w:t>
      </w:r>
    </w:p>
    <w:p w14:paraId="7FC6ED84">
      <w:pPr>
        <w:spacing w:before="182" w:line="227" w:lineRule="auto"/>
        <w:rPr>
          <w:rFonts w:ascii="楷体" w:hAnsi="楷体" w:eastAsia="楷体" w:cs="楷体"/>
          <w:color w:val="auto"/>
          <w:sz w:val="24"/>
          <w:szCs w:val="24"/>
          <w:highlight w:val="none"/>
        </w:rPr>
      </w:pPr>
      <w:bookmarkStart w:id="58" w:name="bookmark380"/>
      <w:bookmarkEnd w:id="58"/>
      <w:r>
        <w:rPr>
          <w:rFonts w:ascii="Times New Roman" w:hAnsi="Times New Roman" w:eastAsia="Times New Roman" w:cs="Times New Roman"/>
          <w:b/>
          <w:bCs/>
          <w:color w:val="auto"/>
          <w:spacing w:val="-4"/>
          <w:sz w:val="24"/>
          <w:szCs w:val="24"/>
          <w:highlight w:val="none"/>
        </w:rPr>
        <w:t>8.2</w:t>
      </w:r>
      <w:r>
        <w:rPr>
          <w:rFonts w:ascii="Times New Roman" w:hAnsi="Times New Roman" w:eastAsia="Times New Roman" w:cs="Times New Roman"/>
          <w:b/>
          <w:bCs/>
          <w:color w:val="auto"/>
          <w:spacing w:val="7"/>
          <w:sz w:val="24"/>
          <w:szCs w:val="24"/>
          <w:highlight w:val="none"/>
        </w:rPr>
        <w:t xml:space="preserve">  </w:t>
      </w:r>
      <w:r>
        <w:rPr>
          <w:rFonts w:ascii="楷体" w:hAnsi="楷体" w:eastAsia="楷体" w:cs="楷体"/>
          <w:b/>
          <w:bCs/>
          <w:color w:val="auto"/>
          <w:spacing w:val="-4"/>
          <w:sz w:val="24"/>
          <w:szCs w:val="24"/>
          <w:highlight w:val="none"/>
        </w:rPr>
        <w:t>不再招标</w:t>
      </w:r>
    </w:p>
    <w:p w14:paraId="34184D90">
      <w:pPr>
        <w:spacing w:before="171" w:line="361" w:lineRule="auto"/>
        <w:ind w:right="198" w:firstLine="4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重新招标后，仍出现本章</w:t>
      </w:r>
      <w:r>
        <w:rPr>
          <w:rFonts w:ascii="Times New Roman" w:hAnsi="Times New Roman" w:eastAsia="Times New Roman" w:cs="Times New Roman"/>
          <w:color w:val="auto"/>
          <w:spacing w:val="-2"/>
          <w:sz w:val="24"/>
          <w:szCs w:val="24"/>
          <w:highlight w:val="none"/>
        </w:rPr>
        <w:t>8.1</w:t>
      </w:r>
      <w:r>
        <w:rPr>
          <w:rFonts w:ascii="宋体" w:hAnsi="宋体" w:eastAsia="宋体" w:cs="宋体"/>
          <w:color w:val="auto"/>
          <w:spacing w:val="-2"/>
          <w:sz w:val="24"/>
          <w:szCs w:val="24"/>
          <w:highlight w:val="none"/>
        </w:rPr>
        <w:t>款（</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）规定情形的，属于必须审批、核准的</w:t>
      </w:r>
      <w:r>
        <w:rPr>
          <w:rFonts w:ascii="宋体" w:hAnsi="宋体" w:eastAsia="宋体" w:cs="宋体"/>
          <w:strike/>
          <w:dstrike w:val="0"/>
          <w:color w:val="auto"/>
          <w:spacing w:val="-2"/>
          <w:sz w:val="24"/>
          <w:szCs w:val="24"/>
          <w:highlight w:val="none"/>
        </w:rPr>
        <w:t>水利工程</w:t>
      </w:r>
      <w:r>
        <w:rPr>
          <w:rFonts w:ascii="宋体" w:hAnsi="宋体" w:eastAsia="宋体" w:cs="宋体"/>
          <w:color w:val="auto"/>
          <w:spacing w:val="-2"/>
          <w:sz w:val="24"/>
          <w:szCs w:val="24"/>
          <w:highlight w:val="none"/>
        </w:rPr>
        <w:t>建设项目，经原审批、核准部门审批、核准后不再进行招标。</w:t>
      </w:r>
    </w:p>
    <w:p w14:paraId="00FA7DA7">
      <w:pPr>
        <w:spacing w:before="121" w:line="226" w:lineRule="auto"/>
        <w:ind w:left="1"/>
        <w:outlineLvl w:val="2"/>
        <w:rPr>
          <w:rFonts w:ascii="宋体" w:hAnsi="宋体" w:eastAsia="宋体" w:cs="宋体"/>
          <w:color w:val="auto"/>
          <w:sz w:val="27"/>
          <w:szCs w:val="27"/>
          <w:highlight w:val="none"/>
        </w:rPr>
      </w:pPr>
      <w:bookmarkStart w:id="59" w:name="bookmark33"/>
      <w:bookmarkEnd w:id="59"/>
      <w:bookmarkStart w:id="60" w:name="_Toc20824"/>
      <w:r>
        <w:rPr>
          <w:rFonts w:ascii="Times New Roman" w:hAnsi="Times New Roman" w:eastAsia="Times New Roman" w:cs="Times New Roman"/>
          <w:b/>
          <w:bCs/>
          <w:color w:val="auto"/>
          <w:spacing w:val="2"/>
          <w:sz w:val="27"/>
          <w:szCs w:val="27"/>
          <w:highlight w:val="none"/>
        </w:rPr>
        <w:t>9</w:t>
      </w:r>
      <w:r>
        <w:rPr>
          <w:rFonts w:ascii="Times New Roman" w:hAnsi="Times New Roman" w:eastAsia="Times New Roman" w:cs="Times New Roman"/>
          <w:b/>
          <w:bCs/>
          <w:color w:val="auto"/>
          <w:spacing w:val="13"/>
          <w:sz w:val="27"/>
          <w:szCs w:val="27"/>
          <w:highlight w:val="none"/>
        </w:rPr>
        <w:t xml:space="preserve">  </w:t>
      </w:r>
      <w:r>
        <w:rPr>
          <w:rFonts w:ascii="宋体" w:hAnsi="宋体" w:eastAsia="宋体" w:cs="宋体"/>
          <w:b/>
          <w:bCs/>
          <w:color w:val="auto"/>
          <w:spacing w:val="2"/>
          <w:sz w:val="27"/>
          <w:szCs w:val="27"/>
          <w:highlight w:val="none"/>
        </w:rPr>
        <w:t>纪律和监督</w:t>
      </w:r>
      <w:bookmarkEnd w:id="60"/>
    </w:p>
    <w:p w14:paraId="2092007A">
      <w:pPr>
        <w:pStyle w:val="8"/>
        <w:spacing w:line="247" w:lineRule="auto"/>
        <w:rPr>
          <w:color w:val="auto"/>
          <w:highlight w:val="none"/>
        </w:rPr>
      </w:pPr>
    </w:p>
    <w:p w14:paraId="060DEBC3">
      <w:pPr>
        <w:spacing w:before="79" w:line="224"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9.1  </w:t>
      </w:r>
      <w:r>
        <w:rPr>
          <w:rFonts w:ascii="楷体" w:hAnsi="楷体" w:eastAsia="楷体" w:cs="楷体"/>
          <w:b/>
          <w:bCs/>
          <w:color w:val="auto"/>
          <w:spacing w:val="-2"/>
          <w:sz w:val="24"/>
          <w:szCs w:val="24"/>
          <w:highlight w:val="none"/>
        </w:rPr>
        <w:t>对招标人的纪律要求</w:t>
      </w:r>
    </w:p>
    <w:p w14:paraId="4E0F72AF">
      <w:pPr>
        <w:spacing w:before="176" w:line="359" w:lineRule="auto"/>
        <w:ind w:left="25" w:right="186" w:firstLine="45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招标人不得泄漏招标投标活动中应当保密的情况和资料，不得与投标人串通损害</w:t>
      </w:r>
      <w:r>
        <w:rPr>
          <w:rFonts w:ascii="宋体" w:hAnsi="宋体" w:eastAsia="宋体" w:cs="宋体"/>
          <w:color w:val="auto"/>
          <w:spacing w:val="-4"/>
          <w:sz w:val="24"/>
          <w:szCs w:val="24"/>
          <w:highlight w:val="none"/>
        </w:rPr>
        <w:t>国家利益、社会公共利益或者他人合法权益。</w:t>
      </w:r>
    </w:p>
    <w:p w14:paraId="513DAD67">
      <w:pPr>
        <w:spacing w:line="220"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下列行为均属招标人与投标人串通投标：</w:t>
      </w:r>
    </w:p>
    <w:p w14:paraId="73D5870B">
      <w:pPr>
        <w:spacing w:before="180" w:line="220"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）招标人在开标前开启投标文件并将有关信息泄露给其他投标人。</w:t>
      </w:r>
    </w:p>
    <w:p w14:paraId="0B3B9B8C">
      <w:pPr>
        <w:spacing w:before="181" w:line="219"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）招标人直接或者间接向投标人泄露标底、评标委员会成员等信息。</w:t>
      </w:r>
    </w:p>
    <w:p w14:paraId="63029417">
      <w:pPr>
        <w:spacing w:before="184" w:line="218"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）招标人明示或者暗示投标人压低或者抬高投标报价。</w:t>
      </w:r>
    </w:p>
    <w:p w14:paraId="4849F6B6">
      <w:pPr>
        <w:spacing w:before="183" w:line="220" w:lineRule="auto"/>
        <w:ind w:left="48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4</w:t>
      </w:r>
      <w:r>
        <w:rPr>
          <w:rFonts w:ascii="宋体" w:hAnsi="宋体" w:eastAsia="宋体" w:cs="宋体"/>
          <w:color w:val="auto"/>
          <w:spacing w:val="-3"/>
          <w:sz w:val="24"/>
          <w:szCs w:val="24"/>
          <w:highlight w:val="none"/>
        </w:rPr>
        <w:t>）招标人授意投标人撤换、修改投标文件。</w:t>
      </w:r>
    </w:p>
    <w:p w14:paraId="5D2B02CF">
      <w:pPr>
        <w:spacing w:before="181" w:line="219"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）招标人明示或者暗示投标人为特定投标人中标提供方便。</w:t>
      </w:r>
    </w:p>
    <w:p w14:paraId="5510F8D0">
      <w:pPr>
        <w:spacing w:before="182" w:line="219"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）招标人与投标人为谋求特定投标人中标而采取的其他串通行为。</w:t>
      </w:r>
    </w:p>
    <w:p w14:paraId="3295D24A">
      <w:pPr>
        <w:spacing w:before="182" w:line="224"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9.2  </w:t>
      </w:r>
      <w:r>
        <w:rPr>
          <w:rFonts w:ascii="楷体" w:hAnsi="楷体" w:eastAsia="楷体" w:cs="楷体"/>
          <w:b/>
          <w:bCs/>
          <w:color w:val="auto"/>
          <w:spacing w:val="-2"/>
          <w:sz w:val="24"/>
          <w:szCs w:val="24"/>
          <w:highlight w:val="none"/>
        </w:rPr>
        <w:t>对投标人的纪律要求</w:t>
      </w:r>
    </w:p>
    <w:p w14:paraId="1DEB8229">
      <w:pPr>
        <w:spacing w:before="176" w:line="359" w:lineRule="auto"/>
        <w:ind w:left="3" w:right="185" w:firstLine="48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投标人不得相互串通投标或者与招标人串通投标，不得向招标人或者评标委员会成员行贿谋取中标，不得以他人名义投标或者以其它方式弄虚作假骗取中标；投标人</w:t>
      </w:r>
      <w:r>
        <w:rPr>
          <w:rFonts w:ascii="宋体" w:hAnsi="宋体" w:eastAsia="宋体" w:cs="宋体"/>
          <w:color w:val="auto"/>
          <w:spacing w:val="-2"/>
          <w:sz w:val="24"/>
          <w:szCs w:val="24"/>
          <w:highlight w:val="none"/>
        </w:rPr>
        <w:t>不得以任何方式干扰、影响评标工作。具体行为见投标人须知前附表。</w:t>
      </w:r>
    </w:p>
    <w:p w14:paraId="5B5FA2CB">
      <w:pPr>
        <w:spacing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9.3  </w:t>
      </w:r>
      <w:r>
        <w:rPr>
          <w:rFonts w:ascii="楷体" w:hAnsi="楷体" w:eastAsia="楷体" w:cs="楷体"/>
          <w:b/>
          <w:bCs/>
          <w:color w:val="auto"/>
          <w:spacing w:val="-2"/>
          <w:sz w:val="24"/>
          <w:szCs w:val="24"/>
          <w:highlight w:val="none"/>
        </w:rPr>
        <w:t>对评标委员会成员的纪律要求</w:t>
      </w:r>
    </w:p>
    <w:p w14:paraId="658E69A4">
      <w:pPr>
        <w:spacing w:before="177" w:line="359" w:lineRule="auto"/>
        <w:ind w:left="5" w:firstLine="475"/>
        <w:jc w:val="both"/>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评标委员会成员不得私下接触投标人，不得收受投标人</w:t>
      </w:r>
      <w:r>
        <w:rPr>
          <w:rFonts w:ascii="宋体" w:hAnsi="宋体" w:eastAsia="宋体" w:cs="宋体"/>
          <w:color w:val="auto"/>
          <w:spacing w:val="-5"/>
          <w:sz w:val="24"/>
          <w:szCs w:val="24"/>
          <w:highlight w:val="none"/>
        </w:rPr>
        <w:t>给予的财物或者其他好处</w:t>
      </w:r>
      <w:r>
        <w:rPr>
          <w:rFonts w:hint="eastAsia" w:ascii="宋体" w:hAnsi="宋体" w:eastAsia="宋体" w:cs="宋体"/>
          <w:color w:val="auto"/>
          <w:spacing w:val="-5"/>
          <w:sz w:val="24"/>
          <w:szCs w:val="24"/>
          <w:highlight w:val="none"/>
          <w:lang w:eastAsia="zh-CN"/>
        </w:rPr>
        <w:t>，</w:t>
      </w:r>
      <w:r>
        <w:rPr>
          <w:rFonts w:ascii="宋体" w:hAnsi="宋体" w:eastAsia="宋体" w:cs="宋体"/>
          <w:color w:val="auto"/>
          <w:spacing w:val="-3"/>
          <w:sz w:val="24"/>
          <w:szCs w:val="24"/>
          <w:highlight w:val="none"/>
        </w:rPr>
        <w:t>不得向招标人征询确定中标人的意向，不得接受任何单位或者个人明示或者暗示提出</w:t>
      </w:r>
      <w:r>
        <w:rPr>
          <w:rFonts w:ascii="宋体" w:hAnsi="宋体" w:eastAsia="宋体" w:cs="宋体"/>
          <w:color w:val="auto"/>
          <w:spacing w:val="-1"/>
          <w:sz w:val="24"/>
          <w:szCs w:val="24"/>
          <w:highlight w:val="none"/>
        </w:rPr>
        <w:t>的倾向或者排斥特定投标人的要求，不得有其他不客观</w:t>
      </w:r>
      <w:r>
        <w:rPr>
          <w:rFonts w:ascii="宋体" w:hAnsi="宋体" w:eastAsia="宋体" w:cs="宋体"/>
          <w:color w:val="auto"/>
          <w:spacing w:val="-2"/>
          <w:sz w:val="24"/>
          <w:szCs w:val="24"/>
          <w:highlight w:val="none"/>
        </w:rPr>
        <w:t>、不公正履行职务的行为。</w:t>
      </w:r>
    </w:p>
    <w:p w14:paraId="73B8D6E5">
      <w:pPr>
        <w:spacing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9.4  </w:t>
      </w:r>
      <w:r>
        <w:rPr>
          <w:rFonts w:ascii="楷体" w:hAnsi="楷体" w:eastAsia="楷体" w:cs="楷体"/>
          <w:b/>
          <w:bCs/>
          <w:color w:val="auto"/>
          <w:spacing w:val="-2"/>
          <w:sz w:val="24"/>
          <w:szCs w:val="24"/>
          <w:highlight w:val="none"/>
        </w:rPr>
        <w:t>对与评标活动有关的工作人员的纪律要求</w:t>
      </w:r>
    </w:p>
    <w:p w14:paraId="14A85C77">
      <w:pPr>
        <w:spacing w:before="179" w:line="359" w:lineRule="auto"/>
        <w:ind w:right="185" w:firstLine="485"/>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与评标活动有关的工作人员不得收受他人的财物或者其他好处，不得向他</w:t>
      </w:r>
      <w:r>
        <w:rPr>
          <w:rFonts w:ascii="宋体" w:hAnsi="宋体" w:eastAsia="宋体" w:cs="宋体"/>
          <w:color w:val="auto"/>
          <w:spacing w:val="-4"/>
          <w:sz w:val="24"/>
          <w:szCs w:val="24"/>
          <w:highlight w:val="none"/>
        </w:rPr>
        <w:t>人透漏</w:t>
      </w:r>
      <w:r>
        <w:rPr>
          <w:rFonts w:ascii="宋体" w:hAnsi="宋体" w:eastAsia="宋体" w:cs="宋体"/>
          <w:color w:val="auto"/>
          <w:spacing w:val="-3"/>
          <w:sz w:val="24"/>
          <w:szCs w:val="24"/>
          <w:highlight w:val="none"/>
        </w:rPr>
        <w:t>对投标文件的评审和比较、中标候选人的推荐情况以及评标有关的其他情况。在评标</w:t>
      </w:r>
      <w:r>
        <w:rPr>
          <w:rFonts w:ascii="宋体" w:hAnsi="宋体" w:eastAsia="宋体" w:cs="宋体"/>
          <w:color w:val="auto"/>
          <w:spacing w:val="-1"/>
          <w:sz w:val="24"/>
          <w:szCs w:val="24"/>
          <w:highlight w:val="none"/>
        </w:rPr>
        <w:t>活动中，与评标活动有关的工作人员不得擅离职守，影响</w:t>
      </w:r>
      <w:r>
        <w:rPr>
          <w:rFonts w:ascii="宋体" w:hAnsi="宋体" w:eastAsia="宋体" w:cs="宋体"/>
          <w:color w:val="auto"/>
          <w:spacing w:val="-2"/>
          <w:sz w:val="24"/>
          <w:szCs w:val="24"/>
          <w:highlight w:val="none"/>
        </w:rPr>
        <w:t>评标程序正常进行。</w:t>
      </w:r>
    </w:p>
    <w:p w14:paraId="48A1A535">
      <w:pPr>
        <w:spacing w:before="1"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9.5</w:t>
      </w:r>
      <w:r>
        <w:rPr>
          <w:rFonts w:ascii="Times New Roman" w:hAnsi="Times New Roman" w:eastAsia="Times New Roman" w:cs="Times New Roman"/>
          <w:b/>
          <w:bCs/>
          <w:color w:val="auto"/>
          <w:spacing w:val="9"/>
          <w:sz w:val="24"/>
          <w:szCs w:val="24"/>
          <w:highlight w:val="none"/>
        </w:rPr>
        <w:t xml:space="preserve">  </w:t>
      </w:r>
      <w:r>
        <w:rPr>
          <w:rFonts w:ascii="楷体" w:hAnsi="楷体" w:eastAsia="楷体" w:cs="楷体"/>
          <w:b/>
          <w:bCs/>
          <w:color w:val="auto"/>
          <w:spacing w:val="-4"/>
          <w:sz w:val="24"/>
          <w:szCs w:val="24"/>
          <w:highlight w:val="none"/>
        </w:rPr>
        <w:t>异议与投诉</w:t>
      </w:r>
    </w:p>
    <w:p w14:paraId="5E2D7CB6">
      <w:pPr>
        <w:spacing w:before="48" w:line="360" w:lineRule="auto"/>
        <w:ind w:right="149" w:firstLine="483"/>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投标人和其他利害关系人认为本次招标活动违</w:t>
      </w:r>
      <w:r>
        <w:rPr>
          <w:rFonts w:ascii="宋体" w:hAnsi="宋体" w:eastAsia="宋体" w:cs="宋体"/>
          <w:color w:val="auto"/>
          <w:spacing w:val="-1"/>
          <w:sz w:val="24"/>
          <w:szCs w:val="24"/>
          <w:highlight w:val="none"/>
        </w:rPr>
        <w:t>反法律、法规和规章规定的，有</w:t>
      </w:r>
      <w:r>
        <w:rPr>
          <w:rFonts w:ascii="宋体" w:hAnsi="宋体" w:eastAsia="宋体" w:cs="宋体"/>
          <w:color w:val="auto"/>
          <w:sz w:val="24"/>
          <w:szCs w:val="24"/>
          <w:highlight w:val="none"/>
        </w:rPr>
        <w:t xml:space="preserve"> 权按照《中华人民共和国招标投标法实施条例》等规定提出</w:t>
      </w:r>
      <w:r>
        <w:rPr>
          <w:rFonts w:ascii="宋体" w:hAnsi="宋体" w:eastAsia="宋体" w:cs="宋体"/>
          <w:color w:val="auto"/>
          <w:spacing w:val="-1"/>
          <w:sz w:val="24"/>
          <w:szCs w:val="24"/>
          <w:highlight w:val="none"/>
        </w:rPr>
        <w:t>书面异议和投诉。异议</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与投诉见投标人须知前附表。</w:t>
      </w:r>
    </w:p>
    <w:p w14:paraId="13DC4A95">
      <w:pPr>
        <w:spacing w:before="122" w:line="226" w:lineRule="auto"/>
        <w:ind w:left="10"/>
        <w:outlineLvl w:val="2"/>
        <w:rPr>
          <w:rFonts w:ascii="宋体" w:hAnsi="宋体" w:eastAsia="宋体" w:cs="宋体"/>
          <w:color w:val="auto"/>
          <w:sz w:val="27"/>
          <w:szCs w:val="27"/>
          <w:highlight w:val="none"/>
        </w:rPr>
      </w:pPr>
      <w:bookmarkStart w:id="61" w:name="bookmark34"/>
      <w:bookmarkEnd w:id="61"/>
      <w:bookmarkStart w:id="62" w:name="_Toc15730"/>
      <w:r>
        <w:rPr>
          <w:rFonts w:ascii="Times New Roman" w:hAnsi="Times New Roman" w:eastAsia="Times New Roman" w:cs="Times New Roman"/>
          <w:b/>
          <w:bCs/>
          <w:color w:val="auto"/>
          <w:spacing w:val="1"/>
          <w:sz w:val="27"/>
          <w:szCs w:val="27"/>
          <w:highlight w:val="none"/>
        </w:rPr>
        <w:t>10</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1"/>
          <w:sz w:val="27"/>
          <w:szCs w:val="27"/>
          <w:highlight w:val="none"/>
        </w:rPr>
        <w:t>其他内容</w:t>
      </w:r>
      <w:bookmarkEnd w:id="62"/>
    </w:p>
    <w:p w14:paraId="50FE8B3A">
      <w:pPr>
        <w:pStyle w:val="8"/>
        <w:spacing w:line="247" w:lineRule="auto"/>
        <w:rPr>
          <w:color w:val="auto"/>
          <w:highlight w:val="none"/>
        </w:rPr>
      </w:pPr>
    </w:p>
    <w:p w14:paraId="4FD663D6">
      <w:pPr>
        <w:spacing w:before="78" w:line="234"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6"/>
          <w:sz w:val="24"/>
          <w:szCs w:val="24"/>
          <w:highlight w:val="none"/>
        </w:rPr>
        <w:t>10.1</w:t>
      </w:r>
      <w:r>
        <w:rPr>
          <w:rFonts w:ascii="Times New Roman" w:hAnsi="Times New Roman" w:eastAsia="Times New Roman" w:cs="Times New Roman"/>
          <w:b/>
          <w:bCs/>
          <w:color w:val="auto"/>
          <w:spacing w:val="15"/>
          <w:sz w:val="24"/>
          <w:szCs w:val="24"/>
          <w:highlight w:val="none"/>
        </w:rPr>
        <w:t xml:space="preserve">  </w:t>
      </w:r>
      <w:r>
        <w:rPr>
          <w:rFonts w:ascii="楷体" w:hAnsi="楷体" w:eastAsia="楷体" w:cs="楷体"/>
          <w:b/>
          <w:bCs/>
          <w:color w:val="auto"/>
          <w:spacing w:val="-6"/>
          <w:sz w:val="24"/>
          <w:szCs w:val="24"/>
          <w:highlight w:val="none"/>
        </w:rPr>
        <w:t>类似项目</w:t>
      </w:r>
    </w:p>
    <w:p w14:paraId="62F53103">
      <w:pPr>
        <w:spacing w:before="162" w:line="219" w:lineRule="auto"/>
        <w:ind w:left="48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类似项目的要求见投标人须知前附表。</w:t>
      </w:r>
    </w:p>
    <w:p w14:paraId="07EF885B">
      <w:pPr>
        <w:spacing w:before="183" w:line="223"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10.2  </w:t>
      </w:r>
      <w:r>
        <w:rPr>
          <w:rFonts w:ascii="楷体" w:hAnsi="楷体" w:eastAsia="楷体" w:cs="楷体"/>
          <w:b/>
          <w:bCs/>
          <w:color w:val="auto"/>
          <w:spacing w:val="-2"/>
          <w:sz w:val="24"/>
          <w:szCs w:val="24"/>
          <w:highlight w:val="none"/>
        </w:rPr>
        <w:t>投标文件的澄清、说明</w:t>
      </w:r>
    </w:p>
    <w:p w14:paraId="65AAD003">
      <w:pPr>
        <w:spacing w:before="177" w:line="359" w:lineRule="auto"/>
        <w:ind w:right="1" w:firstLine="48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评标过程中，评标委员会认为有必要对投标文件中的问题进行询标，或拟作出否</w:t>
      </w:r>
      <w:r>
        <w:rPr>
          <w:rFonts w:ascii="宋体" w:hAnsi="宋体" w:eastAsia="宋体" w:cs="宋体"/>
          <w:color w:val="auto"/>
          <w:spacing w:val="4"/>
          <w:sz w:val="24"/>
          <w:szCs w:val="24"/>
          <w:highlight w:val="none"/>
        </w:rPr>
        <w:t xml:space="preserve"> </w:t>
      </w:r>
      <w:r>
        <w:rPr>
          <w:rFonts w:ascii="宋体" w:hAnsi="宋体" w:eastAsia="宋体" w:cs="宋体"/>
          <w:color w:val="auto"/>
          <w:spacing w:val="-3"/>
          <w:sz w:val="24"/>
          <w:szCs w:val="24"/>
          <w:highlight w:val="none"/>
        </w:rPr>
        <w:t>决投标决定前对相关投标人进行询问核实，投标文件的澄清、质询见投标人须知前附</w:t>
      </w:r>
      <w:r>
        <w:rPr>
          <w:rFonts w:ascii="宋体" w:hAnsi="宋体" w:eastAsia="宋体" w:cs="宋体"/>
          <w:color w:val="auto"/>
          <w:spacing w:val="10"/>
          <w:sz w:val="24"/>
          <w:szCs w:val="24"/>
          <w:highlight w:val="none"/>
        </w:rPr>
        <w:t xml:space="preserve"> </w:t>
      </w:r>
      <w:r>
        <w:rPr>
          <w:rFonts w:ascii="宋体" w:hAnsi="宋体" w:eastAsia="宋体" w:cs="宋体"/>
          <w:color w:val="auto"/>
          <w:spacing w:val="-11"/>
          <w:sz w:val="24"/>
          <w:szCs w:val="24"/>
          <w:highlight w:val="none"/>
        </w:rPr>
        <w:t>表。</w:t>
      </w:r>
    </w:p>
    <w:p w14:paraId="00441C4A">
      <w:pPr>
        <w:spacing w:line="223"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10.3  </w:t>
      </w:r>
      <w:r>
        <w:rPr>
          <w:rFonts w:ascii="楷体" w:hAnsi="楷体" w:eastAsia="楷体" w:cs="楷体"/>
          <w:b/>
          <w:bCs/>
          <w:color w:val="auto"/>
          <w:spacing w:val="-2"/>
          <w:sz w:val="24"/>
          <w:szCs w:val="24"/>
          <w:highlight w:val="none"/>
        </w:rPr>
        <w:t>实质性响应招标文件资料及评审打分资料</w:t>
      </w:r>
    </w:p>
    <w:p w14:paraId="3991A308">
      <w:pPr>
        <w:spacing w:before="177"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实质性响应招标文件资料及评审打分资料详见投标人须知前附表。</w:t>
      </w:r>
    </w:p>
    <w:p w14:paraId="6CF5E64F">
      <w:pPr>
        <w:spacing w:before="183" w:line="225" w:lineRule="auto"/>
        <w:ind w:left="7"/>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6"/>
          <w:sz w:val="24"/>
          <w:szCs w:val="24"/>
          <w:highlight w:val="none"/>
        </w:rPr>
        <w:t>10.4</w:t>
      </w:r>
      <w:r>
        <w:rPr>
          <w:rFonts w:ascii="Times New Roman" w:hAnsi="Times New Roman" w:eastAsia="Times New Roman" w:cs="Times New Roman"/>
          <w:b/>
          <w:bCs/>
          <w:strike/>
          <w:dstrike w:val="0"/>
          <w:color w:val="auto"/>
          <w:spacing w:val="23"/>
          <w:sz w:val="24"/>
          <w:szCs w:val="24"/>
          <w:highlight w:val="none"/>
        </w:rPr>
        <w:t xml:space="preserve">  </w:t>
      </w:r>
      <w:r>
        <w:rPr>
          <w:rFonts w:ascii="楷体" w:hAnsi="楷体" w:eastAsia="楷体" w:cs="楷体"/>
          <w:b/>
          <w:bCs/>
          <w:strike/>
          <w:dstrike w:val="0"/>
          <w:color w:val="auto"/>
          <w:spacing w:val="-6"/>
          <w:sz w:val="24"/>
          <w:szCs w:val="24"/>
          <w:highlight w:val="none"/>
        </w:rPr>
        <w:t>中标人的投标文件</w:t>
      </w:r>
    </w:p>
    <w:p w14:paraId="2FCA6B0F">
      <w:pPr>
        <w:spacing w:before="174" w:line="359" w:lineRule="auto"/>
        <w:ind w:firstLine="50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中标人须在签订合同前向招标人另行提交投标人须知前附表规定份数的投标文</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9"/>
          <w:sz w:val="24"/>
          <w:szCs w:val="24"/>
          <w:highlight w:val="none"/>
        </w:rPr>
        <w:t>件副本。</w:t>
      </w:r>
    </w:p>
    <w:p w14:paraId="723C7968">
      <w:pPr>
        <w:spacing w:before="1" w:line="221"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10.5  </w:t>
      </w:r>
      <w:r>
        <w:rPr>
          <w:rFonts w:ascii="楷体" w:hAnsi="楷体" w:eastAsia="楷体" w:cs="楷体"/>
          <w:b/>
          <w:bCs/>
          <w:color w:val="auto"/>
          <w:spacing w:val="-2"/>
          <w:sz w:val="24"/>
          <w:szCs w:val="24"/>
          <w:highlight w:val="none"/>
        </w:rPr>
        <w:t>招标人最高投标限价或其计算方法</w:t>
      </w:r>
    </w:p>
    <w:p w14:paraId="24CC586D">
      <w:pPr>
        <w:spacing w:before="179" w:line="218" w:lineRule="auto"/>
        <w:ind w:left="4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招标人最高投标限价或其计算方法见投标人须知前附表。</w:t>
      </w:r>
    </w:p>
    <w:p w14:paraId="037DE4FE">
      <w:pPr>
        <w:spacing w:before="183" w:line="223"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10.6  </w:t>
      </w:r>
      <w:r>
        <w:rPr>
          <w:rFonts w:ascii="楷体" w:hAnsi="楷体" w:eastAsia="楷体" w:cs="楷体"/>
          <w:b/>
          <w:bCs/>
          <w:color w:val="auto"/>
          <w:spacing w:val="-2"/>
          <w:sz w:val="24"/>
          <w:szCs w:val="24"/>
          <w:highlight w:val="none"/>
        </w:rPr>
        <w:t>在建合同工程的认定及变更证明</w:t>
      </w:r>
    </w:p>
    <w:p w14:paraId="61439B92">
      <w:pPr>
        <w:spacing w:before="177" w:line="219" w:lineRule="auto"/>
        <w:ind w:left="47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在建合同工程的认定及变更证明见投标人须知前附表。</w:t>
      </w:r>
    </w:p>
    <w:p w14:paraId="753FB5BA">
      <w:pPr>
        <w:spacing w:before="182" w:line="228"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10.7</w:t>
      </w:r>
      <w:r>
        <w:rPr>
          <w:rFonts w:ascii="Times New Roman" w:hAnsi="Times New Roman" w:eastAsia="Times New Roman" w:cs="Times New Roman"/>
          <w:b/>
          <w:bCs/>
          <w:color w:val="auto"/>
          <w:spacing w:val="9"/>
          <w:sz w:val="24"/>
          <w:szCs w:val="24"/>
          <w:highlight w:val="none"/>
        </w:rPr>
        <w:t xml:space="preserve">  </w:t>
      </w:r>
      <w:r>
        <w:rPr>
          <w:rFonts w:ascii="楷体" w:hAnsi="楷体" w:eastAsia="楷体" w:cs="楷体"/>
          <w:b/>
          <w:bCs/>
          <w:color w:val="auto"/>
          <w:spacing w:val="-5"/>
          <w:sz w:val="24"/>
          <w:szCs w:val="24"/>
          <w:highlight w:val="none"/>
        </w:rPr>
        <w:t>特别说明</w:t>
      </w:r>
    </w:p>
    <w:p w14:paraId="07DE263E">
      <w:pPr>
        <w:spacing w:before="170" w:line="219" w:lineRule="auto"/>
        <w:ind w:left="47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特别说明见投标人须知前附表。</w:t>
      </w:r>
    </w:p>
    <w:p w14:paraId="0C5620E2">
      <w:pPr>
        <w:spacing w:before="310" w:line="226" w:lineRule="auto"/>
        <w:ind w:left="10"/>
        <w:outlineLvl w:val="2"/>
        <w:rPr>
          <w:rFonts w:ascii="宋体" w:hAnsi="宋体" w:eastAsia="宋体" w:cs="宋体"/>
          <w:color w:val="auto"/>
          <w:sz w:val="27"/>
          <w:szCs w:val="27"/>
          <w:highlight w:val="none"/>
        </w:rPr>
      </w:pPr>
      <w:bookmarkStart w:id="63" w:name="bookmark35"/>
      <w:bookmarkEnd w:id="63"/>
      <w:bookmarkStart w:id="64" w:name="_Toc6116"/>
      <w:r>
        <w:rPr>
          <w:rFonts w:ascii="Times New Roman" w:hAnsi="Times New Roman" w:eastAsia="Times New Roman" w:cs="Times New Roman"/>
          <w:b/>
          <w:bCs/>
          <w:color w:val="auto"/>
          <w:spacing w:val="2"/>
          <w:sz w:val="27"/>
          <w:szCs w:val="27"/>
          <w:highlight w:val="none"/>
        </w:rPr>
        <w:t>11</w:t>
      </w:r>
      <w:r>
        <w:rPr>
          <w:rFonts w:ascii="Times New Roman" w:hAnsi="Times New Roman" w:eastAsia="Times New Roman" w:cs="Times New Roman"/>
          <w:b/>
          <w:bCs/>
          <w:color w:val="auto"/>
          <w:spacing w:val="17"/>
          <w:sz w:val="27"/>
          <w:szCs w:val="27"/>
          <w:highlight w:val="none"/>
        </w:rPr>
        <w:t xml:space="preserve">  </w:t>
      </w:r>
      <w:r>
        <w:rPr>
          <w:rFonts w:ascii="宋体" w:hAnsi="宋体" w:eastAsia="宋体" w:cs="宋体"/>
          <w:b/>
          <w:bCs/>
          <w:color w:val="auto"/>
          <w:spacing w:val="2"/>
          <w:sz w:val="27"/>
          <w:szCs w:val="27"/>
          <w:highlight w:val="none"/>
        </w:rPr>
        <w:t>需要补充的内容</w:t>
      </w:r>
      <w:bookmarkEnd w:id="64"/>
    </w:p>
    <w:p w14:paraId="5D24D97F">
      <w:pPr>
        <w:pStyle w:val="8"/>
        <w:spacing w:line="247" w:lineRule="auto"/>
        <w:rPr>
          <w:color w:val="auto"/>
          <w:highlight w:val="none"/>
        </w:rPr>
      </w:pPr>
    </w:p>
    <w:p w14:paraId="5B834423">
      <w:pPr>
        <w:spacing w:before="78" w:line="219" w:lineRule="auto"/>
        <w:ind w:left="494"/>
        <w:rPr>
          <w:rFonts w:hint="eastAsia" w:ascii="宋体" w:hAnsi="宋体" w:eastAsia="宋体" w:cs="宋体"/>
          <w:color w:val="auto"/>
          <w:sz w:val="24"/>
          <w:szCs w:val="24"/>
          <w:highlight w:val="none"/>
          <w:lang w:val="en-US" w:eastAsia="zh-CN"/>
        </w:rPr>
      </w:pPr>
      <w:r>
        <w:rPr>
          <w:rFonts w:ascii="宋体" w:hAnsi="宋体" w:eastAsia="宋体" w:cs="宋体"/>
          <w:color w:val="auto"/>
          <w:spacing w:val="-4"/>
          <w:sz w:val="24"/>
          <w:szCs w:val="24"/>
          <w:highlight w:val="none"/>
        </w:rPr>
        <w:t>需要补充的内容：见投标人须知前附</w:t>
      </w:r>
      <w:r>
        <w:rPr>
          <w:rFonts w:hint="eastAsia" w:ascii="宋体" w:hAnsi="宋体" w:eastAsia="宋体" w:cs="宋体"/>
          <w:color w:val="auto"/>
          <w:spacing w:val="-4"/>
          <w:sz w:val="24"/>
          <w:szCs w:val="24"/>
          <w:highlight w:val="none"/>
          <w:lang w:val="en-US" w:eastAsia="zh-CN"/>
        </w:rPr>
        <w:t>表。</w:t>
      </w:r>
    </w:p>
    <w:p w14:paraId="0DA4879D">
      <w:pPr>
        <w:spacing w:before="56" w:line="225" w:lineRule="auto"/>
        <w:ind w:left="32"/>
        <w:rPr>
          <w:rFonts w:ascii="宋体" w:hAnsi="宋体" w:eastAsia="宋体" w:cs="宋体"/>
          <w:b/>
          <w:bCs/>
          <w:color w:val="auto"/>
          <w:spacing w:val="-4"/>
          <w:sz w:val="27"/>
          <w:szCs w:val="27"/>
          <w:highlight w:val="none"/>
        </w:rPr>
      </w:pPr>
    </w:p>
    <w:p w14:paraId="6208DF43">
      <w:pPr>
        <w:spacing w:before="56" w:line="225" w:lineRule="auto"/>
        <w:ind w:left="32"/>
        <w:rPr>
          <w:rFonts w:ascii="宋体" w:hAnsi="宋体" w:eastAsia="宋体" w:cs="宋体"/>
          <w:b/>
          <w:bCs/>
          <w:color w:val="auto"/>
          <w:spacing w:val="-4"/>
          <w:sz w:val="27"/>
          <w:szCs w:val="27"/>
          <w:highlight w:val="none"/>
        </w:rPr>
      </w:pPr>
    </w:p>
    <w:p w14:paraId="441E4809">
      <w:pPr>
        <w:spacing w:before="56" w:line="225" w:lineRule="auto"/>
        <w:ind w:left="32"/>
        <w:rPr>
          <w:rFonts w:ascii="宋体" w:hAnsi="宋体" w:eastAsia="宋体" w:cs="宋体"/>
          <w:b/>
          <w:bCs/>
          <w:color w:val="auto"/>
          <w:spacing w:val="-4"/>
          <w:sz w:val="27"/>
          <w:szCs w:val="27"/>
          <w:highlight w:val="none"/>
        </w:rPr>
      </w:pPr>
    </w:p>
    <w:p w14:paraId="31180281">
      <w:pPr>
        <w:spacing w:before="56" w:line="225" w:lineRule="auto"/>
        <w:ind w:left="32"/>
        <w:rPr>
          <w:rFonts w:ascii="宋体" w:hAnsi="宋体" w:eastAsia="宋体" w:cs="宋体"/>
          <w:color w:val="auto"/>
          <w:sz w:val="27"/>
          <w:szCs w:val="27"/>
          <w:highlight w:val="none"/>
        </w:rPr>
      </w:pPr>
      <w:r>
        <w:rPr>
          <w:rFonts w:ascii="宋体" w:hAnsi="宋体" w:eastAsia="宋体" w:cs="宋体"/>
          <w:b/>
          <w:bCs/>
          <w:color w:val="auto"/>
          <w:spacing w:val="-4"/>
          <w:sz w:val="27"/>
          <w:szCs w:val="27"/>
          <w:highlight w:val="none"/>
        </w:rPr>
        <w:t>附件一：</w:t>
      </w:r>
    </w:p>
    <w:p w14:paraId="4AFADD5E">
      <w:pPr>
        <w:pStyle w:val="8"/>
        <w:spacing w:line="316" w:lineRule="auto"/>
        <w:rPr>
          <w:color w:val="auto"/>
          <w:highlight w:val="none"/>
        </w:rPr>
      </w:pPr>
    </w:p>
    <w:p w14:paraId="53A9E4C0">
      <w:pPr>
        <w:pStyle w:val="8"/>
        <w:spacing w:line="316" w:lineRule="auto"/>
        <w:rPr>
          <w:color w:val="auto"/>
          <w:highlight w:val="none"/>
        </w:rPr>
      </w:pPr>
    </w:p>
    <w:p w14:paraId="0B52EEC2">
      <w:pPr>
        <w:pStyle w:val="8"/>
        <w:spacing w:line="317" w:lineRule="auto"/>
        <w:rPr>
          <w:color w:val="auto"/>
          <w:highlight w:val="none"/>
        </w:rPr>
      </w:pPr>
    </w:p>
    <w:p w14:paraId="5F51D37A">
      <w:pPr>
        <w:spacing w:before="88" w:line="226" w:lineRule="auto"/>
        <w:ind w:left="3140"/>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招标文件澄清申请函</w:t>
      </w:r>
    </w:p>
    <w:p w14:paraId="6D73336D">
      <w:pPr>
        <w:spacing w:before="206" w:line="220" w:lineRule="auto"/>
        <w:ind w:left="4044"/>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5CA95723">
      <w:pPr>
        <w:pStyle w:val="8"/>
        <w:spacing w:line="257" w:lineRule="auto"/>
        <w:rPr>
          <w:color w:val="auto"/>
          <w:highlight w:val="none"/>
        </w:rPr>
      </w:pPr>
    </w:p>
    <w:p w14:paraId="6C1BB546">
      <w:pPr>
        <w:pStyle w:val="8"/>
        <w:spacing w:line="257" w:lineRule="auto"/>
        <w:rPr>
          <w:color w:val="auto"/>
          <w:highlight w:val="none"/>
        </w:rPr>
      </w:pPr>
    </w:p>
    <w:p w14:paraId="70B8446F">
      <w:pPr>
        <w:tabs>
          <w:tab w:val="left" w:pos="1920"/>
        </w:tabs>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（招标人名称</w:t>
      </w:r>
      <w:r>
        <w:rPr>
          <w:rFonts w:ascii="宋体" w:hAnsi="宋体" w:eastAsia="宋体" w:cs="宋体"/>
          <w:color w:val="auto"/>
          <w:spacing w:val="-4"/>
          <w:sz w:val="24"/>
          <w:szCs w:val="24"/>
          <w:highlight w:val="none"/>
        </w:rPr>
        <w:t>）：</w:t>
      </w:r>
    </w:p>
    <w:p w14:paraId="00CFE6BB">
      <w:pPr>
        <w:spacing w:before="181" w:line="361" w:lineRule="auto"/>
        <w:ind w:left="8" w:right="13" w:firstLine="482"/>
        <w:rPr>
          <w:rFonts w:ascii="宋体" w:hAnsi="宋体" w:eastAsia="宋体" w:cs="宋体"/>
          <w:color w:val="auto"/>
          <w:sz w:val="24"/>
          <w:szCs w:val="24"/>
          <w:highlight w:val="none"/>
        </w:rPr>
      </w:pPr>
      <w:r>
        <w:rPr>
          <w:rFonts w:ascii="宋体" w:hAnsi="宋体" w:eastAsia="宋体" w:cs="宋体"/>
          <w:color w:val="auto"/>
          <w:sz w:val="24"/>
          <w:szCs w:val="24"/>
          <w:highlight w:val="none"/>
        </w:rPr>
        <w:t>经过仔细阅读</w:t>
      </w:r>
      <w:r>
        <w:rPr>
          <w:rFonts w:ascii="宋体" w:hAnsi="宋体" w:eastAsia="宋体" w:cs="宋体"/>
          <w:color w:val="auto"/>
          <w:spacing w:val="-118"/>
          <w:sz w:val="24"/>
          <w:szCs w:val="24"/>
          <w:highlight w:val="none"/>
        </w:rPr>
        <w:t xml:space="preserve"> </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z w:val="24"/>
          <w:szCs w:val="24"/>
          <w:highlight w:val="none"/>
        </w:rPr>
        <w:t>（项目名称）</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（标段名称）招标文</w:t>
      </w:r>
      <w:r>
        <w:rPr>
          <w:rFonts w:ascii="宋体" w:hAnsi="宋体" w:eastAsia="宋体" w:cs="宋体"/>
          <w:color w:val="auto"/>
          <w:spacing w:val="6"/>
          <w:sz w:val="24"/>
          <w:szCs w:val="24"/>
          <w:highlight w:val="none"/>
        </w:rPr>
        <w:t xml:space="preserve"> </w:t>
      </w:r>
      <w:r>
        <w:rPr>
          <w:rFonts w:ascii="宋体" w:hAnsi="宋体" w:eastAsia="宋体" w:cs="宋体"/>
          <w:color w:val="auto"/>
          <w:spacing w:val="-4"/>
          <w:sz w:val="24"/>
          <w:szCs w:val="24"/>
          <w:highlight w:val="none"/>
        </w:rPr>
        <w:t>件后，我方申请对以下问题予以澄清：</w:t>
      </w:r>
    </w:p>
    <w:p w14:paraId="63B07888">
      <w:pPr>
        <w:spacing w:before="36" w:line="180" w:lineRule="auto"/>
        <w:ind w:left="50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9"/>
          <w:sz w:val="24"/>
          <w:szCs w:val="24"/>
          <w:highlight w:val="none"/>
        </w:rPr>
        <w:t>1</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19"/>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9"/>
          <w:sz w:val="24"/>
          <w:szCs w:val="24"/>
          <w:highlight w:val="none"/>
        </w:rPr>
        <w:t>……</w:t>
      </w:r>
    </w:p>
    <w:p w14:paraId="607C1AEF">
      <w:pPr>
        <w:spacing w:before="233" w:line="180" w:lineRule="auto"/>
        <w:ind w:left="48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3"/>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3"/>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3"/>
          <w:sz w:val="24"/>
          <w:szCs w:val="24"/>
          <w:highlight w:val="none"/>
        </w:rPr>
        <w:t>……</w:t>
      </w:r>
    </w:p>
    <w:p w14:paraId="37DADF1F">
      <w:pPr>
        <w:pStyle w:val="8"/>
        <w:spacing w:line="285" w:lineRule="auto"/>
        <w:rPr>
          <w:color w:val="auto"/>
          <w:highlight w:val="none"/>
        </w:rPr>
      </w:pPr>
    </w:p>
    <w:p w14:paraId="6A5342D8">
      <w:pPr>
        <w:spacing w:before="69" w:line="75" w:lineRule="exact"/>
        <w:ind w:left="50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64F0BC48">
      <w:pPr>
        <w:pStyle w:val="8"/>
        <w:spacing w:line="244" w:lineRule="auto"/>
        <w:rPr>
          <w:color w:val="auto"/>
          <w:highlight w:val="none"/>
        </w:rPr>
      </w:pPr>
    </w:p>
    <w:p w14:paraId="7666E6C3">
      <w:pPr>
        <w:pStyle w:val="8"/>
        <w:spacing w:line="244" w:lineRule="auto"/>
        <w:rPr>
          <w:color w:val="auto"/>
          <w:highlight w:val="none"/>
        </w:rPr>
      </w:pPr>
    </w:p>
    <w:p w14:paraId="673B5324">
      <w:pPr>
        <w:pStyle w:val="8"/>
        <w:spacing w:line="244" w:lineRule="auto"/>
        <w:rPr>
          <w:color w:val="auto"/>
          <w:highlight w:val="none"/>
        </w:rPr>
      </w:pPr>
    </w:p>
    <w:p w14:paraId="5B8A7F5F">
      <w:pPr>
        <w:pStyle w:val="8"/>
        <w:spacing w:line="244" w:lineRule="auto"/>
        <w:rPr>
          <w:color w:val="auto"/>
          <w:highlight w:val="none"/>
        </w:rPr>
      </w:pPr>
    </w:p>
    <w:p w14:paraId="7CE1A81B">
      <w:pPr>
        <w:pStyle w:val="8"/>
        <w:spacing w:line="244" w:lineRule="auto"/>
        <w:rPr>
          <w:color w:val="auto"/>
          <w:highlight w:val="none"/>
        </w:rPr>
      </w:pPr>
    </w:p>
    <w:p w14:paraId="18A750BE">
      <w:pPr>
        <w:pStyle w:val="8"/>
        <w:spacing w:line="244" w:lineRule="auto"/>
        <w:rPr>
          <w:color w:val="auto"/>
          <w:highlight w:val="none"/>
        </w:rPr>
      </w:pPr>
    </w:p>
    <w:p w14:paraId="740E0A90">
      <w:pPr>
        <w:pStyle w:val="8"/>
        <w:spacing w:line="244" w:lineRule="auto"/>
        <w:rPr>
          <w:color w:val="auto"/>
          <w:highlight w:val="none"/>
        </w:rPr>
      </w:pPr>
    </w:p>
    <w:p w14:paraId="2D557995">
      <w:pPr>
        <w:pStyle w:val="8"/>
        <w:spacing w:line="245" w:lineRule="auto"/>
        <w:rPr>
          <w:color w:val="auto"/>
          <w:highlight w:val="none"/>
        </w:rPr>
      </w:pPr>
    </w:p>
    <w:p w14:paraId="44846A3F">
      <w:pPr>
        <w:pStyle w:val="8"/>
        <w:spacing w:line="245" w:lineRule="auto"/>
        <w:rPr>
          <w:color w:val="auto"/>
          <w:highlight w:val="none"/>
        </w:rPr>
      </w:pPr>
    </w:p>
    <w:p w14:paraId="0F2DC4AB">
      <w:pPr>
        <w:pStyle w:val="8"/>
        <w:spacing w:line="245" w:lineRule="auto"/>
        <w:rPr>
          <w:color w:val="auto"/>
          <w:highlight w:val="none"/>
        </w:rPr>
      </w:pPr>
    </w:p>
    <w:p w14:paraId="1FF75DEB">
      <w:pPr>
        <w:pStyle w:val="8"/>
        <w:spacing w:line="245" w:lineRule="auto"/>
        <w:rPr>
          <w:color w:val="auto"/>
          <w:highlight w:val="none"/>
        </w:rPr>
      </w:pPr>
    </w:p>
    <w:p w14:paraId="6F0E12CE">
      <w:pPr>
        <w:pStyle w:val="8"/>
        <w:spacing w:line="245" w:lineRule="auto"/>
        <w:rPr>
          <w:color w:val="auto"/>
          <w:highlight w:val="none"/>
        </w:rPr>
      </w:pPr>
    </w:p>
    <w:p w14:paraId="1B28E480">
      <w:pPr>
        <w:pStyle w:val="8"/>
        <w:spacing w:line="245" w:lineRule="auto"/>
        <w:rPr>
          <w:color w:val="auto"/>
          <w:highlight w:val="none"/>
        </w:rPr>
      </w:pPr>
    </w:p>
    <w:p w14:paraId="7BCCCF67">
      <w:pPr>
        <w:pStyle w:val="8"/>
        <w:spacing w:line="245" w:lineRule="auto"/>
        <w:rPr>
          <w:color w:val="auto"/>
          <w:highlight w:val="none"/>
        </w:rPr>
      </w:pPr>
    </w:p>
    <w:p w14:paraId="7ED91666">
      <w:pPr>
        <w:pStyle w:val="8"/>
        <w:spacing w:line="245" w:lineRule="auto"/>
        <w:rPr>
          <w:color w:val="auto"/>
          <w:highlight w:val="none"/>
        </w:rPr>
      </w:pPr>
    </w:p>
    <w:p w14:paraId="16B1F750">
      <w:pPr>
        <w:pStyle w:val="8"/>
        <w:spacing w:line="245" w:lineRule="auto"/>
        <w:rPr>
          <w:color w:val="auto"/>
          <w:highlight w:val="none"/>
        </w:rPr>
      </w:pPr>
    </w:p>
    <w:p w14:paraId="3712651D">
      <w:pPr>
        <w:pStyle w:val="8"/>
        <w:spacing w:line="245" w:lineRule="auto"/>
        <w:rPr>
          <w:color w:val="auto"/>
          <w:highlight w:val="none"/>
        </w:rPr>
      </w:pPr>
    </w:p>
    <w:p w14:paraId="5AF44116">
      <w:pPr>
        <w:pStyle w:val="8"/>
        <w:spacing w:line="245" w:lineRule="auto"/>
        <w:rPr>
          <w:color w:val="auto"/>
          <w:highlight w:val="none"/>
        </w:rPr>
      </w:pPr>
    </w:p>
    <w:p w14:paraId="1B866B05">
      <w:pPr>
        <w:pStyle w:val="8"/>
        <w:spacing w:line="245" w:lineRule="auto"/>
        <w:rPr>
          <w:color w:val="auto"/>
          <w:highlight w:val="none"/>
        </w:rPr>
      </w:pPr>
    </w:p>
    <w:p w14:paraId="79892F65">
      <w:pPr>
        <w:pStyle w:val="8"/>
        <w:spacing w:line="245" w:lineRule="auto"/>
        <w:rPr>
          <w:color w:val="auto"/>
          <w:highlight w:val="none"/>
        </w:rPr>
      </w:pPr>
    </w:p>
    <w:p w14:paraId="33DFD340">
      <w:pPr>
        <w:spacing w:before="69" w:line="219" w:lineRule="auto"/>
        <w:ind w:left="49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注：投标人要求招标人澄清招标文件有关问</w:t>
      </w:r>
      <w:r>
        <w:rPr>
          <w:rFonts w:ascii="宋体" w:hAnsi="宋体" w:eastAsia="宋体" w:cs="宋体"/>
          <w:color w:val="auto"/>
          <w:spacing w:val="-2"/>
          <w:sz w:val="21"/>
          <w:szCs w:val="21"/>
          <w:highlight w:val="none"/>
        </w:rPr>
        <w:t>题时，适用于本格式。</w:t>
      </w:r>
    </w:p>
    <w:p w14:paraId="0E112B20">
      <w:pPr>
        <w:spacing w:line="219" w:lineRule="auto"/>
        <w:rPr>
          <w:rFonts w:ascii="宋体" w:hAnsi="宋体" w:eastAsia="宋体" w:cs="宋体"/>
          <w:color w:val="auto"/>
          <w:sz w:val="21"/>
          <w:szCs w:val="21"/>
          <w:highlight w:val="none"/>
        </w:rPr>
        <w:sectPr>
          <w:footerReference r:id="rId20" w:type="default"/>
          <w:pgSz w:w="11905" w:h="16840"/>
          <w:pgMar w:top="1427" w:right="1529" w:bottom="1255" w:left="1587" w:header="0" w:footer="1093" w:gutter="0"/>
          <w:pgNumType w:fmt="decimal"/>
          <w:cols w:space="720" w:num="1"/>
        </w:sectPr>
      </w:pPr>
    </w:p>
    <w:p w14:paraId="48659B8A">
      <w:pPr>
        <w:spacing w:before="56" w:line="225" w:lineRule="auto"/>
        <w:ind w:left="24"/>
        <w:rPr>
          <w:rFonts w:ascii="宋体" w:hAnsi="宋体" w:eastAsia="宋体" w:cs="宋体"/>
          <w:color w:val="auto"/>
          <w:sz w:val="27"/>
          <w:szCs w:val="27"/>
          <w:highlight w:val="none"/>
        </w:rPr>
      </w:pPr>
      <w:r>
        <w:rPr>
          <w:rFonts w:ascii="宋体" w:hAnsi="宋体" w:eastAsia="宋体" w:cs="宋体"/>
          <w:b/>
          <w:bCs/>
          <w:color w:val="auto"/>
          <w:spacing w:val="-15"/>
          <w:sz w:val="27"/>
          <w:szCs w:val="27"/>
          <w:highlight w:val="none"/>
        </w:rPr>
        <w:t>附件二：</w:t>
      </w:r>
    </w:p>
    <w:p w14:paraId="7CBD4EEC">
      <w:pPr>
        <w:pStyle w:val="8"/>
        <w:spacing w:line="269" w:lineRule="auto"/>
        <w:rPr>
          <w:color w:val="auto"/>
          <w:highlight w:val="none"/>
        </w:rPr>
      </w:pPr>
    </w:p>
    <w:p w14:paraId="5426715D">
      <w:pPr>
        <w:pStyle w:val="8"/>
        <w:spacing w:line="269" w:lineRule="auto"/>
        <w:rPr>
          <w:color w:val="auto"/>
          <w:highlight w:val="none"/>
        </w:rPr>
      </w:pPr>
    </w:p>
    <w:p w14:paraId="2771B274">
      <w:pPr>
        <w:spacing w:before="88" w:line="226" w:lineRule="auto"/>
        <w:ind w:left="3272"/>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招标文件澄清通知</w:t>
      </w:r>
    </w:p>
    <w:p w14:paraId="01BC47E7">
      <w:pPr>
        <w:spacing w:before="206" w:line="220" w:lineRule="auto"/>
        <w:ind w:left="4036"/>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6044A5A9">
      <w:pPr>
        <w:pStyle w:val="8"/>
        <w:spacing w:line="257" w:lineRule="auto"/>
        <w:rPr>
          <w:color w:val="auto"/>
          <w:highlight w:val="none"/>
        </w:rPr>
      </w:pPr>
    </w:p>
    <w:p w14:paraId="7A4282BE">
      <w:pPr>
        <w:pStyle w:val="8"/>
        <w:spacing w:line="257" w:lineRule="auto"/>
        <w:rPr>
          <w:color w:val="auto"/>
          <w:highlight w:val="none"/>
        </w:rPr>
      </w:pPr>
    </w:p>
    <w:p w14:paraId="39683F4A">
      <w:pPr>
        <w:spacing w:before="78" w:line="220" w:lineRule="auto"/>
        <w:ind w:left="4"/>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各投标人：</w:t>
      </w:r>
    </w:p>
    <w:p w14:paraId="1389ED41">
      <w:pPr>
        <w:pStyle w:val="8"/>
        <w:spacing w:line="256" w:lineRule="auto"/>
        <w:rPr>
          <w:color w:val="auto"/>
          <w:highlight w:val="none"/>
        </w:rPr>
      </w:pPr>
    </w:p>
    <w:p w14:paraId="4BBDF6F0">
      <w:pPr>
        <w:pStyle w:val="8"/>
        <w:spacing w:line="256" w:lineRule="auto"/>
        <w:rPr>
          <w:color w:val="auto"/>
          <w:highlight w:val="none"/>
        </w:rPr>
      </w:pPr>
    </w:p>
    <w:p w14:paraId="09283F9D">
      <w:pPr>
        <w:spacing w:before="78" w:line="362" w:lineRule="auto"/>
        <w:ind w:left="2" w:right="52" w:firstLine="48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经研究，对</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pacing w:val="-9"/>
          <w:sz w:val="24"/>
          <w:szCs w:val="24"/>
          <w:highlight w:val="none"/>
        </w:rPr>
        <w:t>（项目名称</w:t>
      </w:r>
      <w:r>
        <w:rPr>
          <w:rFonts w:ascii="宋体" w:hAnsi="宋体" w:eastAsia="宋体" w:cs="宋体"/>
          <w:color w:val="auto"/>
          <w:spacing w:val="-1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3"/>
          <w:sz w:val="24"/>
          <w:szCs w:val="24"/>
          <w:highlight w:val="none"/>
        </w:rPr>
        <w:t>（</w:t>
      </w:r>
      <w:r>
        <w:rPr>
          <w:rFonts w:ascii="宋体" w:hAnsi="宋体" w:eastAsia="宋体" w:cs="宋体"/>
          <w:color w:val="auto"/>
          <w:spacing w:val="-9"/>
          <w:sz w:val="24"/>
          <w:szCs w:val="24"/>
          <w:highlight w:val="none"/>
        </w:rPr>
        <w:t>标段名称）招标文</w:t>
      </w:r>
      <w:r>
        <w:rPr>
          <w:rFonts w:ascii="宋体" w:hAnsi="宋体" w:eastAsia="宋体" w:cs="宋体"/>
          <w:color w:val="auto"/>
          <w:spacing w:val="-10"/>
          <w:sz w:val="24"/>
          <w:szCs w:val="24"/>
          <w:highlight w:val="none"/>
        </w:rPr>
        <w:t>件，</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作如下澄清：</w:t>
      </w:r>
    </w:p>
    <w:p w14:paraId="2B2D6DE3">
      <w:pPr>
        <w:spacing w:before="35" w:line="180" w:lineRule="auto"/>
        <w:ind w:left="49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9"/>
          <w:sz w:val="24"/>
          <w:szCs w:val="24"/>
          <w:highlight w:val="none"/>
        </w:rPr>
        <w:t>1</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19"/>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9"/>
          <w:sz w:val="24"/>
          <w:szCs w:val="24"/>
          <w:highlight w:val="none"/>
        </w:rPr>
        <w:t>……</w:t>
      </w:r>
    </w:p>
    <w:p w14:paraId="4D44DE5C">
      <w:pPr>
        <w:spacing w:before="233" w:line="180" w:lineRule="auto"/>
        <w:ind w:left="47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3"/>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3"/>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3"/>
          <w:sz w:val="24"/>
          <w:szCs w:val="24"/>
          <w:highlight w:val="none"/>
        </w:rPr>
        <w:t>……</w:t>
      </w:r>
    </w:p>
    <w:p w14:paraId="2740BFAD">
      <w:pPr>
        <w:pStyle w:val="8"/>
        <w:spacing w:line="285" w:lineRule="auto"/>
        <w:rPr>
          <w:color w:val="auto"/>
          <w:highlight w:val="none"/>
        </w:rPr>
      </w:pPr>
    </w:p>
    <w:p w14:paraId="64B14FA3">
      <w:pPr>
        <w:spacing w:before="69" w:line="75" w:lineRule="exact"/>
        <w:ind w:left="49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457F369D">
      <w:pPr>
        <w:pStyle w:val="8"/>
        <w:spacing w:line="247" w:lineRule="auto"/>
        <w:rPr>
          <w:color w:val="auto"/>
          <w:highlight w:val="none"/>
        </w:rPr>
      </w:pPr>
    </w:p>
    <w:p w14:paraId="4726C391">
      <w:pPr>
        <w:pStyle w:val="8"/>
        <w:spacing w:line="247" w:lineRule="auto"/>
        <w:rPr>
          <w:color w:val="auto"/>
          <w:highlight w:val="none"/>
        </w:rPr>
      </w:pPr>
    </w:p>
    <w:p w14:paraId="64C4826C">
      <w:pPr>
        <w:pStyle w:val="8"/>
        <w:spacing w:line="247" w:lineRule="auto"/>
        <w:rPr>
          <w:color w:val="auto"/>
          <w:highlight w:val="none"/>
        </w:rPr>
      </w:pPr>
    </w:p>
    <w:p w14:paraId="31A45322">
      <w:pPr>
        <w:pStyle w:val="8"/>
        <w:spacing w:line="247" w:lineRule="auto"/>
        <w:rPr>
          <w:color w:val="auto"/>
          <w:highlight w:val="none"/>
        </w:rPr>
      </w:pPr>
    </w:p>
    <w:p w14:paraId="0564B393">
      <w:pPr>
        <w:pStyle w:val="8"/>
        <w:spacing w:line="247" w:lineRule="auto"/>
        <w:rPr>
          <w:color w:val="auto"/>
          <w:highlight w:val="none"/>
        </w:rPr>
      </w:pPr>
    </w:p>
    <w:p w14:paraId="1E05679D">
      <w:pPr>
        <w:pStyle w:val="8"/>
        <w:spacing w:line="247" w:lineRule="auto"/>
        <w:rPr>
          <w:color w:val="auto"/>
          <w:highlight w:val="none"/>
        </w:rPr>
      </w:pPr>
    </w:p>
    <w:p w14:paraId="4EF5A6E0">
      <w:pPr>
        <w:pStyle w:val="8"/>
        <w:spacing w:line="248" w:lineRule="auto"/>
        <w:rPr>
          <w:color w:val="auto"/>
          <w:highlight w:val="none"/>
        </w:rPr>
      </w:pPr>
    </w:p>
    <w:p w14:paraId="6BBB4F51">
      <w:pPr>
        <w:pStyle w:val="8"/>
        <w:spacing w:line="248" w:lineRule="auto"/>
        <w:rPr>
          <w:color w:val="auto"/>
          <w:highlight w:val="none"/>
        </w:rPr>
      </w:pPr>
    </w:p>
    <w:p w14:paraId="658F4995">
      <w:pPr>
        <w:pStyle w:val="8"/>
        <w:spacing w:line="248" w:lineRule="auto"/>
        <w:rPr>
          <w:color w:val="auto"/>
          <w:highlight w:val="none"/>
        </w:rPr>
      </w:pPr>
    </w:p>
    <w:p w14:paraId="7CEAD06E">
      <w:pPr>
        <w:pStyle w:val="8"/>
        <w:spacing w:line="248" w:lineRule="auto"/>
        <w:rPr>
          <w:color w:val="auto"/>
          <w:highlight w:val="none"/>
        </w:rPr>
      </w:pPr>
    </w:p>
    <w:p w14:paraId="59186CD4">
      <w:pPr>
        <w:pStyle w:val="8"/>
        <w:spacing w:line="248" w:lineRule="auto"/>
        <w:rPr>
          <w:color w:val="auto"/>
          <w:highlight w:val="none"/>
        </w:rPr>
      </w:pPr>
    </w:p>
    <w:p w14:paraId="3746FE88">
      <w:pPr>
        <w:pStyle w:val="8"/>
        <w:spacing w:line="248" w:lineRule="auto"/>
        <w:rPr>
          <w:color w:val="auto"/>
          <w:highlight w:val="none"/>
        </w:rPr>
      </w:pPr>
    </w:p>
    <w:p w14:paraId="5D420A37">
      <w:pPr>
        <w:pStyle w:val="8"/>
        <w:spacing w:line="248" w:lineRule="auto"/>
        <w:rPr>
          <w:color w:val="auto"/>
          <w:highlight w:val="none"/>
        </w:rPr>
      </w:pPr>
    </w:p>
    <w:p w14:paraId="51FBC766">
      <w:pPr>
        <w:pStyle w:val="8"/>
        <w:spacing w:line="248" w:lineRule="auto"/>
        <w:rPr>
          <w:color w:val="auto"/>
          <w:highlight w:val="none"/>
        </w:rPr>
      </w:pPr>
    </w:p>
    <w:p w14:paraId="32CDB4A3">
      <w:pPr>
        <w:pStyle w:val="8"/>
        <w:spacing w:line="248" w:lineRule="auto"/>
        <w:rPr>
          <w:color w:val="auto"/>
          <w:highlight w:val="none"/>
        </w:rPr>
      </w:pPr>
    </w:p>
    <w:p w14:paraId="32A0E7DB">
      <w:pPr>
        <w:pStyle w:val="8"/>
        <w:spacing w:line="248" w:lineRule="auto"/>
        <w:rPr>
          <w:color w:val="auto"/>
          <w:highlight w:val="none"/>
        </w:rPr>
      </w:pPr>
    </w:p>
    <w:p w14:paraId="529F77BA">
      <w:pPr>
        <w:pStyle w:val="8"/>
        <w:spacing w:line="248" w:lineRule="auto"/>
        <w:rPr>
          <w:color w:val="auto"/>
          <w:highlight w:val="none"/>
        </w:rPr>
      </w:pPr>
    </w:p>
    <w:p w14:paraId="6AB871E9">
      <w:pPr>
        <w:tabs>
          <w:tab w:val="left" w:pos="6830"/>
        </w:tabs>
        <w:spacing w:before="78" w:line="361" w:lineRule="auto"/>
        <w:ind w:right="163" w:firstLine="4680" w:firstLineChars="2000"/>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招标人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盖单位公章）</w:t>
      </w:r>
    </w:p>
    <w:p w14:paraId="4D8498AB">
      <w:pPr>
        <w:tabs>
          <w:tab w:val="left" w:pos="6830"/>
        </w:tabs>
        <w:spacing w:before="78" w:line="361" w:lineRule="auto"/>
        <w:ind w:right="163" w:firstLine="4598" w:firstLineChars="190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6695BC1F">
      <w:pPr>
        <w:pStyle w:val="8"/>
        <w:spacing w:line="247" w:lineRule="auto"/>
        <w:rPr>
          <w:color w:val="auto"/>
          <w:highlight w:val="none"/>
        </w:rPr>
      </w:pPr>
    </w:p>
    <w:p w14:paraId="734856E2">
      <w:pPr>
        <w:pStyle w:val="8"/>
        <w:spacing w:line="248" w:lineRule="auto"/>
        <w:rPr>
          <w:color w:val="auto"/>
          <w:highlight w:val="none"/>
        </w:rPr>
      </w:pPr>
    </w:p>
    <w:p w14:paraId="28C54501">
      <w:pPr>
        <w:pStyle w:val="8"/>
        <w:spacing w:line="248" w:lineRule="auto"/>
        <w:rPr>
          <w:color w:val="auto"/>
          <w:highlight w:val="none"/>
        </w:rPr>
      </w:pPr>
    </w:p>
    <w:p w14:paraId="09A1FF38">
      <w:pPr>
        <w:spacing w:before="69" w:line="361" w:lineRule="auto"/>
        <w:ind w:firstLine="420"/>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注：招标人对招标文件有关问题澄清时，适用于本格式。招标人可根据需要将附件二与</w:t>
      </w:r>
      <w:r>
        <w:rPr>
          <w:rFonts w:ascii="宋体" w:hAnsi="宋体" w:eastAsia="宋体" w:cs="宋体"/>
          <w:color w:val="auto"/>
          <w:spacing w:val="-2"/>
          <w:sz w:val="21"/>
          <w:szCs w:val="21"/>
          <w:highlight w:val="none"/>
        </w:rPr>
        <w:t>附件</w:t>
      </w:r>
      <w:r>
        <w:rPr>
          <w:rFonts w:ascii="宋体" w:hAnsi="宋体" w:eastAsia="宋体" w:cs="宋体"/>
          <w:color w:val="auto"/>
          <w:sz w:val="21"/>
          <w:szCs w:val="21"/>
          <w:highlight w:val="none"/>
        </w:rPr>
        <w:t xml:space="preserve"> </w:t>
      </w:r>
      <w:r>
        <w:rPr>
          <w:rFonts w:ascii="宋体" w:hAnsi="宋体" w:eastAsia="宋体" w:cs="宋体"/>
          <w:color w:val="auto"/>
          <w:spacing w:val="-5"/>
          <w:sz w:val="21"/>
          <w:szCs w:val="21"/>
          <w:highlight w:val="none"/>
        </w:rPr>
        <w:t>三内容合并发出。</w:t>
      </w:r>
    </w:p>
    <w:p w14:paraId="671592BE">
      <w:pPr>
        <w:spacing w:line="361" w:lineRule="auto"/>
        <w:rPr>
          <w:rFonts w:ascii="宋体" w:hAnsi="宋体" w:eastAsia="宋体" w:cs="宋体"/>
          <w:color w:val="auto"/>
          <w:sz w:val="21"/>
          <w:szCs w:val="21"/>
          <w:highlight w:val="none"/>
        </w:rPr>
        <w:sectPr>
          <w:footerReference r:id="rId21" w:type="default"/>
          <w:pgSz w:w="11905" w:h="16840"/>
          <w:pgMar w:top="1427" w:right="1529" w:bottom="1255" w:left="1595" w:header="0" w:footer="1093" w:gutter="0"/>
          <w:pgNumType w:fmt="decimal"/>
          <w:cols w:space="720" w:num="1"/>
        </w:sectPr>
      </w:pPr>
    </w:p>
    <w:p w14:paraId="670E1977">
      <w:pPr>
        <w:spacing w:before="56" w:line="225" w:lineRule="auto"/>
        <w:ind w:left="22"/>
        <w:rPr>
          <w:rFonts w:ascii="宋体" w:hAnsi="宋体" w:eastAsia="宋体" w:cs="宋体"/>
          <w:color w:val="auto"/>
          <w:sz w:val="27"/>
          <w:szCs w:val="27"/>
          <w:highlight w:val="none"/>
        </w:rPr>
      </w:pPr>
      <w:r>
        <w:rPr>
          <w:rFonts w:ascii="宋体" w:hAnsi="宋体" w:eastAsia="宋体" w:cs="宋体"/>
          <w:b/>
          <w:bCs/>
          <w:color w:val="auto"/>
          <w:spacing w:val="-15"/>
          <w:sz w:val="27"/>
          <w:szCs w:val="27"/>
          <w:highlight w:val="none"/>
        </w:rPr>
        <w:t>附件三：</w:t>
      </w:r>
    </w:p>
    <w:p w14:paraId="7789BBCB">
      <w:pPr>
        <w:pStyle w:val="8"/>
        <w:spacing w:line="269" w:lineRule="auto"/>
        <w:rPr>
          <w:color w:val="auto"/>
          <w:highlight w:val="none"/>
        </w:rPr>
      </w:pPr>
    </w:p>
    <w:p w14:paraId="5F55F1A9">
      <w:pPr>
        <w:pStyle w:val="8"/>
        <w:spacing w:line="269" w:lineRule="auto"/>
        <w:rPr>
          <w:color w:val="auto"/>
          <w:highlight w:val="none"/>
        </w:rPr>
      </w:pPr>
    </w:p>
    <w:p w14:paraId="39635BEB">
      <w:pPr>
        <w:spacing w:before="88" w:line="226" w:lineRule="auto"/>
        <w:ind w:left="3270"/>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招标文件修改通知</w:t>
      </w:r>
    </w:p>
    <w:p w14:paraId="66948535">
      <w:pPr>
        <w:spacing w:before="206" w:line="220" w:lineRule="auto"/>
        <w:ind w:left="4034"/>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2FBFA4D1">
      <w:pPr>
        <w:pStyle w:val="8"/>
        <w:spacing w:line="257" w:lineRule="auto"/>
        <w:rPr>
          <w:color w:val="auto"/>
          <w:highlight w:val="none"/>
        </w:rPr>
      </w:pPr>
    </w:p>
    <w:p w14:paraId="2362FF2F">
      <w:pPr>
        <w:pStyle w:val="8"/>
        <w:spacing w:line="257" w:lineRule="auto"/>
        <w:rPr>
          <w:color w:val="auto"/>
          <w:highlight w:val="none"/>
        </w:rPr>
      </w:pPr>
    </w:p>
    <w:p w14:paraId="2DAAB894">
      <w:pPr>
        <w:spacing w:before="78" w:line="220" w:lineRule="auto"/>
        <w:ind w:left="1"/>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各投标人：</w:t>
      </w:r>
    </w:p>
    <w:p w14:paraId="6AE5ECBD">
      <w:pPr>
        <w:pStyle w:val="8"/>
        <w:spacing w:line="256" w:lineRule="auto"/>
        <w:rPr>
          <w:color w:val="auto"/>
          <w:highlight w:val="none"/>
        </w:rPr>
      </w:pPr>
    </w:p>
    <w:p w14:paraId="589AA6CB">
      <w:pPr>
        <w:pStyle w:val="8"/>
        <w:spacing w:line="257" w:lineRule="auto"/>
        <w:rPr>
          <w:color w:val="auto"/>
          <w:highlight w:val="none"/>
        </w:rPr>
      </w:pPr>
    </w:p>
    <w:p w14:paraId="3E0EF8F0">
      <w:pPr>
        <w:spacing w:before="78" w:line="361" w:lineRule="auto"/>
        <w:ind w:right="52" w:firstLine="48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经研究，对</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pacing w:val="-9"/>
          <w:sz w:val="24"/>
          <w:szCs w:val="24"/>
          <w:highlight w:val="none"/>
        </w:rPr>
        <w:t>（项目名称</w:t>
      </w:r>
      <w:r>
        <w:rPr>
          <w:rFonts w:ascii="宋体" w:hAnsi="宋体" w:eastAsia="宋体" w:cs="宋体"/>
          <w:color w:val="auto"/>
          <w:spacing w:val="-1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3"/>
          <w:sz w:val="24"/>
          <w:szCs w:val="24"/>
          <w:highlight w:val="none"/>
        </w:rPr>
        <w:t>（</w:t>
      </w:r>
      <w:r>
        <w:rPr>
          <w:rFonts w:ascii="宋体" w:hAnsi="宋体" w:eastAsia="宋体" w:cs="宋体"/>
          <w:color w:val="auto"/>
          <w:spacing w:val="-9"/>
          <w:sz w:val="24"/>
          <w:szCs w:val="24"/>
          <w:highlight w:val="none"/>
        </w:rPr>
        <w:t>标段名称）招标文</w:t>
      </w:r>
      <w:r>
        <w:rPr>
          <w:rFonts w:ascii="宋体" w:hAnsi="宋体" w:eastAsia="宋体" w:cs="宋体"/>
          <w:color w:val="auto"/>
          <w:spacing w:val="-10"/>
          <w:sz w:val="24"/>
          <w:szCs w:val="24"/>
          <w:highlight w:val="none"/>
        </w:rPr>
        <w:t>件，</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作如下修改：</w:t>
      </w:r>
    </w:p>
    <w:p w14:paraId="7C46C10D">
      <w:pPr>
        <w:spacing w:before="36" w:line="180" w:lineRule="auto"/>
        <w:ind w:left="49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9"/>
          <w:sz w:val="24"/>
          <w:szCs w:val="24"/>
          <w:highlight w:val="none"/>
        </w:rPr>
        <w:t>1</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19"/>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9"/>
          <w:sz w:val="24"/>
          <w:szCs w:val="24"/>
          <w:highlight w:val="none"/>
        </w:rPr>
        <w:t>……</w:t>
      </w:r>
    </w:p>
    <w:p w14:paraId="00DF4ADB">
      <w:pPr>
        <w:spacing w:before="233" w:line="180" w:lineRule="auto"/>
        <w:ind w:left="47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3"/>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3"/>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3"/>
          <w:sz w:val="24"/>
          <w:szCs w:val="24"/>
          <w:highlight w:val="none"/>
        </w:rPr>
        <w:t>……</w:t>
      </w:r>
    </w:p>
    <w:p w14:paraId="721119C0">
      <w:pPr>
        <w:pStyle w:val="8"/>
        <w:spacing w:line="285" w:lineRule="auto"/>
        <w:rPr>
          <w:color w:val="auto"/>
          <w:highlight w:val="none"/>
        </w:rPr>
      </w:pPr>
    </w:p>
    <w:p w14:paraId="305BA785">
      <w:pPr>
        <w:spacing w:before="70" w:line="74" w:lineRule="exact"/>
        <w:ind w:left="49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204521C8">
      <w:pPr>
        <w:pStyle w:val="8"/>
        <w:spacing w:line="266" w:lineRule="auto"/>
        <w:rPr>
          <w:color w:val="auto"/>
          <w:highlight w:val="none"/>
        </w:rPr>
      </w:pPr>
    </w:p>
    <w:p w14:paraId="543AB295">
      <w:pPr>
        <w:pStyle w:val="8"/>
        <w:spacing w:line="266" w:lineRule="auto"/>
        <w:rPr>
          <w:color w:val="auto"/>
          <w:highlight w:val="none"/>
        </w:rPr>
      </w:pPr>
    </w:p>
    <w:p w14:paraId="59C4ABE2">
      <w:pPr>
        <w:pStyle w:val="8"/>
        <w:spacing w:line="266" w:lineRule="auto"/>
        <w:rPr>
          <w:color w:val="auto"/>
          <w:highlight w:val="none"/>
        </w:rPr>
      </w:pPr>
    </w:p>
    <w:p w14:paraId="78C408E6">
      <w:pPr>
        <w:pStyle w:val="8"/>
        <w:spacing w:line="266" w:lineRule="auto"/>
        <w:rPr>
          <w:color w:val="auto"/>
          <w:highlight w:val="none"/>
        </w:rPr>
      </w:pPr>
    </w:p>
    <w:p w14:paraId="60113181">
      <w:pPr>
        <w:pStyle w:val="8"/>
        <w:spacing w:line="266" w:lineRule="auto"/>
        <w:rPr>
          <w:color w:val="auto"/>
          <w:highlight w:val="none"/>
        </w:rPr>
      </w:pPr>
    </w:p>
    <w:p w14:paraId="34D5ED11">
      <w:pPr>
        <w:tabs>
          <w:tab w:val="left" w:pos="6829"/>
        </w:tabs>
        <w:spacing w:before="79" w:line="361" w:lineRule="auto"/>
        <w:ind w:left="5485" w:leftChars="2166" w:right="163" w:hanging="936" w:hangingChars="40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盖单位公章）</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0BA8709D">
      <w:pPr>
        <w:pStyle w:val="8"/>
        <w:spacing w:line="254" w:lineRule="auto"/>
        <w:rPr>
          <w:color w:val="auto"/>
          <w:highlight w:val="none"/>
        </w:rPr>
      </w:pPr>
    </w:p>
    <w:p w14:paraId="0AAEE09A">
      <w:pPr>
        <w:pStyle w:val="8"/>
        <w:spacing w:line="254" w:lineRule="auto"/>
        <w:rPr>
          <w:color w:val="auto"/>
          <w:highlight w:val="none"/>
        </w:rPr>
      </w:pPr>
    </w:p>
    <w:p w14:paraId="7296F698">
      <w:pPr>
        <w:pStyle w:val="8"/>
        <w:spacing w:line="254" w:lineRule="auto"/>
        <w:rPr>
          <w:color w:val="auto"/>
          <w:highlight w:val="none"/>
        </w:rPr>
      </w:pPr>
    </w:p>
    <w:p w14:paraId="67D7B9CA">
      <w:pPr>
        <w:pStyle w:val="8"/>
        <w:spacing w:line="254" w:lineRule="auto"/>
        <w:rPr>
          <w:color w:val="auto"/>
          <w:highlight w:val="none"/>
        </w:rPr>
      </w:pPr>
    </w:p>
    <w:p w14:paraId="096729A2">
      <w:pPr>
        <w:pStyle w:val="8"/>
        <w:spacing w:line="255" w:lineRule="auto"/>
        <w:rPr>
          <w:color w:val="auto"/>
          <w:highlight w:val="none"/>
        </w:rPr>
      </w:pPr>
    </w:p>
    <w:p w14:paraId="62337B20">
      <w:pPr>
        <w:pStyle w:val="8"/>
        <w:spacing w:line="255" w:lineRule="auto"/>
        <w:rPr>
          <w:color w:val="auto"/>
          <w:highlight w:val="none"/>
        </w:rPr>
      </w:pPr>
    </w:p>
    <w:p w14:paraId="2939C8A0">
      <w:pPr>
        <w:pStyle w:val="8"/>
        <w:spacing w:line="255" w:lineRule="auto"/>
        <w:rPr>
          <w:color w:val="auto"/>
          <w:highlight w:val="none"/>
        </w:rPr>
      </w:pPr>
    </w:p>
    <w:p w14:paraId="02858EC8">
      <w:pPr>
        <w:pStyle w:val="8"/>
        <w:spacing w:line="255" w:lineRule="auto"/>
        <w:rPr>
          <w:color w:val="auto"/>
          <w:highlight w:val="none"/>
        </w:rPr>
      </w:pPr>
    </w:p>
    <w:p w14:paraId="51931381">
      <w:pPr>
        <w:pStyle w:val="8"/>
        <w:spacing w:line="255" w:lineRule="auto"/>
        <w:rPr>
          <w:color w:val="auto"/>
          <w:highlight w:val="none"/>
        </w:rPr>
      </w:pPr>
    </w:p>
    <w:p w14:paraId="13DA6362">
      <w:pPr>
        <w:pStyle w:val="8"/>
        <w:spacing w:line="255" w:lineRule="auto"/>
        <w:rPr>
          <w:color w:val="auto"/>
          <w:highlight w:val="none"/>
        </w:rPr>
      </w:pPr>
    </w:p>
    <w:p w14:paraId="222EB498">
      <w:pPr>
        <w:pStyle w:val="8"/>
        <w:spacing w:line="255" w:lineRule="auto"/>
        <w:rPr>
          <w:color w:val="auto"/>
          <w:highlight w:val="none"/>
        </w:rPr>
      </w:pPr>
    </w:p>
    <w:p w14:paraId="62E4C992">
      <w:pPr>
        <w:spacing w:before="68" w:line="219" w:lineRule="auto"/>
        <w:ind w:left="41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注：招标人对招标文件修改时，适用于本格式。</w:t>
      </w:r>
    </w:p>
    <w:p w14:paraId="20392C10">
      <w:pPr>
        <w:spacing w:line="219" w:lineRule="auto"/>
        <w:rPr>
          <w:rFonts w:ascii="宋体" w:hAnsi="宋体" w:eastAsia="宋体" w:cs="宋体"/>
          <w:color w:val="auto"/>
          <w:sz w:val="21"/>
          <w:szCs w:val="21"/>
          <w:highlight w:val="none"/>
        </w:rPr>
        <w:sectPr>
          <w:footerReference r:id="rId22" w:type="default"/>
          <w:pgSz w:w="11905" w:h="16840"/>
          <w:pgMar w:top="1427" w:right="1529" w:bottom="1252" w:left="1597" w:header="0" w:footer="1093" w:gutter="0"/>
          <w:pgNumType w:fmt="decimal"/>
          <w:cols w:space="720" w:num="1"/>
        </w:sectPr>
      </w:pPr>
    </w:p>
    <w:p w14:paraId="44D4AC9E">
      <w:pPr>
        <w:spacing w:before="56" w:line="225" w:lineRule="auto"/>
        <w:ind w:left="32"/>
        <w:rPr>
          <w:rFonts w:ascii="宋体" w:hAnsi="宋体" w:eastAsia="宋体" w:cs="宋体"/>
          <w:color w:val="auto"/>
          <w:sz w:val="27"/>
          <w:szCs w:val="27"/>
          <w:highlight w:val="none"/>
        </w:rPr>
      </w:pPr>
      <w:r>
        <w:rPr>
          <w:rFonts w:ascii="宋体" w:hAnsi="宋体" w:eastAsia="宋体" w:cs="宋体"/>
          <w:b/>
          <w:bCs/>
          <w:color w:val="auto"/>
          <w:spacing w:val="-15"/>
          <w:sz w:val="27"/>
          <w:szCs w:val="27"/>
          <w:highlight w:val="none"/>
        </w:rPr>
        <w:t>附件四：</w:t>
      </w:r>
    </w:p>
    <w:p w14:paraId="17AB8C17">
      <w:pPr>
        <w:spacing w:before="214" w:line="227" w:lineRule="auto"/>
        <w:ind w:left="3984"/>
        <w:rPr>
          <w:rFonts w:ascii="宋体" w:hAnsi="宋体" w:eastAsia="宋体" w:cs="宋体"/>
          <w:color w:val="auto"/>
          <w:sz w:val="27"/>
          <w:szCs w:val="27"/>
          <w:highlight w:val="none"/>
        </w:rPr>
      </w:pPr>
      <w:r>
        <w:rPr>
          <w:rFonts w:ascii="宋体" w:hAnsi="宋体" w:eastAsia="宋体" w:cs="宋体"/>
          <w:b/>
          <w:bCs/>
          <w:color w:val="auto"/>
          <w:spacing w:val="5"/>
          <w:sz w:val="27"/>
          <w:szCs w:val="27"/>
          <w:highlight w:val="none"/>
        </w:rPr>
        <w:t>开标记录表</w:t>
      </w:r>
    </w:p>
    <w:p w14:paraId="79F11F77">
      <w:pPr>
        <w:pStyle w:val="8"/>
        <w:spacing w:line="269" w:lineRule="auto"/>
        <w:rPr>
          <w:color w:val="auto"/>
          <w:highlight w:val="none"/>
        </w:rPr>
      </w:pPr>
    </w:p>
    <w:p w14:paraId="5BAAEB54">
      <w:pPr>
        <w:pStyle w:val="8"/>
        <w:spacing w:line="270" w:lineRule="auto"/>
        <w:rPr>
          <w:color w:val="auto"/>
          <w:highlight w:val="none"/>
        </w:rPr>
      </w:pPr>
    </w:p>
    <w:p w14:paraId="00180BE0">
      <w:pPr>
        <w:tabs>
          <w:tab w:val="left" w:pos="2400"/>
        </w:tabs>
        <w:spacing w:before="78" w:line="345" w:lineRule="auto"/>
        <w:ind w:left="10" w:right="2683" w:hanging="10"/>
        <w:rPr>
          <w:rFonts w:ascii="宋体" w:hAnsi="宋体" w:eastAsia="宋体" w:cs="宋体"/>
          <w:color w:val="auto"/>
          <w:spacing w:val="1"/>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u w:val="single" w:color="auto"/>
        </w:rPr>
        <w:tab/>
      </w:r>
      <w:r>
        <w:rPr>
          <w:rFonts w:ascii="宋体" w:hAnsi="宋体" w:eastAsia="宋体" w:cs="宋体"/>
          <w:color w:val="auto"/>
          <w:spacing w:val="-2"/>
          <w:sz w:val="24"/>
          <w:szCs w:val="24"/>
          <w:highlight w:val="none"/>
        </w:rPr>
        <w:t>（项目名称</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2"/>
          <w:sz w:val="24"/>
          <w:szCs w:val="24"/>
          <w:highlight w:val="none"/>
        </w:rPr>
        <w:t>标段名称）</w:t>
      </w:r>
      <w:r>
        <w:rPr>
          <w:rFonts w:ascii="宋体" w:hAnsi="宋体" w:eastAsia="宋体" w:cs="宋体"/>
          <w:color w:val="auto"/>
          <w:spacing w:val="1"/>
          <w:sz w:val="24"/>
          <w:szCs w:val="24"/>
          <w:highlight w:val="none"/>
        </w:rPr>
        <w:t xml:space="preserve"> </w:t>
      </w:r>
    </w:p>
    <w:p w14:paraId="18CCDDD0">
      <w:pPr>
        <w:tabs>
          <w:tab w:val="left" w:pos="2400"/>
        </w:tabs>
        <w:spacing w:before="78" w:line="345" w:lineRule="auto"/>
        <w:ind w:left="10" w:right="2683" w:hanging="10"/>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开标时间：</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8"/>
          <w:sz w:val="24"/>
          <w:szCs w:val="24"/>
          <w:highlight w:val="none"/>
        </w:rPr>
        <w:t>年</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8"/>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8"/>
          <w:sz w:val="24"/>
          <w:szCs w:val="24"/>
          <w:highlight w:val="none"/>
        </w:rPr>
        <w:t>日</w:t>
      </w:r>
      <w:r>
        <w:rPr>
          <w:rFonts w:ascii="宋体" w:hAnsi="宋体" w:eastAsia="宋体" w:cs="宋体"/>
          <w:color w:val="auto"/>
          <w:spacing w:val="24"/>
          <w:sz w:val="24"/>
          <w:szCs w:val="24"/>
          <w:highlight w:val="none"/>
          <w:u w:val="single" w:color="auto"/>
        </w:rPr>
        <w:t xml:space="preserve">     </w:t>
      </w:r>
      <w:r>
        <w:rPr>
          <w:rFonts w:ascii="宋体" w:hAnsi="宋体" w:eastAsia="宋体" w:cs="宋体"/>
          <w:color w:val="auto"/>
          <w:spacing w:val="-100"/>
          <w:sz w:val="24"/>
          <w:szCs w:val="24"/>
          <w:highlight w:val="none"/>
        </w:rPr>
        <w:t xml:space="preserve"> </w:t>
      </w:r>
      <w:r>
        <w:rPr>
          <w:rFonts w:ascii="宋体" w:hAnsi="宋体" w:eastAsia="宋体" w:cs="宋体"/>
          <w:color w:val="auto"/>
          <w:spacing w:val="-8"/>
          <w:sz w:val="24"/>
          <w:szCs w:val="24"/>
          <w:highlight w:val="none"/>
        </w:rPr>
        <w:t>时</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08"/>
          <w:sz w:val="24"/>
          <w:szCs w:val="24"/>
          <w:highlight w:val="none"/>
        </w:rPr>
        <w:t xml:space="preserve"> </w:t>
      </w:r>
      <w:r>
        <w:rPr>
          <w:rFonts w:ascii="宋体" w:hAnsi="宋体" w:eastAsia="宋体" w:cs="宋体"/>
          <w:color w:val="auto"/>
          <w:spacing w:val="-8"/>
          <w:sz w:val="24"/>
          <w:szCs w:val="24"/>
          <w:highlight w:val="none"/>
        </w:rPr>
        <w:t>分</w:t>
      </w:r>
    </w:p>
    <w:tbl>
      <w:tblPr>
        <w:tblStyle w:val="16"/>
        <w:tblW w:w="842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6"/>
        <w:gridCol w:w="1056"/>
        <w:gridCol w:w="819"/>
        <w:gridCol w:w="1035"/>
        <w:gridCol w:w="676"/>
        <w:gridCol w:w="623"/>
        <w:gridCol w:w="867"/>
        <w:gridCol w:w="1076"/>
        <w:gridCol w:w="1707"/>
      </w:tblGrid>
      <w:tr w14:paraId="16357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566" w:type="dxa"/>
            <w:tcBorders>
              <w:top w:val="single" w:color="000000" w:sz="6" w:space="0"/>
              <w:left w:val="single" w:color="000000" w:sz="6" w:space="0"/>
            </w:tcBorders>
            <w:vAlign w:val="top"/>
          </w:tcPr>
          <w:p w14:paraId="21E01901">
            <w:pPr>
              <w:pStyle w:val="17"/>
              <w:spacing w:before="236" w:line="221" w:lineRule="auto"/>
              <w:ind w:left="70"/>
              <w:rPr>
                <w:color w:val="auto"/>
                <w:sz w:val="21"/>
                <w:szCs w:val="21"/>
                <w:highlight w:val="none"/>
              </w:rPr>
            </w:pPr>
            <w:r>
              <w:rPr>
                <w:color w:val="auto"/>
                <w:spacing w:val="-2"/>
                <w:sz w:val="21"/>
                <w:szCs w:val="21"/>
                <w:highlight w:val="none"/>
              </w:rPr>
              <w:t>序号</w:t>
            </w:r>
          </w:p>
        </w:tc>
        <w:tc>
          <w:tcPr>
            <w:tcW w:w="1056" w:type="dxa"/>
            <w:tcBorders>
              <w:top w:val="single" w:color="000000" w:sz="6" w:space="0"/>
            </w:tcBorders>
            <w:vAlign w:val="top"/>
          </w:tcPr>
          <w:p w14:paraId="2342FDAD">
            <w:pPr>
              <w:pStyle w:val="17"/>
              <w:spacing w:before="236" w:line="220" w:lineRule="auto"/>
              <w:ind w:left="215"/>
              <w:rPr>
                <w:color w:val="auto"/>
                <w:sz w:val="21"/>
                <w:szCs w:val="21"/>
                <w:highlight w:val="none"/>
              </w:rPr>
            </w:pPr>
            <w:r>
              <w:rPr>
                <w:color w:val="auto"/>
                <w:spacing w:val="-3"/>
                <w:sz w:val="21"/>
                <w:szCs w:val="21"/>
                <w:highlight w:val="none"/>
              </w:rPr>
              <w:t>投标人</w:t>
            </w:r>
          </w:p>
        </w:tc>
        <w:tc>
          <w:tcPr>
            <w:tcW w:w="819" w:type="dxa"/>
            <w:tcBorders>
              <w:top w:val="single" w:color="000000" w:sz="6" w:space="0"/>
            </w:tcBorders>
            <w:vAlign w:val="top"/>
          </w:tcPr>
          <w:p w14:paraId="2FC8C416">
            <w:pPr>
              <w:pStyle w:val="17"/>
              <w:spacing w:before="86" w:line="244" w:lineRule="auto"/>
              <w:ind w:left="99" w:right="93" w:firstLine="106"/>
              <w:rPr>
                <w:color w:val="auto"/>
                <w:sz w:val="21"/>
                <w:szCs w:val="21"/>
                <w:highlight w:val="none"/>
              </w:rPr>
            </w:pPr>
            <w:r>
              <w:rPr>
                <w:color w:val="auto"/>
                <w:spacing w:val="-6"/>
                <w:sz w:val="21"/>
                <w:szCs w:val="21"/>
                <w:highlight w:val="none"/>
              </w:rPr>
              <w:t>投标</w:t>
            </w:r>
            <w:r>
              <w:rPr>
                <w:color w:val="auto"/>
                <w:sz w:val="21"/>
                <w:szCs w:val="21"/>
                <w:highlight w:val="none"/>
              </w:rPr>
              <w:t xml:space="preserve">  </w:t>
            </w:r>
            <w:r>
              <w:rPr>
                <w:color w:val="auto"/>
                <w:spacing w:val="-4"/>
                <w:sz w:val="21"/>
                <w:szCs w:val="21"/>
                <w:highlight w:val="none"/>
              </w:rPr>
              <w:t>保证金</w:t>
            </w:r>
          </w:p>
        </w:tc>
        <w:tc>
          <w:tcPr>
            <w:tcW w:w="1035" w:type="dxa"/>
            <w:tcBorders>
              <w:top w:val="single" w:color="000000" w:sz="6" w:space="0"/>
            </w:tcBorders>
            <w:vAlign w:val="top"/>
          </w:tcPr>
          <w:p w14:paraId="596999A1">
            <w:pPr>
              <w:pStyle w:val="17"/>
              <w:spacing w:before="86" w:line="218" w:lineRule="auto"/>
              <w:ind w:left="104"/>
              <w:rPr>
                <w:color w:val="auto"/>
                <w:sz w:val="21"/>
                <w:szCs w:val="21"/>
                <w:highlight w:val="none"/>
              </w:rPr>
            </w:pPr>
            <w:r>
              <w:rPr>
                <w:color w:val="auto"/>
                <w:spacing w:val="-3"/>
                <w:sz w:val="21"/>
                <w:szCs w:val="21"/>
                <w:highlight w:val="none"/>
              </w:rPr>
              <w:t>投标报价</w:t>
            </w:r>
          </w:p>
          <w:p w14:paraId="1DF5C199">
            <w:pPr>
              <w:pStyle w:val="17"/>
              <w:spacing w:before="52" w:line="220" w:lineRule="auto"/>
              <w:ind w:left="212"/>
              <w:rPr>
                <w:color w:val="auto"/>
                <w:sz w:val="21"/>
                <w:szCs w:val="21"/>
                <w:highlight w:val="none"/>
              </w:rPr>
            </w:pPr>
            <w:r>
              <w:rPr>
                <w:color w:val="auto"/>
                <w:spacing w:val="-7"/>
                <w:sz w:val="21"/>
                <w:szCs w:val="21"/>
                <w:highlight w:val="none"/>
              </w:rPr>
              <w:t>（元）</w:t>
            </w:r>
          </w:p>
        </w:tc>
        <w:tc>
          <w:tcPr>
            <w:tcW w:w="676" w:type="dxa"/>
            <w:tcBorders>
              <w:top w:val="single" w:color="000000" w:sz="6" w:space="0"/>
            </w:tcBorders>
            <w:vAlign w:val="top"/>
          </w:tcPr>
          <w:p w14:paraId="010DF414">
            <w:pPr>
              <w:pStyle w:val="17"/>
              <w:spacing w:before="86" w:line="220" w:lineRule="auto"/>
              <w:ind w:left="133"/>
              <w:rPr>
                <w:color w:val="auto"/>
                <w:sz w:val="21"/>
                <w:szCs w:val="21"/>
                <w:highlight w:val="none"/>
              </w:rPr>
            </w:pPr>
            <w:r>
              <w:rPr>
                <w:color w:val="auto"/>
                <w:spacing w:val="-3"/>
                <w:sz w:val="21"/>
                <w:szCs w:val="21"/>
                <w:highlight w:val="none"/>
              </w:rPr>
              <w:t>质量</w:t>
            </w:r>
          </w:p>
          <w:p w14:paraId="292C4212">
            <w:pPr>
              <w:pStyle w:val="17"/>
              <w:spacing w:before="49" w:line="220" w:lineRule="auto"/>
              <w:ind w:left="173"/>
              <w:rPr>
                <w:color w:val="auto"/>
                <w:sz w:val="21"/>
                <w:szCs w:val="21"/>
                <w:highlight w:val="none"/>
              </w:rPr>
            </w:pPr>
            <w:r>
              <w:rPr>
                <w:color w:val="auto"/>
                <w:spacing w:val="-13"/>
                <w:sz w:val="21"/>
                <w:szCs w:val="21"/>
                <w:highlight w:val="none"/>
              </w:rPr>
              <w:t>目标</w:t>
            </w:r>
          </w:p>
        </w:tc>
        <w:tc>
          <w:tcPr>
            <w:tcW w:w="623" w:type="dxa"/>
            <w:tcBorders>
              <w:top w:val="single" w:color="000000" w:sz="6" w:space="0"/>
            </w:tcBorders>
            <w:vAlign w:val="top"/>
          </w:tcPr>
          <w:p w14:paraId="09A9FB86">
            <w:pPr>
              <w:pStyle w:val="17"/>
              <w:spacing w:before="236" w:line="220" w:lineRule="auto"/>
              <w:ind w:left="111"/>
              <w:rPr>
                <w:color w:val="auto"/>
                <w:sz w:val="21"/>
                <w:szCs w:val="21"/>
                <w:highlight w:val="none"/>
              </w:rPr>
            </w:pPr>
            <w:r>
              <w:rPr>
                <w:color w:val="auto"/>
                <w:spacing w:val="-3"/>
                <w:sz w:val="21"/>
                <w:szCs w:val="21"/>
                <w:highlight w:val="none"/>
              </w:rPr>
              <w:t>工期</w:t>
            </w:r>
          </w:p>
        </w:tc>
        <w:tc>
          <w:tcPr>
            <w:tcW w:w="867" w:type="dxa"/>
            <w:tcBorders>
              <w:top w:val="single" w:color="000000" w:sz="6" w:space="0"/>
            </w:tcBorders>
            <w:vAlign w:val="top"/>
          </w:tcPr>
          <w:p w14:paraId="25F30B18">
            <w:pPr>
              <w:pStyle w:val="17"/>
              <w:spacing w:before="86" w:line="244" w:lineRule="auto"/>
              <w:ind w:left="133" w:right="112" w:hanging="4"/>
              <w:rPr>
                <w:color w:val="auto"/>
                <w:sz w:val="21"/>
                <w:szCs w:val="21"/>
                <w:highlight w:val="none"/>
              </w:rPr>
            </w:pPr>
            <w:r>
              <w:rPr>
                <w:color w:val="auto"/>
                <w:spacing w:val="-30"/>
                <w:sz w:val="21"/>
                <w:szCs w:val="21"/>
                <w:highlight w:val="none"/>
              </w:rPr>
              <w:t>项</w:t>
            </w:r>
            <w:r>
              <w:rPr>
                <w:color w:val="auto"/>
                <w:spacing w:val="24"/>
                <w:sz w:val="21"/>
                <w:szCs w:val="21"/>
                <w:highlight w:val="none"/>
              </w:rPr>
              <w:t xml:space="preserve">  </w:t>
            </w:r>
            <w:r>
              <w:rPr>
                <w:color w:val="auto"/>
                <w:spacing w:val="-30"/>
                <w:sz w:val="21"/>
                <w:szCs w:val="21"/>
                <w:highlight w:val="none"/>
              </w:rPr>
              <w:t>目</w:t>
            </w:r>
            <w:r>
              <w:rPr>
                <w:color w:val="auto"/>
                <w:sz w:val="21"/>
                <w:szCs w:val="21"/>
                <w:highlight w:val="none"/>
              </w:rPr>
              <w:t xml:space="preserve"> </w:t>
            </w:r>
            <w:r>
              <w:rPr>
                <w:color w:val="auto"/>
                <w:spacing w:val="-6"/>
                <w:sz w:val="21"/>
                <w:szCs w:val="21"/>
                <w:highlight w:val="none"/>
              </w:rPr>
              <w:t>负责人</w:t>
            </w:r>
          </w:p>
        </w:tc>
        <w:tc>
          <w:tcPr>
            <w:tcW w:w="1076" w:type="dxa"/>
            <w:tcBorders>
              <w:top w:val="single" w:color="000000" w:sz="6" w:space="0"/>
            </w:tcBorders>
            <w:vAlign w:val="top"/>
          </w:tcPr>
          <w:p w14:paraId="2E2AB34D">
            <w:pPr>
              <w:pStyle w:val="17"/>
              <w:spacing w:before="236" w:line="219" w:lineRule="auto"/>
              <w:ind w:left="129"/>
              <w:rPr>
                <w:color w:val="auto"/>
                <w:sz w:val="21"/>
                <w:szCs w:val="21"/>
                <w:highlight w:val="none"/>
              </w:rPr>
            </w:pPr>
            <w:r>
              <w:rPr>
                <w:color w:val="auto"/>
                <w:spacing w:val="-2"/>
                <w:sz w:val="21"/>
                <w:szCs w:val="21"/>
                <w:highlight w:val="none"/>
              </w:rPr>
              <w:t>标书备注</w:t>
            </w:r>
          </w:p>
        </w:tc>
        <w:tc>
          <w:tcPr>
            <w:tcW w:w="1707" w:type="dxa"/>
            <w:tcBorders>
              <w:top w:val="single" w:color="000000" w:sz="6" w:space="0"/>
              <w:right w:val="single" w:color="000000" w:sz="6" w:space="0"/>
            </w:tcBorders>
            <w:vAlign w:val="top"/>
          </w:tcPr>
          <w:p w14:paraId="54EEB5FD">
            <w:pPr>
              <w:pStyle w:val="17"/>
              <w:spacing w:before="236" w:line="220" w:lineRule="auto"/>
              <w:ind w:left="442"/>
              <w:rPr>
                <w:color w:val="auto"/>
                <w:sz w:val="21"/>
                <w:szCs w:val="21"/>
                <w:highlight w:val="none"/>
              </w:rPr>
            </w:pPr>
            <w:r>
              <w:rPr>
                <w:color w:val="auto"/>
                <w:spacing w:val="-2"/>
                <w:sz w:val="21"/>
                <w:szCs w:val="21"/>
                <w:highlight w:val="none"/>
              </w:rPr>
              <w:t>开标备注</w:t>
            </w:r>
          </w:p>
        </w:tc>
      </w:tr>
      <w:tr w14:paraId="5AE3B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6" w:type="dxa"/>
            <w:tcBorders>
              <w:left w:val="single" w:color="000000" w:sz="6" w:space="0"/>
            </w:tcBorders>
            <w:vAlign w:val="top"/>
          </w:tcPr>
          <w:p w14:paraId="796B4538">
            <w:pPr>
              <w:rPr>
                <w:rFonts w:ascii="Arial"/>
                <w:color w:val="auto"/>
                <w:sz w:val="21"/>
                <w:highlight w:val="none"/>
              </w:rPr>
            </w:pPr>
          </w:p>
        </w:tc>
        <w:tc>
          <w:tcPr>
            <w:tcW w:w="1056" w:type="dxa"/>
            <w:vAlign w:val="top"/>
          </w:tcPr>
          <w:p w14:paraId="5ACE3377">
            <w:pPr>
              <w:rPr>
                <w:rFonts w:ascii="Arial"/>
                <w:color w:val="auto"/>
                <w:sz w:val="21"/>
                <w:highlight w:val="none"/>
              </w:rPr>
            </w:pPr>
          </w:p>
        </w:tc>
        <w:tc>
          <w:tcPr>
            <w:tcW w:w="819" w:type="dxa"/>
            <w:vAlign w:val="top"/>
          </w:tcPr>
          <w:p w14:paraId="46EB2914">
            <w:pPr>
              <w:rPr>
                <w:rFonts w:ascii="Arial"/>
                <w:color w:val="auto"/>
                <w:sz w:val="21"/>
                <w:highlight w:val="none"/>
              </w:rPr>
            </w:pPr>
          </w:p>
        </w:tc>
        <w:tc>
          <w:tcPr>
            <w:tcW w:w="1035" w:type="dxa"/>
            <w:vAlign w:val="top"/>
          </w:tcPr>
          <w:p w14:paraId="35972894">
            <w:pPr>
              <w:rPr>
                <w:rFonts w:ascii="Arial"/>
                <w:color w:val="auto"/>
                <w:sz w:val="21"/>
                <w:highlight w:val="none"/>
              </w:rPr>
            </w:pPr>
          </w:p>
        </w:tc>
        <w:tc>
          <w:tcPr>
            <w:tcW w:w="676" w:type="dxa"/>
            <w:vAlign w:val="top"/>
          </w:tcPr>
          <w:p w14:paraId="1F51F9EB">
            <w:pPr>
              <w:rPr>
                <w:rFonts w:ascii="Arial"/>
                <w:color w:val="auto"/>
                <w:sz w:val="21"/>
                <w:highlight w:val="none"/>
              </w:rPr>
            </w:pPr>
          </w:p>
        </w:tc>
        <w:tc>
          <w:tcPr>
            <w:tcW w:w="623" w:type="dxa"/>
            <w:vAlign w:val="top"/>
          </w:tcPr>
          <w:p w14:paraId="478C4FB5">
            <w:pPr>
              <w:rPr>
                <w:rFonts w:ascii="Arial"/>
                <w:color w:val="auto"/>
                <w:sz w:val="21"/>
                <w:highlight w:val="none"/>
              </w:rPr>
            </w:pPr>
          </w:p>
        </w:tc>
        <w:tc>
          <w:tcPr>
            <w:tcW w:w="867" w:type="dxa"/>
            <w:vAlign w:val="top"/>
          </w:tcPr>
          <w:p w14:paraId="4C74C4DE">
            <w:pPr>
              <w:rPr>
                <w:rFonts w:ascii="Arial"/>
                <w:color w:val="auto"/>
                <w:sz w:val="21"/>
                <w:highlight w:val="none"/>
              </w:rPr>
            </w:pPr>
          </w:p>
        </w:tc>
        <w:tc>
          <w:tcPr>
            <w:tcW w:w="1076" w:type="dxa"/>
            <w:vAlign w:val="top"/>
          </w:tcPr>
          <w:p w14:paraId="2948FB4E">
            <w:pPr>
              <w:rPr>
                <w:rFonts w:ascii="Arial"/>
                <w:color w:val="auto"/>
                <w:sz w:val="21"/>
                <w:highlight w:val="none"/>
              </w:rPr>
            </w:pPr>
          </w:p>
        </w:tc>
        <w:tc>
          <w:tcPr>
            <w:tcW w:w="1707" w:type="dxa"/>
            <w:tcBorders>
              <w:right w:val="single" w:color="000000" w:sz="6" w:space="0"/>
            </w:tcBorders>
            <w:vAlign w:val="top"/>
          </w:tcPr>
          <w:p w14:paraId="18957DF2">
            <w:pPr>
              <w:rPr>
                <w:rFonts w:ascii="Arial"/>
                <w:color w:val="auto"/>
                <w:sz w:val="21"/>
                <w:highlight w:val="none"/>
              </w:rPr>
            </w:pPr>
          </w:p>
        </w:tc>
      </w:tr>
      <w:tr w14:paraId="0E821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vAlign w:val="top"/>
          </w:tcPr>
          <w:p w14:paraId="223FFB4A">
            <w:pPr>
              <w:rPr>
                <w:rFonts w:ascii="Arial"/>
                <w:color w:val="auto"/>
                <w:sz w:val="21"/>
                <w:highlight w:val="none"/>
              </w:rPr>
            </w:pPr>
          </w:p>
        </w:tc>
        <w:tc>
          <w:tcPr>
            <w:tcW w:w="1056" w:type="dxa"/>
            <w:vAlign w:val="top"/>
          </w:tcPr>
          <w:p w14:paraId="361E4C46">
            <w:pPr>
              <w:rPr>
                <w:rFonts w:ascii="Arial"/>
                <w:color w:val="auto"/>
                <w:sz w:val="21"/>
                <w:highlight w:val="none"/>
              </w:rPr>
            </w:pPr>
          </w:p>
        </w:tc>
        <w:tc>
          <w:tcPr>
            <w:tcW w:w="819" w:type="dxa"/>
            <w:vAlign w:val="top"/>
          </w:tcPr>
          <w:p w14:paraId="26BBCD88">
            <w:pPr>
              <w:rPr>
                <w:rFonts w:ascii="Arial"/>
                <w:color w:val="auto"/>
                <w:sz w:val="21"/>
                <w:highlight w:val="none"/>
              </w:rPr>
            </w:pPr>
          </w:p>
        </w:tc>
        <w:tc>
          <w:tcPr>
            <w:tcW w:w="1035" w:type="dxa"/>
            <w:vAlign w:val="top"/>
          </w:tcPr>
          <w:p w14:paraId="3E0E4BDB">
            <w:pPr>
              <w:rPr>
                <w:rFonts w:ascii="Arial"/>
                <w:color w:val="auto"/>
                <w:sz w:val="21"/>
                <w:highlight w:val="none"/>
              </w:rPr>
            </w:pPr>
          </w:p>
        </w:tc>
        <w:tc>
          <w:tcPr>
            <w:tcW w:w="676" w:type="dxa"/>
            <w:vAlign w:val="top"/>
          </w:tcPr>
          <w:p w14:paraId="0BAFBB93">
            <w:pPr>
              <w:rPr>
                <w:rFonts w:ascii="Arial"/>
                <w:color w:val="auto"/>
                <w:sz w:val="21"/>
                <w:highlight w:val="none"/>
              </w:rPr>
            </w:pPr>
          </w:p>
        </w:tc>
        <w:tc>
          <w:tcPr>
            <w:tcW w:w="623" w:type="dxa"/>
            <w:vAlign w:val="top"/>
          </w:tcPr>
          <w:p w14:paraId="6E45D309">
            <w:pPr>
              <w:rPr>
                <w:rFonts w:ascii="Arial"/>
                <w:color w:val="auto"/>
                <w:sz w:val="21"/>
                <w:highlight w:val="none"/>
              </w:rPr>
            </w:pPr>
          </w:p>
        </w:tc>
        <w:tc>
          <w:tcPr>
            <w:tcW w:w="867" w:type="dxa"/>
            <w:vAlign w:val="top"/>
          </w:tcPr>
          <w:p w14:paraId="267AA005">
            <w:pPr>
              <w:rPr>
                <w:rFonts w:ascii="Arial"/>
                <w:color w:val="auto"/>
                <w:sz w:val="21"/>
                <w:highlight w:val="none"/>
              </w:rPr>
            </w:pPr>
          </w:p>
        </w:tc>
        <w:tc>
          <w:tcPr>
            <w:tcW w:w="1076" w:type="dxa"/>
            <w:vAlign w:val="top"/>
          </w:tcPr>
          <w:p w14:paraId="39477BC1">
            <w:pPr>
              <w:rPr>
                <w:rFonts w:ascii="Arial"/>
                <w:color w:val="auto"/>
                <w:sz w:val="21"/>
                <w:highlight w:val="none"/>
              </w:rPr>
            </w:pPr>
          </w:p>
        </w:tc>
        <w:tc>
          <w:tcPr>
            <w:tcW w:w="1707" w:type="dxa"/>
            <w:tcBorders>
              <w:right w:val="single" w:color="000000" w:sz="6" w:space="0"/>
            </w:tcBorders>
            <w:vAlign w:val="top"/>
          </w:tcPr>
          <w:p w14:paraId="446A363C">
            <w:pPr>
              <w:rPr>
                <w:rFonts w:ascii="Arial"/>
                <w:color w:val="auto"/>
                <w:sz w:val="21"/>
                <w:highlight w:val="none"/>
              </w:rPr>
            </w:pPr>
          </w:p>
        </w:tc>
      </w:tr>
      <w:tr w14:paraId="51960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vAlign w:val="top"/>
          </w:tcPr>
          <w:p w14:paraId="5B4B6846">
            <w:pPr>
              <w:rPr>
                <w:rFonts w:ascii="Arial"/>
                <w:color w:val="auto"/>
                <w:sz w:val="21"/>
                <w:highlight w:val="none"/>
              </w:rPr>
            </w:pPr>
          </w:p>
        </w:tc>
        <w:tc>
          <w:tcPr>
            <w:tcW w:w="1056" w:type="dxa"/>
            <w:vAlign w:val="top"/>
          </w:tcPr>
          <w:p w14:paraId="50A932AF">
            <w:pPr>
              <w:rPr>
                <w:rFonts w:ascii="Arial"/>
                <w:color w:val="auto"/>
                <w:sz w:val="21"/>
                <w:highlight w:val="none"/>
              </w:rPr>
            </w:pPr>
          </w:p>
        </w:tc>
        <w:tc>
          <w:tcPr>
            <w:tcW w:w="819" w:type="dxa"/>
            <w:vAlign w:val="top"/>
          </w:tcPr>
          <w:p w14:paraId="299E03EC">
            <w:pPr>
              <w:rPr>
                <w:rFonts w:ascii="Arial"/>
                <w:color w:val="auto"/>
                <w:sz w:val="21"/>
                <w:highlight w:val="none"/>
              </w:rPr>
            </w:pPr>
          </w:p>
        </w:tc>
        <w:tc>
          <w:tcPr>
            <w:tcW w:w="1035" w:type="dxa"/>
            <w:vAlign w:val="top"/>
          </w:tcPr>
          <w:p w14:paraId="50FF451D">
            <w:pPr>
              <w:rPr>
                <w:rFonts w:ascii="Arial"/>
                <w:color w:val="auto"/>
                <w:sz w:val="21"/>
                <w:highlight w:val="none"/>
              </w:rPr>
            </w:pPr>
          </w:p>
        </w:tc>
        <w:tc>
          <w:tcPr>
            <w:tcW w:w="676" w:type="dxa"/>
            <w:vAlign w:val="top"/>
          </w:tcPr>
          <w:p w14:paraId="4CC38494">
            <w:pPr>
              <w:rPr>
                <w:rFonts w:ascii="Arial"/>
                <w:color w:val="auto"/>
                <w:sz w:val="21"/>
                <w:highlight w:val="none"/>
              </w:rPr>
            </w:pPr>
          </w:p>
        </w:tc>
        <w:tc>
          <w:tcPr>
            <w:tcW w:w="623" w:type="dxa"/>
            <w:vAlign w:val="top"/>
          </w:tcPr>
          <w:p w14:paraId="5E4BEB59">
            <w:pPr>
              <w:rPr>
                <w:rFonts w:ascii="Arial"/>
                <w:color w:val="auto"/>
                <w:sz w:val="21"/>
                <w:highlight w:val="none"/>
              </w:rPr>
            </w:pPr>
          </w:p>
        </w:tc>
        <w:tc>
          <w:tcPr>
            <w:tcW w:w="867" w:type="dxa"/>
            <w:vAlign w:val="top"/>
          </w:tcPr>
          <w:p w14:paraId="71E02DB5">
            <w:pPr>
              <w:rPr>
                <w:rFonts w:ascii="Arial"/>
                <w:color w:val="auto"/>
                <w:sz w:val="21"/>
                <w:highlight w:val="none"/>
              </w:rPr>
            </w:pPr>
          </w:p>
        </w:tc>
        <w:tc>
          <w:tcPr>
            <w:tcW w:w="1076" w:type="dxa"/>
            <w:vAlign w:val="top"/>
          </w:tcPr>
          <w:p w14:paraId="4B02C552">
            <w:pPr>
              <w:rPr>
                <w:rFonts w:ascii="Arial"/>
                <w:color w:val="auto"/>
                <w:sz w:val="21"/>
                <w:highlight w:val="none"/>
              </w:rPr>
            </w:pPr>
          </w:p>
        </w:tc>
        <w:tc>
          <w:tcPr>
            <w:tcW w:w="1707" w:type="dxa"/>
            <w:tcBorders>
              <w:right w:val="single" w:color="000000" w:sz="6" w:space="0"/>
            </w:tcBorders>
            <w:vAlign w:val="top"/>
          </w:tcPr>
          <w:p w14:paraId="03F87D5C">
            <w:pPr>
              <w:rPr>
                <w:rFonts w:ascii="Arial"/>
                <w:color w:val="auto"/>
                <w:sz w:val="21"/>
                <w:highlight w:val="none"/>
              </w:rPr>
            </w:pPr>
          </w:p>
        </w:tc>
      </w:tr>
      <w:tr w14:paraId="5B95E5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6" w:type="dxa"/>
            <w:tcBorders>
              <w:left w:val="single" w:color="000000" w:sz="6" w:space="0"/>
            </w:tcBorders>
            <w:vAlign w:val="top"/>
          </w:tcPr>
          <w:p w14:paraId="1E7AEE9D">
            <w:pPr>
              <w:rPr>
                <w:rFonts w:ascii="Arial"/>
                <w:color w:val="auto"/>
                <w:sz w:val="21"/>
                <w:highlight w:val="none"/>
              </w:rPr>
            </w:pPr>
          </w:p>
        </w:tc>
        <w:tc>
          <w:tcPr>
            <w:tcW w:w="1056" w:type="dxa"/>
            <w:vAlign w:val="top"/>
          </w:tcPr>
          <w:p w14:paraId="6D58FC27">
            <w:pPr>
              <w:rPr>
                <w:rFonts w:ascii="Arial"/>
                <w:color w:val="auto"/>
                <w:sz w:val="21"/>
                <w:highlight w:val="none"/>
              </w:rPr>
            </w:pPr>
          </w:p>
        </w:tc>
        <w:tc>
          <w:tcPr>
            <w:tcW w:w="819" w:type="dxa"/>
            <w:vAlign w:val="top"/>
          </w:tcPr>
          <w:p w14:paraId="06877F12">
            <w:pPr>
              <w:rPr>
                <w:rFonts w:ascii="Arial"/>
                <w:color w:val="auto"/>
                <w:sz w:val="21"/>
                <w:highlight w:val="none"/>
              </w:rPr>
            </w:pPr>
          </w:p>
        </w:tc>
        <w:tc>
          <w:tcPr>
            <w:tcW w:w="1035" w:type="dxa"/>
            <w:vAlign w:val="top"/>
          </w:tcPr>
          <w:p w14:paraId="7F03106F">
            <w:pPr>
              <w:rPr>
                <w:rFonts w:ascii="Arial"/>
                <w:color w:val="auto"/>
                <w:sz w:val="21"/>
                <w:highlight w:val="none"/>
              </w:rPr>
            </w:pPr>
          </w:p>
        </w:tc>
        <w:tc>
          <w:tcPr>
            <w:tcW w:w="676" w:type="dxa"/>
            <w:vAlign w:val="top"/>
          </w:tcPr>
          <w:p w14:paraId="069DE949">
            <w:pPr>
              <w:rPr>
                <w:rFonts w:ascii="Arial"/>
                <w:color w:val="auto"/>
                <w:sz w:val="21"/>
                <w:highlight w:val="none"/>
              </w:rPr>
            </w:pPr>
          </w:p>
        </w:tc>
        <w:tc>
          <w:tcPr>
            <w:tcW w:w="623" w:type="dxa"/>
            <w:vAlign w:val="top"/>
          </w:tcPr>
          <w:p w14:paraId="5C982CE1">
            <w:pPr>
              <w:rPr>
                <w:rFonts w:ascii="Arial"/>
                <w:color w:val="auto"/>
                <w:sz w:val="21"/>
                <w:highlight w:val="none"/>
              </w:rPr>
            </w:pPr>
          </w:p>
        </w:tc>
        <w:tc>
          <w:tcPr>
            <w:tcW w:w="867" w:type="dxa"/>
            <w:vAlign w:val="top"/>
          </w:tcPr>
          <w:p w14:paraId="5A2F9299">
            <w:pPr>
              <w:rPr>
                <w:rFonts w:ascii="Arial"/>
                <w:color w:val="auto"/>
                <w:sz w:val="21"/>
                <w:highlight w:val="none"/>
              </w:rPr>
            </w:pPr>
          </w:p>
        </w:tc>
        <w:tc>
          <w:tcPr>
            <w:tcW w:w="1076" w:type="dxa"/>
            <w:vAlign w:val="top"/>
          </w:tcPr>
          <w:p w14:paraId="001D0401">
            <w:pPr>
              <w:rPr>
                <w:rFonts w:ascii="Arial"/>
                <w:color w:val="auto"/>
                <w:sz w:val="21"/>
                <w:highlight w:val="none"/>
              </w:rPr>
            </w:pPr>
          </w:p>
        </w:tc>
        <w:tc>
          <w:tcPr>
            <w:tcW w:w="1707" w:type="dxa"/>
            <w:tcBorders>
              <w:right w:val="single" w:color="000000" w:sz="6" w:space="0"/>
            </w:tcBorders>
            <w:vAlign w:val="top"/>
          </w:tcPr>
          <w:p w14:paraId="7E228ED0">
            <w:pPr>
              <w:rPr>
                <w:rFonts w:ascii="Arial"/>
                <w:color w:val="auto"/>
                <w:sz w:val="21"/>
                <w:highlight w:val="none"/>
              </w:rPr>
            </w:pPr>
          </w:p>
        </w:tc>
      </w:tr>
      <w:tr w14:paraId="42DDF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vAlign w:val="top"/>
          </w:tcPr>
          <w:p w14:paraId="7DC74E7A">
            <w:pPr>
              <w:rPr>
                <w:rFonts w:ascii="Arial"/>
                <w:color w:val="auto"/>
                <w:sz w:val="21"/>
                <w:highlight w:val="none"/>
              </w:rPr>
            </w:pPr>
          </w:p>
        </w:tc>
        <w:tc>
          <w:tcPr>
            <w:tcW w:w="1056" w:type="dxa"/>
            <w:vAlign w:val="top"/>
          </w:tcPr>
          <w:p w14:paraId="3A6E0740">
            <w:pPr>
              <w:rPr>
                <w:rFonts w:ascii="Arial"/>
                <w:color w:val="auto"/>
                <w:sz w:val="21"/>
                <w:highlight w:val="none"/>
              </w:rPr>
            </w:pPr>
          </w:p>
        </w:tc>
        <w:tc>
          <w:tcPr>
            <w:tcW w:w="819" w:type="dxa"/>
            <w:vAlign w:val="top"/>
          </w:tcPr>
          <w:p w14:paraId="31F4B304">
            <w:pPr>
              <w:rPr>
                <w:rFonts w:ascii="Arial"/>
                <w:color w:val="auto"/>
                <w:sz w:val="21"/>
                <w:highlight w:val="none"/>
              </w:rPr>
            </w:pPr>
          </w:p>
        </w:tc>
        <w:tc>
          <w:tcPr>
            <w:tcW w:w="1035" w:type="dxa"/>
            <w:vAlign w:val="top"/>
          </w:tcPr>
          <w:p w14:paraId="688BFED8">
            <w:pPr>
              <w:rPr>
                <w:rFonts w:ascii="Arial"/>
                <w:color w:val="auto"/>
                <w:sz w:val="21"/>
                <w:highlight w:val="none"/>
              </w:rPr>
            </w:pPr>
          </w:p>
        </w:tc>
        <w:tc>
          <w:tcPr>
            <w:tcW w:w="676" w:type="dxa"/>
            <w:vAlign w:val="top"/>
          </w:tcPr>
          <w:p w14:paraId="41116C5D">
            <w:pPr>
              <w:rPr>
                <w:rFonts w:ascii="Arial"/>
                <w:color w:val="auto"/>
                <w:sz w:val="21"/>
                <w:highlight w:val="none"/>
              </w:rPr>
            </w:pPr>
          </w:p>
        </w:tc>
        <w:tc>
          <w:tcPr>
            <w:tcW w:w="623" w:type="dxa"/>
            <w:vAlign w:val="top"/>
          </w:tcPr>
          <w:p w14:paraId="29CDA9DD">
            <w:pPr>
              <w:rPr>
                <w:rFonts w:ascii="Arial"/>
                <w:color w:val="auto"/>
                <w:sz w:val="21"/>
                <w:highlight w:val="none"/>
              </w:rPr>
            </w:pPr>
          </w:p>
        </w:tc>
        <w:tc>
          <w:tcPr>
            <w:tcW w:w="867" w:type="dxa"/>
            <w:vAlign w:val="top"/>
          </w:tcPr>
          <w:p w14:paraId="169FEE3F">
            <w:pPr>
              <w:rPr>
                <w:rFonts w:ascii="Arial"/>
                <w:color w:val="auto"/>
                <w:sz w:val="21"/>
                <w:highlight w:val="none"/>
              </w:rPr>
            </w:pPr>
          </w:p>
        </w:tc>
        <w:tc>
          <w:tcPr>
            <w:tcW w:w="1076" w:type="dxa"/>
            <w:vAlign w:val="top"/>
          </w:tcPr>
          <w:p w14:paraId="50856A57">
            <w:pPr>
              <w:rPr>
                <w:rFonts w:ascii="Arial"/>
                <w:color w:val="auto"/>
                <w:sz w:val="21"/>
                <w:highlight w:val="none"/>
              </w:rPr>
            </w:pPr>
          </w:p>
        </w:tc>
        <w:tc>
          <w:tcPr>
            <w:tcW w:w="1707" w:type="dxa"/>
            <w:tcBorders>
              <w:right w:val="single" w:color="000000" w:sz="6" w:space="0"/>
            </w:tcBorders>
            <w:vAlign w:val="top"/>
          </w:tcPr>
          <w:p w14:paraId="3A972D28">
            <w:pPr>
              <w:rPr>
                <w:rFonts w:ascii="Arial"/>
                <w:color w:val="auto"/>
                <w:sz w:val="21"/>
                <w:highlight w:val="none"/>
              </w:rPr>
            </w:pPr>
          </w:p>
        </w:tc>
      </w:tr>
      <w:tr w14:paraId="138CE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vAlign w:val="top"/>
          </w:tcPr>
          <w:p w14:paraId="647F74AC">
            <w:pPr>
              <w:rPr>
                <w:rFonts w:ascii="Arial"/>
                <w:color w:val="auto"/>
                <w:sz w:val="21"/>
                <w:highlight w:val="none"/>
              </w:rPr>
            </w:pPr>
          </w:p>
        </w:tc>
        <w:tc>
          <w:tcPr>
            <w:tcW w:w="1056" w:type="dxa"/>
            <w:vAlign w:val="top"/>
          </w:tcPr>
          <w:p w14:paraId="0A4B49FF">
            <w:pPr>
              <w:rPr>
                <w:rFonts w:ascii="Arial"/>
                <w:color w:val="auto"/>
                <w:sz w:val="21"/>
                <w:highlight w:val="none"/>
              </w:rPr>
            </w:pPr>
          </w:p>
        </w:tc>
        <w:tc>
          <w:tcPr>
            <w:tcW w:w="819" w:type="dxa"/>
            <w:vAlign w:val="top"/>
          </w:tcPr>
          <w:p w14:paraId="5AC14008">
            <w:pPr>
              <w:rPr>
                <w:rFonts w:ascii="Arial"/>
                <w:color w:val="auto"/>
                <w:sz w:val="21"/>
                <w:highlight w:val="none"/>
              </w:rPr>
            </w:pPr>
          </w:p>
        </w:tc>
        <w:tc>
          <w:tcPr>
            <w:tcW w:w="1035" w:type="dxa"/>
            <w:vAlign w:val="top"/>
          </w:tcPr>
          <w:p w14:paraId="579E94AD">
            <w:pPr>
              <w:rPr>
                <w:rFonts w:ascii="Arial"/>
                <w:color w:val="auto"/>
                <w:sz w:val="21"/>
                <w:highlight w:val="none"/>
              </w:rPr>
            </w:pPr>
          </w:p>
        </w:tc>
        <w:tc>
          <w:tcPr>
            <w:tcW w:w="676" w:type="dxa"/>
            <w:vAlign w:val="top"/>
          </w:tcPr>
          <w:p w14:paraId="28F2F8FF">
            <w:pPr>
              <w:rPr>
                <w:rFonts w:ascii="Arial"/>
                <w:color w:val="auto"/>
                <w:sz w:val="21"/>
                <w:highlight w:val="none"/>
              </w:rPr>
            </w:pPr>
          </w:p>
        </w:tc>
        <w:tc>
          <w:tcPr>
            <w:tcW w:w="623" w:type="dxa"/>
            <w:vAlign w:val="top"/>
          </w:tcPr>
          <w:p w14:paraId="1950FFEE">
            <w:pPr>
              <w:rPr>
                <w:rFonts w:ascii="Arial"/>
                <w:color w:val="auto"/>
                <w:sz w:val="21"/>
                <w:highlight w:val="none"/>
              </w:rPr>
            </w:pPr>
          </w:p>
        </w:tc>
        <w:tc>
          <w:tcPr>
            <w:tcW w:w="867" w:type="dxa"/>
            <w:vAlign w:val="top"/>
          </w:tcPr>
          <w:p w14:paraId="6F96D124">
            <w:pPr>
              <w:rPr>
                <w:rFonts w:ascii="Arial"/>
                <w:color w:val="auto"/>
                <w:sz w:val="21"/>
                <w:highlight w:val="none"/>
              </w:rPr>
            </w:pPr>
          </w:p>
        </w:tc>
        <w:tc>
          <w:tcPr>
            <w:tcW w:w="1076" w:type="dxa"/>
            <w:vAlign w:val="top"/>
          </w:tcPr>
          <w:p w14:paraId="599DF5B5">
            <w:pPr>
              <w:rPr>
                <w:rFonts w:ascii="Arial"/>
                <w:color w:val="auto"/>
                <w:sz w:val="21"/>
                <w:highlight w:val="none"/>
              </w:rPr>
            </w:pPr>
          </w:p>
        </w:tc>
        <w:tc>
          <w:tcPr>
            <w:tcW w:w="1707" w:type="dxa"/>
            <w:tcBorders>
              <w:right w:val="single" w:color="000000" w:sz="6" w:space="0"/>
            </w:tcBorders>
            <w:vAlign w:val="top"/>
          </w:tcPr>
          <w:p w14:paraId="4E3948EC">
            <w:pPr>
              <w:rPr>
                <w:rFonts w:ascii="Arial"/>
                <w:color w:val="auto"/>
                <w:sz w:val="21"/>
                <w:highlight w:val="none"/>
              </w:rPr>
            </w:pPr>
          </w:p>
        </w:tc>
      </w:tr>
      <w:tr w14:paraId="535DC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566" w:type="dxa"/>
            <w:tcBorders>
              <w:left w:val="single" w:color="000000" w:sz="6" w:space="0"/>
            </w:tcBorders>
            <w:vAlign w:val="top"/>
          </w:tcPr>
          <w:p w14:paraId="6FA3694A">
            <w:pPr>
              <w:rPr>
                <w:rFonts w:ascii="Arial"/>
                <w:color w:val="auto"/>
                <w:sz w:val="21"/>
                <w:highlight w:val="none"/>
              </w:rPr>
            </w:pPr>
          </w:p>
        </w:tc>
        <w:tc>
          <w:tcPr>
            <w:tcW w:w="1056" w:type="dxa"/>
            <w:vAlign w:val="top"/>
          </w:tcPr>
          <w:p w14:paraId="7D668311">
            <w:pPr>
              <w:rPr>
                <w:rFonts w:ascii="Arial"/>
                <w:color w:val="auto"/>
                <w:sz w:val="21"/>
                <w:highlight w:val="none"/>
              </w:rPr>
            </w:pPr>
          </w:p>
        </w:tc>
        <w:tc>
          <w:tcPr>
            <w:tcW w:w="819" w:type="dxa"/>
            <w:vAlign w:val="top"/>
          </w:tcPr>
          <w:p w14:paraId="52E89F45">
            <w:pPr>
              <w:rPr>
                <w:rFonts w:ascii="Arial"/>
                <w:color w:val="auto"/>
                <w:sz w:val="21"/>
                <w:highlight w:val="none"/>
              </w:rPr>
            </w:pPr>
          </w:p>
        </w:tc>
        <w:tc>
          <w:tcPr>
            <w:tcW w:w="1035" w:type="dxa"/>
            <w:vAlign w:val="top"/>
          </w:tcPr>
          <w:p w14:paraId="63215480">
            <w:pPr>
              <w:rPr>
                <w:rFonts w:ascii="Arial"/>
                <w:color w:val="auto"/>
                <w:sz w:val="21"/>
                <w:highlight w:val="none"/>
              </w:rPr>
            </w:pPr>
          </w:p>
        </w:tc>
        <w:tc>
          <w:tcPr>
            <w:tcW w:w="676" w:type="dxa"/>
            <w:vAlign w:val="top"/>
          </w:tcPr>
          <w:p w14:paraId="298CDBA1">
            <w:pPr>
              <w:rPr>
                <w:rFonts w:ascii="Arial"/>
                <w:color w:val="auto"/>
                <w:sz w:val="21"/>
                <w:highlight w:val="none"/>
              </w:rPr>
            </w:pPr>
          </w:p>
        </w:tc>
        <w:tc>
          <w:tcPr>
            <w:tcW w:w="623" w:type="dxa"/>
            <w:vAlign w:val="top"/>
          </w:tcPr>
          <w:p w14:paraId="0C9BBC6F">
            <w:pPr>
              <w:rPr>
                <w:rFonts w:ascii="Arial"/>
                <w:color w:val="auto"/>
                <w:sz w:val="21"/>
                <w:highlight w:val="none"/>
              </w:rPr>
            </w:pPr>
          </w:p>
        </w:tc>
        <w:tc>
          <w:tcPr>
            <w:tcW w:w="867" w:type="dxa"/>
            <w:vAlign w:val="top"/>
          </w:tcPr>
          <w:p w14:paraId="773FF5C8">
            <w:pPr>
              <w:rPr>
                <w:rFonts w:ascii="Arial"/>
                <w:color w:val="auto"/>
                <w:sz w:val="21"/>
                <w:highlight w:val="none"/>
              </w:rPr>
            </w:pPr>
          </w:p>
        </w:tc>
        <w:tc>
          <w:tcPr>
            <w:tcW w:w="1076" w:type="dxa"/>
            <w:vAlign w:val="top"/>
          </w:tcPr>
          <w:p w14:paraId="62B59822">
            <w:pPr>
              <w:rPr>
                <w:rFonts w:ascii="Arial"/>
                <w:color w:val="auto"/>
                <w:sz w:val="21"/>
                <w:highlight w:val="none"/>
              </w:rPr>
            </w:pPr>
          </w:p>
        </w:tc>
        <w:tc>
          <w:tcPr>
            <w:tcW w:w="1707" w:type="dxa"/>
            <w:tcBorders>
              <w:right w:val="single" w:color="000000" w:sz="6" w:space="0"/>
            </w:tcBorders>
            <w:vAlign w:val="top"/>
          </w:tcPr>
          <w:p w14:paraId="26580497">
            <w:pPr>
              <w:rPr>
                <w:rFonts w:ascii="Arial"/>
                <w:color w:val="auto"/>
                <w:sz w:val="21"/>
                <w:highlight w:val="none"/>
              </w:rPr>
            </w:pPr>
          </w:p>
        </w:tc>
      </w:tr>
      <w:tr w14:paraId="54E4D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vAlign w:val="top"/>
          </w:tcPr>
          <w:p w14:paraId="76B5EFA2">
            <w:pPr>
              <w:rPr>
                <w:rFonts w:ascii="Arial"/>
                <w:color w:val="auto"/>
                <w:sz w:val="21"/>
                <w:highlight w:val="none"/>
              </w:rPr>
            </w:pPr>
          </w:p>
        </w:tc>
        <w:tc>
          <w:tcPr>
            <w:tcW w:w="1056" w:type="dxa"/>
            <w:vAlign w:val="top"/>
          </w:tcPr>
          <w:p w14:paraId="284AA7AF">
            <w:pPr>
              <w:rPr>
                <w:rFonts w:ascii="Arial"/>
                <w:color w:val="auto"/>
                <w:sz w:val="21"/>
                <w:highlight w:val="none"/>
              </w:rPr>
            </w:pPr>
          </w:p>
        </w:tc>
        <w:tc>
          <w:tcPr>
            <w:tcW w:w="819" w:type="dxa"/>
            <w:vAlign w:val="top"/>
          </w:tcPr>
          <w:p w14:paraId="0C3F32DB">
            <w:pPr>
              <w:rPr>
                <w:rFonts w:ascii="Arial"/>
                <w:color w:val="auto"/>
                <w:sz w:val="21"/>
                <w:highlight w:val="none"/>
              </w:rPr>
            </w:pPr>
          </w:p>
        </w:tc>
        <w:tc>
          <w:tcPr>
            <w:tcW w:w="1035" w:type="dxa"/>
            <w:vAlign w:val="top"/>
          </w:tcPr>
          <w:p w14:paraId="6CB0D3FE">
            <w:pPr>
              <w:rPr>
                <w:rFonts w:ascii="Arial"/>
                <w:color w:val="auto"/>
                <w:sz w:val="21"/>
                <w:highlight w:val="none"/>
              </w:rPr>
            </w:pPr>
          </w:p>
        </w:tc>
        <w:tc>
          <w:tcPr>
            <w:tcW w:w="676" w:type="dxa"/>
            <w:vAlign w:val="top"/>
          </w:tcPr>
          <w:p w14:paraId="3B67E029">
            <w:pPr>
              <w:rPr>
                <w:rFonts w:ascii="Arial"/>
                <w:color w:val="auto"/>
                <w:sz w:val="21"/>
                <w:highlight w:val="none"/>
              </w:rPr>
            </w:pPr>
          </w:p>
        </w:tc>
        <w:tc>
          <w:tcPr>
            <w:tcW w:w="623" w:type="dxa"/>
            <w:vAlign w:val="top"/>
          </w:tcPr>
          <w:p w14:paraId="7526C078">
            <w:pPr>
              <w:rPr>
                <w:rFonts w:ascii="Arial"/>
                <w:color w:val="auto"/>
                <w:sz w:val="21"/>
                <w:highlight w:val="none"/>
              </w:rPr>
            </w:pPr>
          </w:p>
        </w:tc>
        <w:tc>
          <w:tcPr>
            <w:tcW w:w="867" w:type="dxa"/>
            <w:vAlign w:val="top"/>
          </w:tcPr>
          <w:p w14:paraId="0E7C170D">
            <w:pPr>
              <w:rPr>
                <w:rFonts w:ascii="Arial"/>
                <w:color w:val="auto"/>
                <w:sz w:val="21"/>
                <w:highlight w:val="none"/>
              </w:rPr>
            </w:pPr>
          </w:p>
        </w:tc>
        <w:tc>
          <w:tcPr>
            <w:tcW w:w="1076" w:type="dxa"/>
            <w:vAlign w:val="top"/>
          </w:tcPr>
          <w:p w14:paraId="245A50C1">
            <w:pPr>
              <w:rPr>
                <w:rFonts w:ascii="Arial"/>
                <w:color w:val="auto"/>
                <w:sz w:val="21"/>
                <w:highlight w:val="none"/>
              </w:rPr>
            </w:pPr>
          </w:p>
        </w:tc>
        <w:tc>
          <w:tcPr>
            <w:tcW w:w="1707" w:type="dxa"/>
            <w:tcBorders>
              <w:right w:val="single" w:color="000000" w:sz="6" w:space="0"/>
            </w:tcBorders>
            <w:vAlign w:val="top"/>
          </w:tcPr>
          <w:p w14:paraId="43624E19">
            <w:pPr>
              <w:rPr>
                <w:rFonts w:ascii="Arial"/>
                <w:color w:val="auto"/>
                <w:sz w:val="21"/>
                <w:highlight w:val="none"/>
              </w:rPr>
            </w:pPr>
          </w:p>
        </w:tc>
      </w:tr>
      <w:tr w14:paraId="3F7DAB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566" w:type="dxa"/>
            <w:tcBorders>
              <w:left w:val="single" w:color="000000" w:sz="6" w:space="0"/>
            </w:tcBorders>
            <w:vAlign w:val="top"/>
          </w:tcPr>
          <w:p w14:paraId="5AC1C5CB">
            <w:pPr>
              <w:rPr>
                <w:rFonts w:ascii="Arial"/>
                <w:color w:val="auto"/>
                <w:sz w:val="21"/>
                <w:highlight w:val="none"/>
              </w:rPr>
            </w:pPr>
          </w:p>
        </w:tc>
        <w:tc>
          <w:tcPr>
            <w:tcW w:w="1056" w:type="dxa"/>
            <w:vAlign w:val="top"/>
          </w:tcPr>
          <w:p w14:paraId="66FC6AB2">
            <w:pPr>
              <w:rPr>
                <w:rFonts w:ascii="Arial"/>
                <w:color w:val="auto"/>
                <w:sz w:val="21"/>
                <w:highlight w:val="none"/>
              </w:rPr>
            </w:pPr>
          </w:p>
        </w:tc>
        <w:tc>
          <w:tcPr>
            <w:tcW w:w="819" w:type="dxa"/>
            <w:vAlign w:val="top"/>
          </w:tcPr>
          <w:p w14:paraId="1EA27F58">
            <w:pPr>
              <w:rPr>
                <w:rFonts w:ascii="Arial"/>
                <w:color w:val="auto"/>
                <w:sz w:val="21"/>
                <w:highlight w:val="none"/>
              </w:rPr>
            </w:pPr>
          </w:p>
        </w:tc>
        <w:tc>
          <w:tcPr>
            <w:tcW w:w="1035" w:type="dxa"/>
            <w:vAlign w:val="top"/>
          </w:tcPr>
          <w:p w14:paraId="3128A421">
            <w:pPr>
              <w:rPr>
                <w:rFonts w:ascii="Arial"/>
                <w:color w:val="auto"/>
                <w:sz w:val="21"/>
                <w:highlight w:val="none"/>
              </w:rPr>
            </w:pPr>
          </w:p>
        </w:tc>
        <w:tc>
          <w:tcPr>
            <w:tcW w:w="676" w:type="dxa"/>
            <w:vAlign w:val="top"/>
          </w:tcPr>
          <w:p w14:paraId="1596B1A4">
            <w:pPr>
              <w:rPr>
                <w:rFonts w:ascii="Arial"/>
                <w:color w:val="auto"/>
                <w:sz w:val="21"/>
                <w:highlight w:val="none"/>
              </w:rPr>
            </w:pPr>
          </w:p>
        </w:tc>
        <w:tc>
          <w:tcPr>
            <w:tcW w:w="623" w:type="dxa"/>
            <w:vAlign w:val="top"/>
          </w:tcPr>
          <w:p w14:paraId="08894AB5">
            <w:pPr>
              <w:rPr>
                <w:rFonts w:ascii="Arial"/>
                <w:color w:val="auto"/>
                <w:sz w:val="21"/>
                <w:highlight w:val="none"/>
              </w:rPr>
            </w:pPr>
          </w:p>
        </w:tc>
        <w:tc>
          <w:tcPr>
            <w:tcW w:w="867" w:type="dxa"/>
            <w:vAlign w:val="top"/>
          </w:tcPr>
          <w:p w14:paraId="768F849F">
            <w:pPr>
              <w:rPr>
                <w:rFonts w:ascii="Arial"/>
                <w:color w:val="auto"/>
                <w:sz w:val="21"/>
                <w:highlight w:val="none"/>
              </w:rPr>
            </w:pPr>
          </w:p>
        </w:tc>
        <w:tc>
          <w:tcPr>
            <w:tcW w:w="1076" w:type="dxa"/>
            <w:vAlign w:val="top"/>
          </w:tcPr>
          <w:p w14:paraId="4A4D59E2">
            <w:pPr>
              <w:rPr>
                <w:rFonts w:ascii="Arial"/>
                <w:color w:val="auto"/>
                <w:sz w:val="21"/>
                <w:highlight w:val="none"/>
              </w:rPr>
            </w:pPr>
          </w:p>
        </w:tc>
        <w:tc>
          <w:tcPr>
            <w:tcW w:w="1707" w:type="dxa"/>
            <w:tcBorders>
              <w:right w:val="single" w:color="000000" w:sz="6" w:space="0"/>
            </w:tcBorders>
            <w:vAlign w:val="top"/>
          </w:tcPr>
          <w:p w14:paraId="2907648E">
            <w:pPr>
              <w:rPr>
                <w:rFonts w:ascii="Arial"/>
                <w:color w:val="auto"/>
                <w:sz w:val="21"/>
                <w:highlight w:val="none"/>
              </w:rPr>
            </w:pPr>
          </w:p>
        </w:tc>
      </w:tr>
      <w:tr w14:paraId="234D6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6" w:type="dxa"/>
            <w:tcBorders>
              <w:left w:val="single" w:color="000000" w:sz="6" w:space="0"/>
            </w:tcBorders>
            <w:vAlign w:val="top"/>
          </w:tcPr>
          <w:p w14:paraId="338BBDE9">
            <w:pPr>
              <w:rPr>
                <w:rFonts w:ascii="Arial"/>
                <w:color w:val="auto"/>
                <w:sz w:val="21"/>
                <w:highlight w:val="none"/>
              </w:rPr>
            </w:pPr>
          </w:p>
        </w:tc>
        <w:tc>
          <w:tcPr>
            <w:tcW w:w="1056" w:type="dxa"/>
            <w:vAlign w:val="top"/>
          </w:tcPr>
          <w:p w14:paraId="63300E68">
            <w:pPr>
              <w:rPr>
                <w:rFonts w:ascii="Arial"/>
                <w:color w:val="auto"/>
                <w:sz w:val="21"/>
                <w:highlight w:val="none"/>
              </w:rPr>
            </w:pPr>
          </w:p>
        </w:tc>
        <w:tc>
          <w:tcPr>
            <w:tcW w:w="819" w:type="dxa"/>
            <w:vAlign w:val="top"/>
          </w:tcPr>
          <w:p w14:paraId="2F63BD37">
            <w:pPr>
              <w:rPr>
                <w:rFonts w:ascii="Arial"/>
                <w:color w:val="auto"/>
                <w:sz w:val="21"/>
                <w:highlight w:val="none"/>
              </w:rPr>
            </w:pPr>
          </w:p>
        </w:tc>
        <w:tc>
          <w:tcPr>
            <w:tcW w:w="1035" w:type="dxa"/>
            <w:vAlign w:val="top"/>
          </w:tcPr>
          <w:p w14:paraId="19446536">
            <w:pPr>
              <w:rPr>
                <w:rFonts w:ascii="Arial"/>
                <w:color w:val="auto"/>
                <w:sz w:val="21"/>
                <w:highlight w:val="none"/>
              </w:rPr>
            </w:pPr>
          </w:p>
        </w:tc>
        <w:tc>
          <w:tcPr>
            <w:tcW w:w="676" w:type="dxa"/>
            <w:vAlign w:val="top"/>
          </w:tcPr>
          <w:p w14:paraId="529C592E">
            <w:pPr>
              <w:rPr>
                <w:rFonts w:ascii="Arial"/>
                <w:color w:val="auto"/>
                <w:sz w:val="21"/>
                <w:highlight w:val="none"/>
              </w:rPr>
            </w:pPr>
          </w:p>
        </w:tc>
        <w:tc>
          <w:tcPr>
            <w:tcW w:w="623" w:type="dxa"/>
            <w:vAlign w:val="top"/>
          </w:tcPr>
          <w:p w14:paraId="03AC6126">
            <w:pPr>
              <w:rPr>
                <w:rFonts w:ascii="Arial"/>
                <w:color w:val="auto"/>
                <w:sz w:val="21"/>
                <w:highlight w:val="none"/>
              </w:rPr>
            </w:pPr>
          </w:p>
        </w:tc>
        <w:tc>
          <w:tcPr>
            <w:tcW w:w="867" w:type="dxa"/>
            <w:vAlign w:val="top"/>
          </w:tcPr>
          <w:p w14:paraId="1FF083AB">
            <w:pPr>
              <w:rPr>
                <w:rFonts w:ascii="Arial"/>
                <w:color w:val="auto"/>
                <w:sz w:val="21"/>
                <w:highlight w:val="none"/>
              </w:rPr>
            </w:pPr>
          </w:p>
        </w:tc>
        <w:tc>
          <w:tcPr>
            <w:tcW w:w="1076" w:type="dxa"/>
            <w:vAlign w:val="top"/>
          </w:tcPr>
          <w:p w14:paraId="594E76ED">
            <w:pPr>
              <w:rPr>
                <w:rFonts w:ascii="Arial"/>
                <w:color w:val="auto"/>
                <w:sz w:val="21"/>
                <w:highlight w:val="none"/>
              </w:rPr>
            </w:pPr>
          </w:p>
        </w:tc>
        <w:tc>
          <w:tcPr>
            <w:tcW w:w="1707" w:type="dxa"/>
            <w:tcBorders>
              <w:right w:val="single" w:color="000000" w:sz="6" w:space="0"/>
            </w:tcBorders>
            <w:vAlign w:val="top"/>
          </w:tcPr>
          <w:p w14:paraId="24F5041A">
            <w:pPr>
              <w:rPr>
                <w:rFonts w:ascii="Arial"/>
                <w:color w:val="auto"/>
                <w:sz w:val="21"/>
                <w:highlight w:val="none"/>
              </w:rPr>
            </w:pPr>
          </w:p>
        </w:tc>
      </w:tr>
      <w:tr w14:paraId="3C78A8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2441" w:type="dxa"/>
            <w:gridSpan w:val="3"/>
            <w:tcBorders>
              <w:left w:val="single" w:color="000000" w:sz="6" w:space="0"/>
              <w:bottom w:val="single" w:color="000000" w:sz="6" w:space="0"/>
            </w:tcBorders>
            <w:vAlign w:val="top"/>
          </w:tcPr>
          <w:p w14:paraId="565E6888">
            <w:pPr>
              <w:pStyle w:val="17"/>
              <w:spacing w:before="163" w:line="218" w:lineRule="auto"/>
              <w:ind w:left="61"/>
              <w:rPr>
                <w:color w:val="auto"/>
                <w:sz w:val="21"/>
                <w:szCs w:val="21"/>
                <w:highlight w:val="none"/>
              </w:rPr>
            </w:pPr>
            <w:r>
              <w:rPr>
                <w:color w:val="auto"/>
                <w:spacing w:val="-1"/>
                <w:sz w:val="21"/>
                <w:szCs w:val="21"/>
                <w:highlight w:val="none"/>
              </w:rPr>
              <w:t>招标人最高投标限价</w:t>
            </w:r>
          </w:p>
        </w:tc>
        <w:tc>
          <w:tcPr>
            <w:tcW w:w="5984" w:type="dxa"/>
            <w:gridSpan w:val="6"/>
            <w:tcBorders>
              <w:bottom w:val="single" w:color="000000" w:sz="6" w:space="0"/>
              <w:right w:val="single" w:color="000000" w:sz="6" w:space="0"/>
            </w:tcBorders>
            <w:vAlign w:val="top"/>
          </w:tcPr>
          <w:p w14:paraId="0339005D">
            <w:pPr>
              <w:rPr>
                <w:rFonts w:ascii="Arial"/>
                <w:color w:val="auto"/>
                <w:sz w:val="21"/>
                <w:highlight w:val="none"/>
              </w:rPr>
            </w:pPr>
          </w:p>
        </w:tc>
      </w:tr>
    </w:tbl>
    <w:p w14:paraId="78D5BDBE">
      <w:pPr>
        <w:spacing w:before="155" w:line="220" w:lineRule="auto"/>
        <w:ind w:left="217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开标结束时间：</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6"/>
          <w:sz w:val="24"/>
          <w:szCs w:val="24"/>
          <w:highlight w:val="none"/>
        </w:rPr>
        <w:t>年</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6"/>
          <w:sz w:val="24"/>
          <w:szCs w:val="24"/>
          <w:highlight w:val="none"/>
        </w:rPr>
        <w:t>月</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6"/>
          <w:sz w:val="24"/>
          <w:szCs w:val="24"/>
          <w:highlight w:val="none"/>
        </w:rPr>
        <w:t>日</w:t>
      </w:r>
      <w:r>
        <w:rPr>
          <w:rFonts w:ascii="宋体" w:hAnsi="宋体" w:eastAsia="宋体" w:cs="宋体"/>
          <w:color w:val="auto"/>
          <w:spacing w:val="24"/>
          <w:sz w:val="24"/>
          <w:szCs w:val="24"/>
          <w:highlight w:val="none"/>
          <w:u w:val="single" w:color="auto"/>
        </w:rPr>
        <w:t xml:space="preserve">     </w:t>
      </w:r>
      <w:r>
        <w:rPr>
          <w:rFonts w:ascii="宋体" w:hAnsi="宋体" w:eastAsia="宋体" w:cs="宋体"/>
          <w:color w:val="auto"/>
          <w:spacing w:val="-100"/>
          <w:sz w:val="24"/>
          <w:szCs w:val="24"/>
          <w:highlight w:val="none"/>
        </w:rPr>
        <w:t xml:space="preserve"> </w:t>
      </w:r>
      <w:r>
        <w:rPr>
          <w:rFonts w:ascii="宋体" w:hAnsi="宋体" w:eastAsia="宋体" w:cs="宋体"/>
          <w:color w:val="auto"/>
          <w:spacing w:val="-6"/>
          <w:sz w:val="24"/>
          <w:szCs w:val="24"/>
          <w:highlight w:val="none"/>
        </w:rPr>
        <w:t>时</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08"/>
          <w:sz w:val="24"/>
          <w:szCs w:val="24"/>
          <w:highlight w:val="none"/>
        </w:rPr>
        <w:t xml:space="preserve"> </w:t>
      </w:r>
      <w:r>
        <w:rPr>
          <w:rFonts w:ascii="宋体" w:hAnsi="宋体" w:eastAsia="宋体" w:cs="宋体"/>
          <w:color w:val="auto"/>
          <w:spacing w:val="-6"/>
          <w:sz w:val="24"/>
          <w:szCs w:val="24"/>
          <w:highlight w:val="none"/>
        </w:rPr>
        <w:t>分</w:t>
      </w:r>
    </w:p>
    <w:p w14:paraId="54E8EF31">
      <w:pPr>
        <w:pStyle w:val="8"/>
        <w:spacing w:line="256" w:lineRule="auto"/>
        <w:rPr>
          <w:color w:val="auto"/>
          <w:highlight w:val="none"/>
        </w:rPr>
      </w:pPr>
    </w:p>
    <w:p w14:paraId="74300881">
      <w:pPr>
        <w:pStyle w:val="8"/>
        <w:spacing w:line="257" w:lineRule="auto"/>
        <w:rPr>
          <w:color w:val="auto"/>
          <w:highlight w:val="none"/>
        </w:rPr>
      </w:pPr>
    </w:p>
    <w:p w14:paraId="3488AA7D">
      <w:pPr>
        <w:spacing w:before="78" w:line="220" w:lineRule="auto"/>
        <w:ind w:left="1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招标人代表：</w:t>
      </w:r>
      <w:r>
        <w:rPr>
          <w:rFonts w:ascii="宋体" w:hAnsi="宋体" w:eastAsia="宋体" w:cs="宋体"/>
          <w:color w:val="auto"/>
          <w:sz w:val="24"/>
          <w:szCs w:val="24"/>
          <w:highlight w:val="none"/>
          <w:u w:val="single" w:color="auto"/>
        </w:rPr>
        <w:t xml:space="preserve">            </w:t>
      </w:r>
    </w:p>
    <w:p w14:paraId="1B037600">
      <w:pPr>
        <w:spacing w:before="181" w:line="222" w:lineRule="auto"/>
        <w:ind w:left="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记录人：</w:t>
      </w:r>
      <w:r>
        <w:rPr>
          <w:rFonts w:ascii="宋体" w:hAnsi="宋体" w:eastAsia="宋体" w:cs="宋体"/>
          <w:color w:val="auto"/>
          <w:sz w:val="24"/>
          <w:szCs w:val="24"/>
          <w:highlight w:val="none"/>
          <w:u w:val="single" w:color="auto"/>
        </w:rPr>
        <w:t xml:space="preserve">                </w:t>
      </w:r>
    </w:p>
    <w:p w14:paraId="77D2E740">
      <w:pPr>
        <w:spacing w:before="179" w:line="220" w:lineRule="auto"/>
        <w:ind w:left="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监标人：</w:t>
      </w:r>
      <w:r>
        <w:rPr>
          <w:rFonts w:ascii="宋体" w:hAnsi="宋体" w:eastAsia="宋体" w:cs="宋体"/>
          <w:color w:val="auto"/>
          <w:sz w:val="24"/>
          <w:szCs w:val="24"/>
          <w:highlight w:val="none"/>
          <w:u w:val="single" w:color="auto"/>
        </w:rPr>
        <w:t xml:space="preserve">                </w:t>
      </w:r>
    </w:p>
    <w:p w14:paraId="2FDAA95B">
      <w:pPr>
        <w:pStyle w:val="8"/>
        <w:spacing w:line="256" w:lineRule="auto"/>
        <w:rPr>
          <w:color w:val="auto"/>
          <w:highlight w:val="none"/>
        </w:rPr>
      </w:pPr>
    </w:p>
    <w:p w14:paraId="2277371D">
      <w:pPr>
        <w:pStyle w:val="8"/>
        <w:spacing w:line="256" w:lineRule="auto"/>
        <w:rPr>
          <w:color w:val="auto"/>
          <w:highlight w:val="none"/>
        </w:rPr>
      </w:pPr>
    </w:p>
    <w:p w14:paraId="131A85F5">
      <w:pPr>
        <w:tabs>
          <w:tab w:val="left" w:pos="6359"/>
        </w:tabs>
        <w:spacing w:before="79" w:line="220" w:lineRule="auto"/>
        <w:ind w:left="539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8"/>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pacing w:val="2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pacing w:val="20"/>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26"/>
          <w:sz w:val="24"/>
          <w:szCs w:val="24"/>
          <w:highlight w:val="none"/>
        </w:rPr>
        <w:t>日</w:t>
      </w:r>
    </w:p>
    <w:p w14:paraId="6FDE0E3D">
      <w:pPr>
        <w:pStyle w:val="8"/>
        <w:spacing w:line="259" w:lineRule="auto"/>
        <w:rPr>
          <w:color w:val="auto"/>
          <w:highlight w:val="none"/>
        </w:rPr>
      </w:pPr>
    </w:p>
    <w:p w14:paraId="03146A64">
      <w:pPr>
        <w:pStyle w:val="8"/>
        <w:spacing w:line="259" w:lineRule="auto"/>
        <w:rPr>
          <w:color w:val="auto"/>
          <w:highlight w:val="none"/>
        </w:rPr>
      </w:pPr>
    </w:p>
    <w:p w14:paraId="31402A78">
      <w:pPr>
        <w:spacing w:before="69" w:line="219" w:lineRule="auto"/>
        <w:ind w:left="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注：可以根据招标项目的实际需要对本开标</w:t>
      </w:r>
      <w:r>
        <w:rPr>
          <w:rFonts w:ascii="宋体" w:hAnsi="宋体" w:eastAsia="宋体" w:cs="宋体"/>
          <w:color w:val="auto"/>
          <w:spacing w:val="-2"/>
          <w:sz w:val="21"/>
          <w:szCs w:val="21"/>
          <w:highlight w:val="none"/>
        </w:rPr>
        <w:t>记录表进行适当修改。</w:t>
      </w:r>
    </w:p>
    <w:p w14:paraId="678902CC">
      <w:pPr>
        <w:spacing w:line="219" w:lineRule="auto"/>
        <w:rPr>
          <w:rFonts w:ascii="宋体" w:hAnsi="宋体" w:eastAsia="宋体" w:cs="宋体"/>
          <w:color w:val="auto"/>
          <w:sz w:val="21"/>
          <w:szCs w:val="21"/>
          <w:highlight w:val="none"/>
        </w:rPr>
        <w:sectPr>
          <w:footerReference r:id="rId23" w:type="default"/>
          <w:pgSz w:w="11905" w:h="16840"/>
          <w:pgMar w:top="1427" w:right="1529" w:bottom="1255" w:left="1587" w:header="0" w:footer="1093" w:gutter="0"/>
          <w:pgNumType w:fmt="decimal"/>
          <w:cols w:space="720" w:num="1"/>
        </w:sectPr>
      </w:pPr>
    </w:p>
    <w:p w14:paraId="51C3D98E">
      <w:pPr>
        <w:spacing w:before="56" w:line="225" w:lineRule="auto"/>
        <w:ind w:left="32"/>
        <w:rPr>
          <w:rFonts w:ascii="宋体" w:hAnsi="宋体" w:eastAsia="宋体" w:cs="宋体"/>
          <w:color w:val="auto"/>
          <w:sz w:val="27"/>
          <w:szCs w:val="27"/>
          <w:highlight w:val="none"/>
        </w:rPr>
      </w:pPr>
      <w:r>
        <w:rPr>
          <w:rFonts w:ascii="宋体" w:hAnsi="宋体" w:eastAsia="宋体" w:cs="宋体"/>
          <w:b/>
          <w:bCs/>
          <w:color w:val="auto"/>
          <w:spacing w:val="-15"/>
          <w:sz w:val="27"/>
          <w:szCs w:val="27"/>
          <w:highlight w:val="none"/>
        </w:rPr>
        <w:t>附件五：</w:t>
      </w:r>
    </w:p>
    <w:p w14:paraId="5C104FFC">
      <w:pPr>
        <w:spacing w:before="215" w:line="225" w:lineRule="auto"/>
        <w:ind w:left="3728"/>
        <w:rPr>
          <w:rFonts w:ascii="宋体" w:hAnsi="宋体" w:eastAsia="宋体" w:cs="宋体"/>
          <w:color w:val="auto"/>
          <w:sz w:val="27"/>
          <w:szCs w:val="27"/>
          <w:highlight w:val="none"/>
        </w:rPr>
      </w:pPr>
      <w:r>
        <w:rPr>
          <w:rFonts w:ascii="宋体" w:hAnsi="宋体" w:eastAsia="宋体" w:cs="宋体"/>
          <w:b/>
          <w:bCs/>
          <w:color w:val="auto"/>
          <w:sz w:val="27"/>
          <w:szCs w:val="27"/>
          <w:highlight w:val="none"/>
        </w:rPr>
        <w:t>中标通知书</w:t>
      </w:r>
    </w:p>
    <w:p w14:paraId="09B219C4">
      <w:pPr>
        <w:spacing w:before="207" w:line="220" w:lineRule="auto"/>
        <w:ind w:left="3851"/>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07B15CEA">
      <w:pPr>
        <w:pStyle w:val="8"/>
        <w:spacing w:line="257" w:lineRule="auto"/>
        <w:rPr>
          <w:color w:val="auto"/>
          <w:highlight w:val="none"/>
        </w:rPr>
      </w:pPr>
    </w:p>
    <w:p w14:paraId="66D970E8">
      <w:pPr>
        <w:pStyle w:val="8"/>
        <w:spacing w:line="257" w:lineRule="auto"/>
        <w:rPr>
          <w:color w:val="auto"/>
          <w:highlight w:val="none"/>
        </w:rPr>
      </w:pPr>
    </w:p>
    <w:p w14:paraId="5B4E37C4">
      <w:pPr>
        <w:tabs>
          <w:tab w:val="left" w:pos="2400"/>
        </w:tabs>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（中标单位名称</w:t>
      </w:r>
      <w:r>
        <w:rPr>
          <w:rFonts w:ascii="宋体" w:hAnsi="宋体" w:eastAsia="宋体" w:cs="宋体"/>
          <w:color w:val="auto"/>
          <w:spacing w:val="-1"/>
          <w:sz w:val="24"/>
          <w:szCs w:val="24"/>
          <w:highlight w:val="none"/>
        </w:rPr>
        <w:t>）：</w:t>
      </w:r>
    </w:p>
    <w:p w14:paraId="67849F33">
      <w:pPr>
        <w:spacing w:before="181" w:line="359" w:lineRule="auto"/>
        <w:ind w:left="10" w:right="8" w:firstLine="480"/>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你方于</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
          <w:sz w:val="24"/>
          <w:szCs w:val="24"/>
          <w:highlight w:val="none"/>
        </w:rPr>
        <w:t>（投标日期）所递交的</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pacing w:val="-11"/>
          <w:sz w:val="24"/>
          <w:szCs w:val="24"/>
          <w:highlight w:val="none"/>
        </w:rPr>
        <w:t>（项目名称</w:t>
      </w:r>
      <w:r>
        <w:rPr>
          <w:rFonts w:ascii="宋体" w:hAnsi="宋体" w:eastAsia="宋体" w:cs="宋体"/>
          <w:color w:val="auto"/>
          <w:spacing w:val="-12"/>
          <w:sz w:val="24"/>
          <w:szCs w:val="24"/>
          <w:highlight w:val="none"/>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2"/>
          <w:sz w:val="24"/>
          <w:szCs w:val="24"/>
          <w:highlight w:val="none"/>
        </w:rPr>
        <w:t>（</w:t>
      </w:r>
      <w:r>
        <w:rPr>
          <w:rFonts w:ascii="宋体" w:hAnsi="宋体" w:eastAsia="宋体" w:cs="宋体"/>
          <w:color w:val="auto"/>
          <w:spacing w:val="-11"/>
          <w:sz w:val="24"/>
          <w:szCs w:val="24"/>
          <w:highlight w:val="none"/>
        </w:rPr>
        <w:t>标</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段名称）投标文件已被我方接受，并被确定为中标人。</w:t>
      </w:r>
    </w:p>
    <w:p w14:paraId="62C134BF">
      <w:pPr>
        <w:spacing w:line="218" w:lineRule="auto"/>
        <w:ind w:left="511"/>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中标价：</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0"/>
          <w:sz w:val="24"/>
          <w:szCs w:val="24"/>
          <w:highlight w:val="none"/>
        </w:rPr>
        <w:t>元。</w:t>
      </w:r>
    </w:p>
    <w:p w14:paraId="39252B68">
      <w:pPr>
        <w:spacing w:before="183" w:line="180" w:lineRule="auto"/>
        <w:ind w:left="49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工期：</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1"/>
          <w:sz w:val="24"/>
          <w:szCs w:val="24"/>
          <w:highlight w:val="none"/>
        </w:rPr>
        <w:t>个月</w:t>
      </w:r>
      <w:r>
        <w:rPr>
          <w:rFonts w:ascii="微软雅黑" w:hAnsi="微软雅黑" w:eastAsia="微软雅黑" w:cs="微软雅黑"/>
          <w:color w:val="auto"/>
          <w:spacing w:val="-1"/>
          <w:sz w:val="24"/>
          <w:szCs w:val="24"/>
          <w:highlight w:val="none"/>
        </w:rPr>
        <w:t>（或日历天）</w:t>
      </w:r>
      <w:r>
        <w:rPr>
          <w:rFonts w:ascii="宋体" w:hAnsi="宋体" w:eastAsia="宋体" w:cs="宋体"/>
          <w:color w:val="auto"/>
          <w:spacing w:val="-1"/>
          <w:sz w:val="24"/>
          <w:szCs w:val="24"/>
          <w:highlight w:val="none"/>
        </w:rPr>
        <w:t>。</w:t>
      </w:r>
    </w:p>
    <w:p w14:paraId="14D5D427">
      <w:pPr>
        <w:spacing w:before="189" w:line="220" w:lineRule="auto"/>
        <w:ind w:left="49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工程质量：符合</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02"/>
          <w:sz w:val="24"/>
          <w:szCs w:val="24"/>
          <w:highlight w:val="none"/>
        </w:rPr>
        <w:t xml:space="preserve"> </w:t>
      </w:r>
      <w:r>
        <w:rPr>
          <w:rFonts w:ascii="宋体" w:hAnsi="宋体" w:eastAsia="宋体" w:cs="宋体"/>
          <w:color w:val="auto"/>
          <w:spacing w:val="-3"/>
          <w:sz w:val="24"/>
          <w:szCs w:val="24"/>
          <w:highlight w:val="none"/>
        </w:rPr>
        <w:t>标准。</w:t>
      </w:r>
    </w:p>
    <w:p w14:paraId="6BCBBF79">
      <w:pPr>
        <w:spacing w:before="180" w:line="220" w:lineRule="auto"/>
        <w:ind w:left="493"/>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项目负责人：</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（姓名）。</w:t>
      </w:r>
    </w:p>
    <w:p w14:paraId="1313278B">
      <w:pPr>
        <w:spacing w:before="181" w:line="220" w:lineRule="auto"/>
        <w:ind w:left="49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技术负责人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4"/>
          <w:sz w:val="24"/>
          <w:szCs w:val="24"/>
          <w:highlight w:val="none"/>
        </w:rPr>
        <w:t>姓名）。</w:t>
      </w:r>
    </w:p>
    <w:p w14:paraId="4F997BD4">
      <w:pPr>
        <w:spacing w:before="183" w:line="359" w:lineRule="auto"/>
        <w:ind w:left="12" w:firstLine="47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请你方在接到本通知书后的</w:t>
      </w:r>
      <w:r>
        <w:rPr>
          <w:rFonts w:ascii="宋体" w:hAnsi="宋体" w:eastAsia="宋体" w:cs="宋体"/>
          <w:color w:val="auto"/>
          <w:spacing w:val="-119"/>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1"/>
          <w:sz w:val="24"/>
          <w:szCs w:val="24"/>
          <w:highlight w:val="none"/>
        </w:rPr>
        <w:t>日内到</w:t>
      </w:r>
      <w:r>
        <w:rPr>
          <w:rFonts w:ascii="宋体" w:hAnsi="宋体" w:eastAsia="宋体" w:cs="宋体"/>
          <w:color w:val="auto"/>
          <w:spacing w:val="-118"/>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（详细地址）</w:t>
      </w:r>
      <w:r>
        <w:rPr>
          <w:rFonts w:ascii="宋体" w:hAnsi="宋体" w:eastAsia="宋体" w:cs="宋体"/>
          <w:color w:val="auto"/>
          <w:spacing w:val="-2"/>
          <w:sz w:val="24"/>
          <w:szCs w:val="24"/>
          <w:highlight w:val="none"/>
        </w:rPr>
        <w:t>与我方签</w:t>
      </w:r>
      <w:r>
        <w:rPr>
          <w:rFonts w:ascii="宋体" w:hAnsi="宋体" w:eastAsia="宋体" w:cs="宋体"/>
          <w:color w:val="auto"/>
          <w:spacing w:val="-1"/>
          <w:sz w:val="24"/>
          <w:szCs w:val="24"/>
          <w:highlight w:val="none"/>
        </w:rPr>
        <w:t>订施工合同协议书，在此之前按招标文件第</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章投标人须知第</w:t>
      </w:r>
      <w:r>
        <w:rPr>
          <w:rFonts w:ascii="Times New Roman" w:hAnsi="Times New Roman" w:eastAsia="Times New Roman" w:cs="Times New Roman"/>
          <w:color w:val="auto"/>
          <w:spacing w:val="-1"/>
          <w:sz w:val="24"/>
          <w:szCs w:val="24"/>
          <w:highlight w:val="none"/>
        </w:rPr>
        <w:t>7.3</w:t>
      </w:r>
      <w:r>
        <w:rPr>
          <w:rFonts w:ascii="宋体" w:hAnsi="宋体" w:eastAsia="宋体" w:cs="宋体"/>
          <w:color w:val="auto"/>
          <w:spacing w:val="-1"/>
          <w:sz w:val="24"/>
          <w:szCs w:val="24"/>
          <w:highlight w:val="none"/>
        </w:rPr>
        <w:t>条规</w:t>
      </w:r>
      <w:r>
        <w:rPr>
          <w:rFonts w:ascii="宋体" w:hAnsi="宋体" w:eastAsia="宋体" w:cs="宋体"/>
          <w:color w:val="auto"/>
          <w:spacing w:val="-2"/>
          <w:sz w:val="24"/>
          <w:szCs w:val="24"/>
          <w:highlight w:val="none"/>
        </w:rPr>
        <w:t>定向我方提交履</w:t>
      </w:r>
      <w:r>
        <w:rPr>
          <w:rFonts w:ascii="宋体" w:hAnsi="宋体" w:eastAsia="宋体" w:cs="宋体"/>
          <w:color w:val="auto"/>
          <w:spacing w:val="-9"/>
          <w:sz w:val="24"/>
          <w:szCs w:val="24"/>
          <w:highlight w:val="none"/>
        </w:rPr>
        <w:t>约担保。</w:t>
      </w:r>
    </w:p>
    <w:p w14:paraId="1E4A4D00">
      <w:pPr>
        <w:spacing w:before="1" w:line="219" w:lineRule="auto"/>
        <w:ind w:left="489"/>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特此通知。</w:t>
      </w:r>
    </w:p>
    <w:p w14:paraId="7CB06588">
      <w:pPr>
        <w:pStyle w:val="8"/>
        <w:spacing w:line="249" w:lineRule="auto"/>
        <w:rPr>
          <w:color w:val="auto"/>
          <w:highlight w:val="none"/>
        </w:rPr>
      </w:pPr>
    </w:p>
    <w:p w14:paraId="4E6EF339">
      <w:pPr>
        <w:pStyle w:val="8"/>
        <w:spacing w:line="249" w:lineRule="auto"/>
        <w:rPr>
          <w:color w:val="auto"/>
          <w:highlight w:val="none"/>
        </w:rPr>
      </w:pPr>
    </w:p>
    <w:p w14:paraId="1921C402">
      <w:pPr>
        <w:pStyle w:val="8"/>
        <w:spacing w:line="250" w:lineRule="auto"/>
        <w:rPr>
          <w:color w:val="auto"/>
          <w:highlight w:val="none"/>
        </w:rPr>
      </w:pPr>
    </w:p>
    <w:p w14:paraId="5CB65A98">
      <w:pPr>
        <w:pStyle w:val="8"/>
        <w:spacing w:line="250" w:lineRule="auto"/>
        <w:rPr>
          <w:color w:val="auto"/>
          <w:highlight w:val="none"/>
        </w:rPr>
      </w:pPr>
    </w:p>
    <w:p w14:paraId="52D04FFA">
      <w:pPr>
        <w:pStyle w:val="8"/>
        <w:spacing w:line="250" w:lineRule="auto"/>
        <w:rPr>
          <w:color w:val="auto"/>
          <w:highlight w:val="none"/>
        </w:rPr>
      </w:pPr>
    </w:p>
    <w:p w14:paraId="5A9B5045">
      <w:pPr>
        <w:pStyle w:val="8"/>
        <w:spacing w:line="250" w:lineRule="auto"/>
        <w:rPr>
          <w:color w:val="auto"/>
          <w:highlight w:val="none"/>
        </w:rPr>
      </w:pPr>
    </w:p>
    <w:p w14:paraId="2CA8B01E">
      <w:pPr>
        <w:pStyle w:val="8"/>
        <w:spacing w:line="250" w:lineRule="auto"/>
        <w:rPr>
          <w:color w:val="auto"/>
          <w:highlight w:val="none"/>
        </w:rPr>
      </w:pPr>
    </w:p>
    <w:p w14:paraId="4CA0CA63">
      <w:pPr>
        <w:spacing w:before="78" w:line="219" w:lineRule="auto"/>
        <w:ind w:left="36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盖单位公章）</w:t>
      </w:r>
    </w:p>
    <w:p w14:paraId="3BCD1F1B">
      <w:pPr>
        <w:tabs>
          <w:tab w:val="left" w:pos="5759"/>
        </w:tabs>
        <w:spacing w:before="183" w:line="361" w:lineRule="auto"/>
        <w:ind w:left="5039" w:right="283" w:hanging="1429"/>
        <w:rPr>
          <w:rFonts w:ascii="宋体" w:hAnsi="宋体" w:eastAsia="宋体" w:cs="宋体"/>
          <w:color w:val="auto"/>
          <w:spacing w:val="1"/>
          <w:sz w:val="24"/>
          <w:szCs w:val="24"/>
          <w:highlight w:val="none"/>
        </w:rPr>
      </w:pPr>
      <w:r>
        <w:rPr>
          <w:rFonts w:ascii="宋体" w:hAnsi="宋体" w:eastAsia="宋体" w:cs="宋体"/>
          <w:color w:val="auto"/>
          <w:spacing w:val="-3"/>
          <w:sz w:val="24"/>
          <w:szCs w:val="24"/>
          <w:highlight w:val="none"/>
        </w:rPr>
        <w:t>法定代表人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签字或盖章）</w:t>
      </w:r>
      <w:r>
        <w:rPr>
          <w:rFonts w:ascii="宋体" w:hAnsi="宋体" w:eastAsia="宋体" w:cs="宋体"/>
          <w:color w:val="auto"/>
          <w:spacing w:val="1"/>
          <w:sz w:val="24"/>
          <w:szCs w:val="24"/>
          <w:highlight w:val="none"/>
        </w:rPr>
        <w:t xml:space="preserve"> </w:t>
      </w:r>
    </w:p>
    <w:p w14:paraId="36C0E451">
      <w:pPr>
        <w:tabs>
          <w:tab w:val="left" w:pos="5759"/>
        </w:tabs>
        <w:spacing w:before="183" w:line="361" w:lineRule="auto"/>
        <w:ind w:left="5039" w:right="283" w:hanging="142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6A966567">
      <w:pPr>
        <w:spacing w:line="361" w:lineRule="auto"/>
        <w:rPr>
          <w:rFonts w:ascii="宋体" w:hAnsi="宋体" w:eastAsia="宋体" w:cs="宋体"/>
          <w:color w:val="auto"/>
          <w:sz w:val="24"/>
          <w:szCs w:val="24"/>
          <w:highlight w:val="none"/>
        </w:rPr>
        <w:sectPr>
          <w:footerReference r:id="rId24" w:type="default"/>
          <w:pgSz w:w="11905" w:h="16840"/>
          <w:pgMar w:top="1427" w:right="1529" w:bottom="1252" w:left="1587" w:header="0" w:footer="1093" w:gutter="0"/>
          <w:pgNumType w:fmt="decimal"/>
          <w:cols w:space="720" w:num="1"/>
        </w:sectPr>
      </w:pPr>
    </w:p>
    <w:p w14:paraId="57E4F2AE">
      <w:pPr>
        <w:spacing w:before="56" w:line="225" w:lineRule="auto"/>
        <w:ind w:left="32"/>
        <w:rPr>
          <w:rFonts w:ascii="宋体" w:hAnsi="宋体" w:eastAsia="宋体" w:cs="宋体"/>
          <w:color w:val="auto"/>
          <w:sz w:val="27"/>
          <w:szCs w:val="27"/>
          <w:highlight w:val="none"/>
        </w:rPr>
      </w:pPr>
      <w:bookmarkStart w:id="65" w:name="bookmark381"/>
      <w:bookmarkEnd w:id="65"/>
      <w:r>
        <w:rPr>
          <w:rFonts w:ascii="宋体" w:hAnsi="宋体" w:eastAsia="宋体" w:cs="宋体"/>
          <w:b/>
          <w:bCs/>
          <w:color w:val="auto"/>
          <w:spacing w:val="-15"/>
          <w:sz w:val="27"/>
          <w:szCs w:val="27"/>
          <w:highlight w:val="none"/>
        </w:rPr>
        <w:t>附件六：</w:t>
      </w:r>
    </w:p>
    <w:p w14:paraId="420CAE58">
      <w:pPr>
        <w:pStyle w:val="8"/>
        <w:spacing w:line="303" w:lineRule="auto"/>
        <w:rPr>
          <w:color w:val="auto"/>
          <w:highlight w:val="none"/>
        </w:rPr>
      </w:pPr>
    </w:p>
    <w:p w14:paraId="7174FCCD">
      <w:pPr>
        <w:pStyle w:val="8"/>
        <w:spacing w:line="303" w:lineRule="auto"/>
        <w:rPr>
          <w:color w:val="auto"/>
          <w:highlight w:val="none"/>
        </w:rPr>
      </w:pPr>
    </w:p>
    <w:p w14:paraId="39D4FAFB">
      <w:pPr>
        <w:spacing w:before="88" w:line="225" w:lineRule="auto"/>
        <w:ind w:left="3446"/>
        <w:rPr>
          <w:rFonts w:ascii="宋体" w:hAnsi="宋体" w:eastAsia="宋体" w:cs="宋体"/>
          <w:color w:val="auto"/>
          <w:sz w:val="27"/>
          <w:szCs w:val="27"/>
          <w:highlight w:val="none"/>
        </w:rPr>
      </w:pPr>
      <w:r>
        <w:rPr>
          <w:rFonts w:ascii="宋体" w:hAnsi="宋体" w:eastAsia="宋体" w:cs="宋体"/>
          <w:b/>
          <w:bCs/>
          <w:color w:val="auto"/>
          <w:spacing w:val="2"/>
          <w:sz w:val="27"/>
          <w:szCs w:val="27"/>
          <w:highlight w:val="none"/>
        </w:rPr>
        <w:t>中标结果通知书</w:t>
      </w:r>
    </w:p>
    <w:p w14:paraId="69A612E5">
      <w:pPr>
        <w:spacing w:before="207" w:line="220" w:lineRule="auto"/>
        <w:ind w:left="3851"/>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4B110C6C">
      <w:pPr>
        <w:pStyle w:val="8"/>
        <w:spacing w:line="257" w:lineRule="auto"/>
        <w:rPr>
          <w:color w:val="auto"/>
          <w:highlight w:val="none"/>
        </w:rPr>
      </w:pPr>
    </w:p>
    <w:p w14:paraId="3C8840F0">
      <w:pPr>
        <w:pStyle w:val="8"/>
        <w:spacing w:line="257" w:lineRule="auto"/>
        <w:rPr>
          <w:color w:val="auto"/>
          <w:highlight w:val="none"/>
        </w:rPr>
      </w:pPr>
    </w:p>
    <w:p w14:paraId="10D71E1E">
      <w:pPr>
        <w:tabs>
          <w:tab w:val="left" w:pos="2520"/>
        </w:tabs>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（未中标人名称</w:t>
      </w:r>
      <w:r>
        <w:rPr>
          <w:rFonts w:ascii="宋体" w:hAnsi="宋体" w:eastAsia="宋体" w:cs="宋体"/>
          <w:color w:val="auto"/>
          <w:spacing w:val="-1"/>
          <w:sz w:val="24"/>
          <w:szCs w:val="24"/>
          <w:highlight w:val="none"/>
        </w:rPr>
        <w:t>）：</w:t>
      </w:r>
    </w:p>
    <w:p w14:paraId="2EED69DA">
      <w:pPr>
        <w:pStyle w:val="8"/>
        <w:spacing w:line="256" w:lineRule="auto"/>
        <w:rPr>
          <w:color w:val="auto"/>
          <w:highlight w:val="none"/>
        </w:rPr>
      </w:pPr>
    </w:p>
    <w:p w14:paraId="4F61A375">
      <w:pPr>
        <w:pStyle w:val="8"/>
        <w:spacing w:line="256" w:lineRule="auto"/>
        <w:rPr>
          <w:color w:val="auto"/>
          <w:highlight w:val="none"/>
        </w:rPr>
      </w:pPr>
    </w:p>
    <w:p w14:paraId="2373BA3F">
      <w:pPr>
        <w:spacing w:before="78" w:line="361" w:lineRule="auto"/>
        <w:ind w:left="9" w:firstLine="481"/>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我方已接受</w:t>
      </w:r>
      <w:r>
        <w:rPr>
          <w:rFonts w:ascii="宋体" w:hAnsi="宋体" w:eastAsia="宋体" w:cs="宋体"/>
          <w:color w:val="auto"/>
          <w:spacing w:val="-118"/>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（中标人名称）</w:t>
      </w:r>
      <w:r>
        <w:rPr>
          <w:rFonts w:ascii="宋体" w:hAnsi="宋体" w:eastAsia="宋体" w:cs="宋体"/>
          <w:color w:val="auto"/>
          <w:spacing w:val="-1"/>
          <w:sz w:val="24"/>
          <w:szCs w:val="24"/>
          <w:highlight w:val="none"/>
        </w:rPr>
        <w:t>于</w:t>
      </w:r>
      <w:r>
        <w:rPr>
          <w:rFonts w:ascii="宋体" w:hAnsi="宋体" w:eastAsia="宋体" w:cs="宋体"/>
          <w:color w:val="auto"/>
          <w:spacing w:val="-104"/>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（投标日期）</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所递交的</w:t>
      </w:r>
      <w:r>
        <w:rPr>
          <w:rFonts w:ascii="宋体" w:hAnsi="宋体" w:eastAsia="宋体" w:cs="宋体"/>
          <w:color w:val="auto"/>
          <w:spacing w:val="-119"/>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（项目名称</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标段名称）投标文件，</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确定</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
          <w:sz w:val="24"/>
          <w:szCs w:val="24"/>
          <w:highlight w:val="none"/>
        </w:rPr>
        <w:t>（中标人名称）为中标人。</w:t>
      </w:r>
    </w:p>
    <w:p w14:paraId="2D97D289">
      <w:pPr>
        <w:pStyle w:val="8"/>
        <w:spacing w:line="328" w:lineRule="auto"/>
        <w:rPr>
          <w:color w:val="auto"/>
          <w:highlight w:val="none"/>
        </w:rPr>
      </w:pPr>
    </w:p>
    <w:p w14:paraId="4CB1B125">
      <w:pPr>
        <w:spacing w:before="78" w:line="220" w:lineRule="auto"/>
        <w:ind w:left="490"/>
        <w:rPr>
          <w:rFonts w:ascii="Times New Roman" w:hAnsi="Times New Roman" w:eastAsia="Times New Roman" w:cs="Times New Roman"/>
          <w:color w:val="auto"/>
          <w:sz w:val="24"/>
          <w:szCs w:val="24"/>
          <w:highlight w:val="none"/>
        </w:rPr>
      </w:pPr>
      <w:r>
        <w:rPr>
          <w:rFonts w:ascii="宋体" w:hAnsi="宋体" w:eastAsia="宋体" w:cs="宋体"/>
          <w:color w:val="auto"/>
          <w:spacing w:val="-1"/>
          <w:sz w:val="24"/>
          <w:szCs w:val="24"/>
          <w:highlight w:val="none"/>
        </w:rPr>
        <w:t>感谢你单位对我方工作的大力支持</w:t>
      </w:r>
      <w:r>
        <w:rPr>
          <w:rFonts w:ascii="Times New Roman" w:hAnsi="Times New Roman" w:eastAsia="Times New Roman" w:cs="Times New Roman"/>
          <w:color w:val="auto"/>
          <w:spacing w:val="-1"/>
          <w:sz w:val="24"/>
          <w:szCs w:val="24"/>
          <w:highlight w:val="none"/>
        </w:rPr>
        <w:t>!</w:t>
      </w:r>
    </w:p>
    <w:p w14:paraId="363BCADA">
      <w:pPr>
        <w:pStyle w:val="8"/>
        <w:spacing w:line="267" w:lineRule="auto"/>
        <w:rPr>
          <w:color w:val="auto"/>
          <w:highlight w:val="none"/>
        </w:rPr>
      </w:pPr>
    </w:p>
    <w:p w14:paraId="7ADAB2D6">
      <w:pPr>
        <w:pStyle w:val="8"/>
        <w:spacing w:line="267" w:lineRule="auto"/>
        <w:rPr>
          <w:color w:val="auto"/>
          <w:highlight w:val="none"/>
        </w:rPr>
      </w:pPr>
    </w:p>
    <w:p w14:paraId="3C93788A">
      <w:pPr>
        <w:pStyle w:val="8"/>
        <w:spacing w:line="267" w:lineRule="auto"/>
        <w:rPr>
          <w:color w:val="auto"/>
          <w:highlight w:val="none"/>
        </w:rPr>
      </w:pPr>
    </w:p>
    <w:p w14:paraId="6B53FAD6">
      <w:pPr>
        <w:pStyle w:val="8"/>
        <w:spacing w:line="267" w:lineRule="auto"/>
        <w:rPr>
          <w:color w:val="auto"/>
          <w:highlight w:val="none"/>
        </w:rPr>
      </w:pPr>
    </w:p>
    <w:p w14:paraId="026CFF03">
      <w:pPr>
        <w:pStyle w:val="8"/>
        <w:spacing w:line="267" w:lineRule="auto"/>
        <w:rPr>
          <w:color w:val="auto"/>
          <w:highlight w:val="none"/>
        </w:rPr>
      </w:pPr>
    </w:p>
    <w:p w14:paraId="2938268B">
      <w:pPr>
        <w:spacing w:before="79" w:line="219" w:lineRule="auto"/>
        <w:ind w:left="36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盖单位公章）</w:t>
      </w:r>
    </w:p>
    <w:p w14:paraId="23ED5002">
      <w:pPr>
        <w:tabs>
          <w:tab w:val="left" w:pos="5759"/>
        </w:tabs>
        <w:spacing w:before="184" w:line="361" w:lineRule="auto"/>
        <w:ind w:left="5039" w:right="349" w:hanging="1429"/>
        <w:rPr>
          <w:rFonts w:ascii="宋体" w:hAnsi="宋体" w:eastAsia="宋体" w:cs="宋体"/>
          <w:color w:val="auto"/>
          <w:spacing w:val="1"/>
          <w:sz w:val="24"/>
          <w:szCs w:val="24"/>
          <w:highlight w:val="none"/>
        </w:rPr>
      </w:pPr>
      <w:r>
        <w:rPr>
          <w:rFonts w:ascii="宋体" w:hAnsi="宋体" w:eastAsia="宋体" w:cs="宋体"/>
          <w:color w:val="auto"/>
          <w:spacing w:val="-3"/>
          <w:sz w:val="24"/>
          <w:szCs w:val="24"/>
          <w:highlight w:val="none"/>
        </w:rPr>
        <w:t>法定代表人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签字或盖章）</w:t>
      </w:r>
      <w:r>
        <w:rPr>
          <w:rFonts w:ascii="宋体" w:hAnsi="宋体" w:eastAsia="宋体" w:cs="宋体"/>
          <w:color w:val="auto"/>
          <w:spacing w:val="1"/>
          <w:sz w:val="24"/>
          <w:szCs w:val="24"/>
          <w:highlight w:val="none"/>
        </w:rPr>
        <w:t xml:space="preserve"> </w:t>
      </w:r>
    </w:p>
    <w:p w14:paraId="0D68F0E9">
      <w:pPr>
        <w:tabs>
          <w:tab w:val="left" w:pos="5759"/>
        </w:tabs>
        <w:spacing w:before="184" w:line="361" w:lineRule="auto"/>
        <w:ind w:left="5039" w:right="349" w:hanging="142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31148C07">
      <w:pPr>
        <w:spacing w:line="361" w:lineRule="auto"/>
        <w:rPr>
          <w:rFonts w:ascii="宋体" w:hAnsi="宋体" w:eastAsia="宋体" w:cs="宋体"/>
          <w:color w:val="auto"/>
          <w:sz w:val="24"/>
          <w:szCs w:val="24"/>
          <w:highlight w:val="none"/>
        </w:rPr>
        <w:sectPr>
          <w:footerReference r:id="rId25" w:type="default"/>
          <w:pgSz w:w="11905" w:h="16840"/>
          <w:pgMar w:top="1427" w:right="1462" w:bottom="1255" w:left="1587" w:header="0" w:footer="1093" w:gutter="0"/>
          <w:pgNumType w:fmt="decimal"/>
          <w:cols w:space="720" w:num="1"/>
        </w:sectPr>
      </w:pPr>
    </w:p>
    <w:p w14:paraId="7711CDEC">
      <w:pPr>
        <w:spacing w:before="72" w:line="218" w:lineRule="auto"/>
        <w:ind w:left="1423"/>
        <w:outlineLvl w:val="1"/>
        <w:rPr>
          <w:rFonts w:ascii="宋体" w:hAnsi="宋体" w:eastAsia="宋体" w:cs="宋体"/>
          <w:color w:val="auto"/>
          <w:sz w:val="36"/>
          <w:szCs w:val="36"/>
          <w:highlight w:val="none"/>
        </w:rPr>
      </w:pPr>
      <w:bookmarkStart w:id="66" w:name="bookmark36"/>
      <w:bookmarkEnd w:id="66"/>
      <w:bookmarkStart w:id="67" w:name="_Toc32764"/>
      <w:r>
        <w:rPr>
          <w:rFonts w:ascii="宋体" w:hAnsi="宋体" w:eastAsia="宋体" w:cs="宋体"/>
          <w:b/>
          <w:bCs/>
          <w:color w:val="auto"/>
          <w:spacing w:val="-5"/>
          <w:sz w:val="36"/>
          <w:szCs w:val="36"/>
          <w:highlight w:val="none"/>
        </w:rPr>
        <w:t>第三章</w:t>
      </w:r>
      <w:r>
        <w:rPr>
          <w:rFonts w:ascii="宋体" w:hAnsi="宋体" w:eastAsia="宋体" w:cs="宋体"/>
          <w:color w:val="auto"/>
          <w:spacing w:val="-5"/>
          <w:sz w:val="36"/>
          <w:szCs w:val="36"/>
          <w:highlight w:val="none"/>
        </w:rPr>
        <w:t xml:space="preserve"> </w:t>
      </w:r>
      <w:r>
        <w:rPr>
          <w:rFonts w:ascii="宋体" w:hAnsi="宋体" w:eastAsia="宋体" w:cs="宋体"/>
          <w:b/>
          <w:bCs/>
          <w:color w:val="auto"/>
          <w:spacing w:val="-5"/>
          <w:sz w:val="36"/>
          <w:szCs w:val="36"/>
          <w:highlight w:val="none"/>
        </w:rPr>
        <w:t>评标定标办法（综合评估法）</w:t>
      </w:r>
      <w:bookmarkEnd w:id="67"/>
    </w:p>
    <w:p w14:paraId="2C62F210">
      <w:pPr>
        <w:spacing w:before="271" w:line="225" w:lineRule="auto"/>
        <w:ind w:left="13"/>
        <w:outlineLvl w:val="2"/>
        <w:rPr>
          <w:rFonts w:ascii="宋体" w:hAnsi="宋体" w:eastAsia="宋体" w:cs="宋体"/>
          <w:strike/>
          <w:dstrike w:val="0"/>
          <w:color w:val="auto"/>
          <w:sz w:val="27"/>
          <w:szCs w:val="27"/>
          <w:highlight w:val="none"/>
        </w:rPr>
      </w:pPr>
      <w:bookmarkStart w:id="68" w:name="bookmark37"/>
      <w:bookmarkEnd w:id="68"/>
      <w:bookmarkStart w:id="69" w:name="_Toc9823"/>
      <w:r>
        <w:rPr>
          <w:rFonts w:ascii="Times New Roman" w:hAnsi="Times New Roman" w:eastAsia="Times New Roman" w:cs="Times New Roman"/>
          <w:b/>
          <w:bCs/>
          <w:strike/>
          <w:dstrike w:val="0"/>
          <w:color w:val="auto"/>
          <w:spacing w:val="-5"/>
          <w:sz w:val="27"/>
          <w:szCs w:val="27"/>
          <w:highlight w:val="none"/>
        </w:rPr>
        <w:t>1</w:t>
      </w:r>
      <w:r>
        <w:rPr>
          <w:rFonts w:ascii="Times New Roman" w:hAnsi="Times New Roman" w:eastAsia="Times New Roman" w:cs="Times New Roman"/>
          <w:b/>
          <w:bCs/>
          <w:strike/>
          <w:dstrike w:val="0"/>
          <w:color w:val="auto"/>
          <w:spacing w:val="10"/>
          <w:sz w:val="27"/>
          <w:szCs w:val="27"/>
          <w:highlight w:val="none"/>
        </w:rPr>
        <w:t xml:space="preserve">  </w:t>
      </w:r>
      <w:r>
        <w:rPr>
          <w:rFonts w:ascii="宋体" w:hAnsi="宋体" w:eastAsia="宋体" w:cs="宋体"/>
          <w:b/>
          <w:bCs/>
          <w:strike/>
          <w:dstrike w:val="0"/>
          <w:color w:val="auto"/>
          <w:spacing w:val="-5"/>
          <w:sz w:val="27"/>
          <w:szCs w:val="27"/>
          <w:highlight w:val="none"/>
        </w:rPr>
        <w:t>依据</w:t>
      </w:r>
      <w:bookmarkEnd w:id="69"/>
    </w:p>
    <w:p w14:paraId="4CC845A2">
      <w:pPr>
        <w:pStyle w:val="8"/>
        <w:spacing w:line="246" w:lineRule="auto"/>
        <w:rPr>
          <w:strike/>
          <w:dstrike w:val="0"/>
          <w:color w:val="auto"/>
          <w:highlight w:val="none"/>
        </w:rPr>
      </w:pPr>
    </w:p>
    <w:p w14:paraId="3C61EEA2">
      <w:pPr>
        <w:spacing w:before="78" w:line="360" w:lineRule="auto"/>
        <w:ind w:left="5" w:firstLine="481"/>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为规范招标的评标工作，根据《中华人民共和国招标投标法》、《中华人民共和</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国招标投标法实施条例》、《评标委员会和评标办法暂行规定》（原国家发</w:t>
      </w:r>
      <w:r>
        <w:rPr>
          <w:rFonts w:ascii="宋体" w:hAnsi="宋体" w:eastAsia="宋体" w:cs="宋体"/>
          <w:strike/>
          <w:dstrike w:val="0"/>
          <w:color w:val="auto"/>
          <w:spacing w:val="-4"/>
          <w:sz w:val="24"/>
          <w:szCs w:val="24"/>
          <w:highlight w:val="none"/>
        </w:rPr>
        <w:t>展计划委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员会等七部委令第</w:t>
      </w:r>
      <w:r>
        <w:rPr>
          <w:rFonts w:ascii="Times New Roman" w:hAnsi="Times New Roman" w:eastAsia="Times New Roman" w:cs="Times New Roman"/>
          <w:strike/>
          <w:dstrike w:val="0"/>
          <w:color w:val="auto"/>
          <w:spacing w:val="-3"/>
          <w:sz w:val="24"/>
          <w:szCs w:val="24"/>
          <w:highlight w:val="none"/>
        </w:rPr>
        <w:t>12</w:t>
      </w:r>
      <w:r>
        <w:rPr>
          <w:rFonts w:ascii="宋体" w:hAnsi="宋体" w:eastAsia="宋体" w:cs="宋体"/>
          <w:strike/>
          <w:dstrike w:val="0"/>
          <w:color w:val="auto"/>
          <w:spacing w:val="-3"/>
          <w:sz w:val="24"/>
          <w:szCs w:val="24"/>
          <w:highlight w:val="none"/>
        </w:rPr>
        <w:t>号）、《工程建设项目施工招标投标办法》（原国家发展计划委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员会等七部委令第</w:t>
      </w:r>
      <w:r>
        <w:rPr>
          <w:rFonts w:ascii="Times New Roman" w:hAnsi="Times New Roman" w:eastAsia="Times New Roman" w:cs="Times New Roman"/>
          <w:strike/>
          <w:dstrike w:val="0"/>
          <w:color w:val="auto"/>
          <w:spacing w:val="-9"/>
          <w:sz w:val="24"/>
          <w:szCs w:val="24"/>
          <w:highlight w:val="none"/>
        </w:rPr>
        <w:t>30</w:t>
      </w:r>
      <w:r>
        <w:rPr>
          <w:rFonts w:ascii="宋体" w:hAnsi="宋体" w:eastAsia="宋体" w:cs="宋体"/>
          <w:strike/>
          <w:dstrike w:val="0"/>
          <w:color w:val="auto"/>
          <w:spacing w:val="-9"/>
          <w:sz w:val="24"/>
          <w:szCs w:val="24"/>
          <w:highlight w:val="none"/>
        </w:rPr>
        <w:t>号）、《关于废止和修改部分招标投标规章和规范性文件的决定》</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9"/>
          <w:sz w:val="24"/>
          <w:szCs w:val="24"/>
          <w:highlight w:val="none"/>
        </w:rPr>
        <w:t>（九部委第</w:t>
      </w:r>
      <w:r>
        <w:rPr>
          <w:rFonts w:ascii="Times New Roman" w:hAnsi="Times New Roman" w:eastAsia="Times New Roman" w:cs="Times New Roman"/>
          <w:strike/>
          <w:dstrike w:val="0"/>
          <w:color w:val="auto"/>
          <w:spacing w:val="-9"/>
          <w:sz w:val="24"/>
          <w:szCs w:val="24"/>
          <w:highlight w:val="none"/>
        </w:rPr>
        <w:t>23</w:t>
      </w:r>
      <w:r>
        <w:rPr>
          <w:rFonts w:ascii="宋体" w:hAnsi="宋体" w:eastAsia="宋体" w:cs="宋体"/>
          <w:strike/>
          <w:dstrike w:val="0"/>
          <w:color w:val="auto"/>
          <w:spacing w:val="-9"/>
          <w:sz w:val="24"/>
          <w:szCs w:val="24"/>
          <w:highlight w:val="none"/>
        </w:rPr>
        <w:t>号令）、《浙江省招标投标条例》等有关的法律、法规和规章制度规定，</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7"/>
          <w:sz w:val="24"/>
          <w:szCs w:val="24"/>
          <w:highlight w:val="none"/>
        </w:rPr>
        <w:t>制定本办法。</w:t>
      </w:r>
    </w:p>
    <w:p w14:paraId="26693E90">
      <w:pPr>
        <w:spacing w:before="122" w:line="227" w:lineRule="auto"/>
        <w:ind w:left="2"/>
        <w:outlineLvl w:val="2"/>
        <w:rPr>
          <w:rFonts w:ascii="宋体" w:hAnsi="宋体" w:eastAsia="宋体" w:cs="宋体"/>
          <w:strike/>
          <w:dstrike w:val="0"/>
          <w:color w:val="auto"/>
          <w:sz w:val="27"/>
          <w:szCs w:val="27"/>
          <w:highlight w:val="none"/>
        </w:rPr>
      </w:pPr>
      <w:bookmarkStart w:id="70" w:name="bookmark38"/>
      <w:bookmarkEnd w:id="70"/>
      <w:bookmarkStart w:id="71" w:name="_Toc2149"/>
      <w:r>
        <w:rPr>
          <w:rFonts w:ascii="Times New Roman" w:hAnsi="Times New Roman" w:eastAsia="Times New Roman" w:cs="Times New Roman"/>
          <w:b/>
          <w:bCs/>
          <w:strike/>
          <w:dstrike w:val="0"/>
          <w:color w:val="auto"/>
          <w:spacing w:val="3"/>
          <w:sz w:val="27"/>
          <w:szCs w:val="27"/>
          <w:highlight w:val="none"/>
        </w:rPr>
        <w:t>2</w:t>
      </w:r>
      <w:r>
        <w:rPr>
          <w:rFonts w:ascii="Times New Roman" w:hAnsi="Times New Roman" w:eastAsia="Times New Roman" w:cs="Times New Roman"/>
          <w:b/>
          <w:bCs/>
          <w:strike/>
          <w:dstrike w:val="0"/>
          <w:color w:val="auto"/>
          <w:spacing w:val="9"/>
          <w:sz w:val="27"/>
          <w:szCs w:val="27"/>
          <w:highlight w:val="none"/>
        </w:rPr>
        <w:t xml:space="preserve">  </w:t>
      </w:r>
      <w:r>
        <w:rPr>
          <w:rFonts w:ascii="宋体" w:hAnsi="宋体" w:eastAsia="宋体" w:cs="宋体"/>
          <w:b/>
          <w:bCs/>
          <w:strike/>
          <w:dstrike w:val="0"/>
          <w:color w:val="auto"/>
          <w:spacing w:val="3"/>
          <w:sz w:val="27"/>
          <w:szCs w:val="27"/>
          <w:highlight w:val="none"/>
        </w:rPr>
        <w:t>评标原则</w:t>
      </w:r>
      <w:bookmarkEnd w:id="71"/>
    </w:p>
    <w:p w14:paraId="304E394E">
      <w:pPr>
        <w:pStyle w:val="8"/>
        <w:spacing w:line="246" w:lineRule="auto"/>
        <w:rPr>
          <w:strike/>
          <w:dstrike w:val="0"/>
          <w:color w:val="auto"/>
          <w:highlight w:val="none"/>
        </w:rPr>
      </w:pPr>
    </w:p>
    <w:p w14:paraId="7CAE7B16">
      <w:pPr>
        <w:spacing w:before="78" w:line="219" w:lineRule="auto"/>
        <w:ind w:left="4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评标应遵循公平、公正、科学、择优的原则。</w:t>
      </w:r>
    </w:p>
    <w:p w14:paraId="4EE9E02A">
      <w:pPr>
        <w:spacing w:before="308" w:line="227" w:lineRule="auto"/>
        <w:outlineLvl w:val="2"/>
        <w:rPr>
          <w:rFonts w:ascii="宋体" w:hAnsi="宋体" w:eastAsia="宋体" w:cs="宋体"/>
          <w:strike/>
          <w:dstrike w:val="0"/>
          <w:color w:val="auto"/>
          <w:sz w:val="27"/>
          <w:szCs w:val="27"/>
          <w:highlight w:val="none"/>
        </w:rPr>
      </w:pPr>
      <w:bookmarkStart w:id="72" w:name="bookmark39"/>
      <w:bookmarkEnd w:id="72"/>
      <w:bookmarkStart w:id="73" w:name="_Toc20274"/>
      <w:r>
        <w:rPr>
          <w:rFonts w:ascii="Times New Roman" w:hAnsi="Times New Roman" w:eastAsia="Times New Roman" w:cs="Times New Roman"/>
          <w:b/>
          <w:bCs/>
          <w:strike/>
          <w:dstrike w:val="0"/>
          <w:color w:val="auto"/>
          <w:spacing w:val="4"/>
          <w:sz w:val="27"/>
          <w:szCs w:val="27"/>
          <w:highlight w:val="none"/>
        </w:rPr>
        <w:t>3</w:t>
      </w:r>
      <w:r>
        <w:rPr>
          <w:rFonts w:ascii="Times New Roman" w:hAnsi="Times New Roman" w:eastAsia="Times New Roman" w:cs="Times New Roman"/>
          <w:b/>
          <w:bCs/>
          <w:strike/>
          <w:dstrike w:val="0"/>
          <w:color w:val="auto"/>
          <w:spacing w:val="7"/>
          <w:sz w:val="27"/>
          <w:szCs w:val="27"/>
          <w:highlight w:val="none"/>
        </w:rPr>
        <w:t xml:space="preserve">  </w:t>
      </w:r>
      <w:r>
        <w:rPr>
          <w:rFonts w:ascii="宋体" w:hAnsi="宋体" w:eastAsia="宋体" w:cs="宋体"/>
          <w:b/>
          <w:bCs/>
          <w:strike/>
          <w:dstrike w:val="0"/>
          <w:color w:val="auto"/>
          <w:spacing w:val="4"/>
          <w:sz w:val="27"/>
          <w:szCs w:val="27"/>
          <w:highlight w:val="none"/>
        </w:rPr>
        <w:t>评标组织</w:t>
      </w:r>
      <w:bookmarkEnd w:id="73"/>
    </w:p>
    <w:p w14:paraId="7CF08E62">
      <w:pPr>
        <w:pStyle w:val="8"/>
        <w:spacing w:line="246" w:lineRule="auto"/>
        <w:rPr>
          <w:strike/>
          <w:dstrike w:val="0"/>
          <w:color w:val="auto"/>
          <w:highlight w:val="none"/>
        </w:rPr>
      </w:pPr>
    </w:p>
    <w:p w14:paraId="0518299A">
      <w:pPr>
        <w:spacing w:before="78" w:line="361" w:lineRule="auto"/>
        <w:ind w:left="6" w:firstLine="47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评标工作由招标人依法组建的评标委员会负责，评标委员会的组建办法详见投标</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6"/>
          <w:sz w:val="24"/>
          <w:szCs w:val="24"/>
          <w:highlight w:val="none"/>
        </w:rPr>
        <w:t>人须知前附表。</w:t>
      </w:r>
    </w:p>
    <w:p w14:paraId="36CB7DD7">
      <w:pPr>
        <w:spacing w:before="123" w:line="226" w:lineRule="auto"/>
        <w:ind w:left="2"/>
        <w:outlineLvl w:val="2"/>
        <w:rPr>
          <w:rFonts w:ascii="宋体" w:hAnsi="宋体" w:eastAsia="宋体" w:cs="宋体"/>
          <w:strike/>
          <w:dstrike w:val="0"/>
          <w:color w:val="auto"/>
          <w:sz w:val="27"/>
          <w:szCs w:val="27"/>
          <w:highlight w:val="none"/>
        </w:rPr>
      </w:pPr>
      <w:bookmarkStart w:id="74" w:name="bookmark40"/>
      <w:bookmarkEnd w:id="74"/>
      <w:bookmarkStart w:id="75" w:name="_Toc11998"/>
      <w:r>
        <w:rPr>
          <w:rFonts w:ascii="Times New Roman" w:hAnsi="Times New Roman" w:eastAsia="Times New Roman" w:cs="Times New Roman"/>
          <w:b/>
          <w:bCs/>
          <w:strike/>
          <w:dstrike w:val="0"/>
          <w:color w:val="auto"/>
          <w:spacing w:val="5"/>
          <w:sz w:val="27"/>
          <w:szCs w:val="27"/>
          <w:highlight w:val="none"/>
        </w:rPr>
        <w:t xml:space="preserve">4  </w:t>
      </w:r>
      <w:r>
        <w:rPr>
          <w:rFonts w:ascii="宋体" w:hAnsi="宋体" w:eastAsia="宋体" w:cs="宋体"/>
          <w:b/>
          <w:bCs/>
          <w:strike/>
          <w:dstrike w:val="0"/>
          <w:color w:val="auto"/>
          <w:spacing w:val="5"/>
          <w:sz w:val="27"/>
          <w:szCs w:val="27"/>
          <w:highlight w:val="none"/>
        </w:rPr>
        <w:t>评标程序和内容</w:t>
      </w:r>
      <w:bookmarkEnd w:id="75"/>
    </w:p>
    <w:p w14:paraId="2AFC6E94">
      <w:pPr>
        <w:pStyle w:val="8"/>
        <w:spacing w:line="248" w:lineRule="auto"/>
        <w:rPr>
          <w:strike/>
          <w:dstrike w:val="0"/>
          <w:color w:val="auto"/>
          <w:highlight w:val="none"/>
        </w:rPr>
      </w:pPr>
    </w:p>
    <w:p w14:paraId="7FA18907">
      <w:pPr>
        <w:spacing w:before="78" w:line="223" w:lineRule="auto"/>
        <w:ind w:left="1"/>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4.1  </w:t>
      </w:r>
      <w:r>
        <w:rPr>
          <w:rFonts w:ascii="楷体" w:hAnsi="楷体" w:eastAsia="楷体" w:cs="楷体"/>
          <w:b/>
          <w:bCs/>
          <w:strike/>
          <w:dstrike w:val="0"/>
          <w:color w:val="auto"/>
          <w:spacing w:val="-2"/>
          <w:sz w:val="24"/>
          <w:szCs w:val="24"/>
          <w:highlight w:val="none"/>
        </w:rPr>
        <w:t>评标的一般程序</w:t>
      </w:r>
    </w:p>
    <w:p w14:paraId="7066F844">
      <w:pPr>
        <w:spacing w:before="176"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）熟悉招标文件和评标办法。</w:t>
      </w:r>
    </w:p>
    <w:p w14:paraId="6A2047F8">
      <w:pPr>
        <w:spacing w:before="181" w:line="220" w:lineRule="auto"/>
        <w:ind w:left="56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）投标文件的符合性审查。</w:t>
      </w:r>
    </w:p>
    <w:p w14:paraId="229F38D8">
      <w:pPr>
        <w:spacing w:before="181"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）投标文件的技术评审。</w:t>
      </w:r>
    </w:p>
    <w:p w14:paraId="53111EEE">
      <w:pPr>
        <w:spacing w:before="182"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4</w:t>
      </w:r>
      <w:r>
        <w:rPr>
          <w:rFonts w:ascii="宋体" w:hAnsi="宋体" w:eastAsia="宋体" w:cs="宋体"/>
          <w:strike/>
          <w:dstrike w:val="0"/>
          <w:color w:val="auto"/>
          <w:spacing w:val="-4"/>
          <w:sz w:val="24"/>
          <w:szCs w:val="24"/>
          <w:highlight w:val="none"/>
        </w:rPr>
        <w:t>）投标文件的商务评审。</w:t>
      </w:r>
    </w:p>
    <w:p w14:paraId="24896A8C">
      <w:pPr>
        <w:spacing w:before="180"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5</w:t>
      </w:r>
      <w:r>
        <w:rPr>
          <w:rFonts w:ascii="宋体" w:hAnsi="宋体" w:eastAsia="宋体" w:cs="宋体"/>
          <w:strike/>
          <w:dstrike w:val="0"/>
          <w:color w:val="auto"/>
          <w:spacing w:val="-4"/>
          <w:sz w:val="24"/>
          <w:szCs w:val="24"/>
          <w:highlight w:val="none"/>
        </w:rPr>
        <w:t>）投标文件的资信评审。</w:t>
      </w:r>
    </w:p>
    <w:p w14:paraId="73979B56">
      <w:pPr>
        <w:spacing w:before="181" w:line="290" w:lineRule="auto"/>
        <w:ind w:left="7" w:right="6" w:firstLine="51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）必要时对投标文件中的问题进行询标，拟作出否决投标决定前，应对相关</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5"/>
          <w:sz w:val="24"/>
          <w:szCs w:val="24"/>
          <w:highlight w:val="none"/>
        </w:rPr>
        <w:t>投标人进行询问核实。</w:t>
      </w:r>
    </w:p>
    <w:p w14:paraId="65178108">
      <w:pPr>
        <w:spacing w:before="180" w:line="219"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7</w:t>
      </w:r>
      <w:r>
        <w:rPr>
          <w:rFonts w:ascii="宋体" w:hAnsi="宋体" w:eastAsia="宋体" w:cs="宋体"/>
          <w:strike/>
          <w:dstrike w:val="0"/>
          <w:color w:val="auto"/>
          <w:spacing w:val="-5"/>
          <w:sz w:val="24"/>
          <w:szCs w:val="24"/>
          <w:highlight w:val="none"/>
        </w:rPr>
        <w:t>）推荐中标候选人。</w:t>
      </w:r>
    </w:p>
    <w:p w14:paraId="69200D87">
      <w:pPr>
        <w:spacing w:before="183" w:line="218"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8</w:t>
      </w:r>
      <w:r>
        <w:rPr>
          <w:rFonts w:ascii="宋体" w:hAnsi="宋体" w:eastAsia="宋体" w:cs="宋体"/>
          <w:strike/>
          <w:dstrike w:val="0"/>
          <w:color w:val="auto"/>
          <w:spacing w:val="-5"/>
          <w:sz w:val="24"/>
          <w:szCs w:val="24"/>
          <w:highlight w:val="none"/>
        </w:rPr>
        <w:t>）完成评标报告。</w:t>
      </w:r>
    </w:p>
    <w:p w14:paraId="20494162">
      <w:pPr>
        <w:spacing w:line="218" w:lineRule="auto"/>
        <w:rPr>
          <w:rFonts w:ascii="宋体" w:hAnsi="宋体" w:eastAsia="宋体" w:cs="宋体"/>
          <w:strike/>
          <w:dstrike w:val="0"/>
          <w:color w:val="auto"/>
          <w:sz w:val="24"/>
          <w:szCs w:val="24"/>
          <w:highlight w:val="none"/>
        </w:rPr>
        <w:sectPr>
          <w:footerReference r:id="rId26" w:type="default"/>
          <w:pgSz w:w="11905" w:h="16840"/>
          <w:pgMar w:top="1421" w:right="1528" w:bottom="1255" w:left="1592" w:header="0" w:footer="1093" w:gutter="0"/>
          <w:pgNumType w:fmt="decimal"/>
          <w:cols w:space="720" w:num="1"/>
        </w:sectPr>
      </w:pPr>
    </w:p>
    <w:p w14:paraId="4B0E1E93">
      <w:pPr>
        <w:spacing w:before="55" w:line="225" w:lineRule="auto"/>
        <w:ind w:left="2180"/>
        <w:rPr>
          <w:rFonts w:ascii="宋体" w:hAnsi="宋体" w:eastAsia="宋体" w:cs="宋体"/>
          <w:strike/>
          <w:dstrike w:val="0"/>
          <w:color w:val="auto"/>
          <w:sz w:val="27"/>
          <w:szCs w:val="27"/>
          <w:highlight w:val="none"/>
        </w:rPr>
      </w:pPr>
      <w:r>
        <w:rPr>
          <w:rFonts w:ascii="宋体" w:hAnsi="宋体" w:eastAsia="宋体" w:cs="宋体"/>
          <w:b/>
          <w:bCs/>
          <w:strike/>
          <w:dstrike w:val="0"/>
          <w:color w:val="auto"/>
          <w:spacing w:val="5"/>
          <w:sz w:val="27"/>
          <w:szCs w:val="27"/>
          <w:highlight w:val="none"/>
        </w:rPr>
        <w:t>以下适用于技术通过制的综合评估法</w:t>
      </w:r>
    </w:p>
    <w:p w14:paraId="2D67D90F">
      <w:pPr>
        <w:pStyle w:val="8"/>
        <w:spacing w:line="246" w:lineRule="auto"/>
        <w:rPr>
          <w:strike/>
          <w:dstrike w:val="0"/>
          <w:color w:val="auto"/>
          <w:highlight w:val="none"/>
        </w:rPr>
      </w:pPr>
    </w:p>
    <w:p w14:paraId="239CE8DE">
      <w:pPr>
        <w:spacing w:before="88" w:line="225" w:lineRule="auto"/>
        <w:ind w:left="2432"/>
        <w:rPr>
          <w:rFonts w:ascii="宋体" w:hAnsi="宋体" w:eastAsia="宋体" w:cs="宋体"/>
          <w:strike/>
          <w:dstrike w:val="0"/>
          <w:color w:val="auto"/>
          <w:sz w:val="27"/>
          <w:szCs w:val="27"/>
          <w:highlight w:val="none"/>
        </w:rPr>
      </w:pPr>
      <w:r>
        <w:rPr>
          <w:rFonts w:ascii="宋体" w:hAnsi="宋体" w:eastAsia="宋体" w:cs="宋体"/>
          <w:b/>
          <w:bCs/>
          <w:strike/>
          <w:dstrike w:val="0"/>
          <w:color w:val="auto"/>
          <w:spacing w:val="-2"/>
          <w:sz w:val="27"/>
          <w:szCs w:val="27"/>
          <w:highlight w:val="none"/>
        </w:rPr>
        <w:t>方法一</w:t>
      </w:r>
      <w:r>
        <w:rPr>
          <w:rFonts w:ascii="宋体" w:hAnsi="宋体" w:eastAsia="宋体" w:cs="宋体"/>
          <w:strike/>
          <w:dstrike w:val="0"/>
          <w:color w:val="auto"/>
          <w:spacing w:val="-30"/>
          <w:sz w:val="27"/>
          <w:szCs w:val="27"/>
          <w:highlight w:val="none"/>
        </w:rPr>
        <w:t xml:space="preserve"> </w:t>
      </w:r>
      <w:r>
        <w:rPr>
          <w:rFonts w:ascii="宋体" w:hAnsi="宋体" w:eastAsia="宋体" w:cs="宋体"/>
          <w:b/>
          <w:bCs/>
          <w:strike/>
          <w:dstrike w:val="0"/>
          <w:color w:val="auto"/>
          <w:spacing w:val="-2"/>
          <w:sz w:val="27"/>
          <w:szCs w:val="27"/>
          <w:highlight w:val="none"/>
        </w:rPr>
        <w:t>（全评制的综合评估法）</w:t>
      </w:r>
    </w:p>
    <w:p w14:paraId="3BC50D0D">
      <w:pPr>
        <w:pStyle w:val="8"/>
        <w:spacing w:line="250" w:lineRule="auto"/>
        <w:rPr>
          <w:strike/>
          <w:dstrike w:val="0"/>
          <w:color w:val="auto"/>
          <w:highlight w:val="none"/>
        </w:rPr>
      </w:pPr>
    </w:p>
    <w:p w14:paraId="4935DE93">
      <w:pPr>
        <w:spacing w:before="78"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4.2  </w:t>
      </w:r>
      <w:r>
        <w:rPr>
          <w:rFonts w:ascii="楷体" w:hAnsi="楷体" w:eastAsia="楷体" w:cs="楷体"/>
          <w:b/>
          <w:bCs/>
          <w:strike/>
          <w:dstrike w:val="0"/>
          <w:color w:val="auto"/>
          <w:spacing w:val="-2"/>
          <w:sz w:val="24"/>
          <w:szCs w:val="24"/>
          <w:highlight w:val="none"/>
        </w:rPr>
        <w:t>投标文件的符合性审查</w:t>
      </w:r>
    </w:p>
    <w:p w14:paraId="5EBE408F">
      <w:pPr>
        <w:spacing w:before="177" w:line="324" w:lineRule="auto"/>
        <w:ind w:left="2" w:firstLine="54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4.2.1  </w:t>
      </w:r>
      <w:r>
        <w:rPr>
          <w:rFonts w:ascii="宋体" w:hAnsi="宋体" w:eastAsia="宋体" w:cs="宋体"/>
          <w:strike/>
          <w:dstrike w:val="0"/>
          <w:color w:val="auto"/>
          <w:spacing w:val="-1"/>
          <w:sz w:val="24"/>
          <w:szCs w:val="24"/>
          <w:highlight w:val="none"/>
        </w:rPr>
        <w:t>评标委员会应依照招标文件的要求和规定，</w:t>
      </w:r>
      <w:r>
        <w:rPr>
          <w:rFonts w:ascii="宋体" w:hAnsi="宋体" w:eastAsia="宋体" w:cs="宋体"/>
          <w:strike/>
          <w:dstrike w:val="0"/>
          <w:color w:val="auto"/>
          <w:spacing w:val="-2"/>
          <w:sz w:val="24"/>
          <w:szCs w:val="24"/>
          <w:highlight w:val="none"/>
        </w:rPr>
        <w:t>首先对投标人的投标资格和投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标文件进行符合性审查，符合性审查应包括三个方面内容：投标人资格审查、投标文</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3"/>
          <w:sz w:val="24"/>
          <w:szCs w:val="24"/>
          <w:highlight w:val="none"/>
        </w:rPr>
        <w:t>件实质性格式要求响应性审查、投标文件实质性内容要求响应性审查。符合性审查未</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通过的投标文件不再进入后续评审。</w:t>
      </w:r>
    </w:p>
    <w:p w14:paraId="0794FF72">
      <w:pPr>
        <w:spacing w:before="181" w:line="289" w:lineRule="auto"/>
        <w:ind w:left="23" w:right="1" w:firstLine="52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4.2.2  </w:t>
      </w:r>
      <w:r>
        <w:rPr>
          <w:rFonts w:ascii="宋体" w:hAnsi="宋体" w:eastAsia="宋体" w:cs="宋体"/>
          <w:strike/>
          <w:dstrike w:val="0"/>
          <w:color w:val="auto"/>
          <w:spacing w:val="-1"/>
          <w:sz w:val="24"/>
          <w:szCs w:val="24"/>
          <w:highlight w:val="none"/>
        </w:rPr>
        <w:t>投标人不得通过补充、修改或撤销投标文件中的内容使</w:t>
      </w:r>
      <w:r>
        <w:rPr>
          <w:rFonts w:ascii="宋体" w:hAnsi="宋体" w:eastAsia="宋体" w:cs="宋体"/>
          <w:strike/>
          <w:dstrike w:val="0"/>
          <w:color w:val="auto"/>
          <w:spacing w:val="-2"/>
          <w:sz w:val="24"/>
          <w:szCs w:val="24"/>
          <w:highlight w:val="none"/>
        </w:rPr>
        <w:t>其成为实质性响应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539E3730">
      <w:pPr>
        <w:spacing w:before="180" w:line="313" w:lineRule="auto"/>
        <w:ind w:left="1" w:firstLine="53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4.2.3  </w:t>
      </w:r>
      <w:r>
        <w:rPr>
          <w:rFonts w:ascii="宋体" w:hAnsi="宋体" w:eastAsia="宋体" w:cs="宋体"/>
          <w:strike/>
          <w:dstrike w:val="0"/>
          <w:color w:val="auto"/>
          <w:spacing w:val="-1"/>
          <w:sz w:val="24"/>
          <w:szCs w:val="24"/>
          <w:highlight w:val="none"/>
        </w:rPr>
        <w:t>投标文件如存在以下情况之一的，由评标委员会全体成员按照少数服从多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数的原则记名投票（不得弃权）认定，作为符合性审查未通过予以否决其投标，不再</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6"/>
          <w:sz w:val="24"/>
          <w:szCs w:val="24"/>
          <w:highlight w:val="none"/>
        </w:rPr>
        <w:t>进行技术和商务的评审：</w:t>
      </w:r>
    </w:p>
    <w:p w14:paraId="41BD11F9">
      <w:pPr>
        <w:spacing w:before="181" w:line="220" w:lineRule="auto"/>
        <w:ind w:left="57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21"/>
          <w:sz w:val="24"/>
          <w:szCs w:val="24"/>
          <w:highlight w:val="none"/>
        </w:rPr>
        <w:t xml:space="preserve"> </w:t>
      </w:r>
      <w:r>
        <w:rPr>
          <w:rFonts w:ascii="宋体" w:hAnsi="宋体" w:eastAsia="宋体" w:cs="宋体"/>
          <w:strike/>
          <w:dstrike w:val="0"/>
          <w:color w:val="auto"/>
          <w:spacing w:val="-7"/>
          <w:sz w:val="24"/>
          <w:szCs w:val="24"/>
          <w:highlight w:val="none"/>
        </w:rPr>
        <w:t>．技术标符合性审查未通过的情形：</w:t>
      </w:r>
    </w:p>
    <w:p w14:paraId="535AEED4">
      <w:pPr>
        <w:spacing w:before="182" w:line="289" w:lineRule="auto"/>
        <w:ind w:left="2" w:right="11"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0CB99147">
      <w:pPr>
        <w:spacing w:before="182" w:line="289" w:lineRule="auto"/>
        <w:ind w:left="8" w:right="11" w:firstLine="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）投标人法定代表人授权委托代理人签署投标文件，未提供有效的授权委托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书的或投标人法定代表人亲自签署投标文件</w:t>
      </w:r>
      <w:r>
        <w:rPr>
          <w:rFonts w:ascii="宋体" w:hAnsi="宋体" w:eastAsia="宋体" w:cs="宋体"/>
          <w:strike/>
          <w:dstrike w:val="0"/>
          <w:color w:val="auto"/>
          <w:spacing w:val="-2"/>
          <w:sz w:val="24"/>
          <w:szCs w:val="24"/>
          <w:highlight w:val="none"/>
        </w:rPr>
        <w:t>，未提供法定代表人身份证明的。</w:t>
      </w:r>
    </w:p>
    <w:p w14:paraId="4B9D9BB8">
      <w:pPr>
        <w:spacing w:before="182"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42429103">
      <w:pPr>
        <w:spacing w:before="183" w:line="289" w:lineRule="auto"/>
        <w:ind w:left="22" w:right="14" w:firstLine="53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）投标人的投标资格不满足招标文件载明的强制性要求的（以投标人</w:t>
      </w:r>
      <w:r>
        <w:rPr>
          <w:rFonts w:ascii="宋体" w:hAnsi="宋体" w:eastAsia="宋体" w:cs="宋体"/>
          <w:strike/>
          <w:dstrike w:val="0"/>
          <w:color w:val="auto"/>
          <w:spacing w:val="-3"/>
          <w:sz w:val="24"/>
          <w:szCs w:val="24"/>
          <w:highlight w:val="none"/>
        </w:rPr>
        <w:t>须知前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款实质性响应招标文件资料为准</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或不满足国家有关规定的。</w:t>
      </w:r>
    </w:p>
    <w:p w14:paraId="69405A5B">
      <w:pPr>
        <w:spacing w:before="182" w:line="289" w:lineRule="auto"/>
        <w:ind w:left="4" w:right="12"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522AD58E">
      <w:pPr>
        <w:spacing w:before="183" w:line="289" w:lineRule="auto"/>
        <w:ind w:left="2" w:right="1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）同一投标人提交两个以上不同的投标文件且未声明哪一个有效的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69DDCF21">
      <w:pPr>
        <w:spacing w:before="180" w:line="290" w:lineRule="auto"/>
        <w:ind w:left="4" w:right="10"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7</w:t>
      </w:r>
      <w:r>
        <w:rPr>
          <w:rFonts w:ascii="宋体" w:hAnsi="宋体" w:eastAsia="宋体" w:cs="宋体"/>
          <w:strike/>
          <w:dstrike w:val="0"/>
          <w:color w:val="auto"/>
          <w:spacing w:val="-2"/>
          <w:sz w:val="24"/>
          <w:szCs w:val="24"/>
          <w:highlight w:val="none"/>
        </w:rPr>
        <w:t>）投标人不以自己的名义或未按招标文件要求提供投标保证金或提供的投标</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保证金有缺陷而不能接受的。</w:t>
      </w:r>
    </w:p>
    <w:p w14:paraId="74F35D5D">
      <w:pPr>
        <w:spacing w:before="180" w:line="290" w:lineRule="auto"/>
        <w:ind w:left="7" w:firstLine="55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8</w:t>
      </w:r>
      <w:r>
        <w:rPr>
          <w:rFonts w:ascii="宋体" w:hAnsi="宋体" w:eastAsia="宋体" w:cs="宋体"/>
          <w:strike/>
          <w:dstrike w:val="0"/>
          <w:color w:val="auto"/>
          <w:spacing w:val="-7"/>
          <w:sz w:val="24"/>
          <w:szCs w:val="24"/>
          <w:highlight w:val="none"/>
        </w:rPr>
        <w:t>）投标工期和质量不满足招标文件要求的（以投标人须知前附表第</w:t>
      </w:r>
      <w:r>
        <w:rPr>
          <w:rFonts w:ascii="Times New Roman" w:hAnsi="Times New Roman" w:eastAsia="Times New Roman" w:cs="Times New Roman"/>
          <w:strike/>
          <w:dstrike w:val="0"/>
          <w:color w:val="auto"/>
          <w:spacing w:val="-7"/>
          <w:sz w:val="24"/>
          <w:szCs w:val="24"/>
          <w:highlight w:val="none"/>
        </w:rPr>
        <w:t>1.3.2</w:t>
      </w: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8"/>
          <w:sz w:val="24"/>
          <w:szCs w:val="24"/>
          <w:highlight w:val="none"/>
        </w:rPr>
        <w:t>.3.3</w:t>
      </w:r>
      <w:r>
        <w:rPr>
          <w:rFonts w:ascii="Times New Roman" w:hAnsi="Times New Roman" w:eastAsia="Times New Roman" w:cs="Times New Roman"/>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项为准）。</w:t>
      </w:r>
    </w:p>
    <w:p w14:paraId="00D0DB18">
      <w:pPr>
        <w:spacing w:before="180" w:line="219" w:lineRule="auto"/>
        <w:ind w:right="10"/>
        <w:jc w:val="right"/>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9</w:t>
      </w:r>
      <w:r>
        <w:rPr>
          <w:rFonts w:ascii="宋体" w:hAnsi="宋体" w:eastAsia="宋体" w:cs="宋体"/>
          <w:strike/>
          <w:dstrike w:val="0"/>
          <w:color w:val="auto"/>
          <w:spacing w:val="-2"/>
          <w:sz w:val="24"/>
          <w:szCs w:val="24"/>
          <w:highlight w:val="none"/>
        </w:rPr>
        <w:t>）采用的验收标准或主要技术指标达不到国家强制性标准或招标文件以下条</w:t>
      </w:r>
    </w:p>
    <w:p w14:paraId="1A22CBDE">
      <w:pPr>
        <w:spacing w:line="219" w:lineRule="auto"/>
        <w:rPr>
          <w:rFonts w:ascii="宋体" w:hAnsi="宋体" w:eastAsia="宋体" w:cs="宋体"/>
          <w:strike/>
          <w:dstrike w:val="0"/>
          <w:color w:val="auto"/>
          <w:sz w:val="24"/>
          <w:szCs w:val="24"/>
          <w:highlight w:val="none"/>
        </w:rPr>
        <w:sectPr>
          <w:footerReference r:id="rId27" w:type="default"/>
          <w:pgSz w:w="11905" w:h="16840"/>
          <w:pgMar w:top="1427" w:right="1527" w:bottom="1255" w:left="1593" w:header="0" w:footer="1093" w:gutter="0"/>
          <w:pgNumType w:fmt="decimal"/>
          <w:cols w:space="720" w:num="1"/>
        </w:sectPr>
      </w:pPr>
    </w:p>
    <w:p w14:paraId="45E270C2">
      <w:pPr>
        <w:spacing w:before="48" w:line="220" w:lineRule="auto"/>
        <w:ind w:left="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1"/>
          <w:sz w:val="24"/>
          <w:szCs w:val="24"/>
          <w:highlight w:val="none"/>
        </w:rPr>
        <w:t>款规定的：</w:t>
      </w:r>
    </w:p>
    <w:p w14:paraId="78EE692C">
      <w:pPr>
        <w:spacing w:before="180" w:line="213" w:lineRule="auto"/>
        <w:ind w:left="596"/>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17"/>
          <w:sz w:val="25"/>
          <w:szCs w:val="25"/>
          <w:highlight w:val="none"/>
        </w:rPr>
        <w:t>……</w:t>
      </w:r>
      <w:r>
        <w:rPr>
          <w:rFonts w:ascii="宋体" w:hAnsi="宋体" w:eastAsia="宋体" w:cs="宋体"/>
          <w:strike/>
          <w:dstrike w:val="0"/>
          <w:color w:val="auto"/>
          <w:spacing w:val="59"/>
          <w:sz w:val="25"/>
          <w:szCs w:val="25"/>
          <w:highlight w:val="none"/>
        </w:rPr>
        <w:t xml:space="preserve"> </w:t>
      </w:r>
      <w:r>
        <w:rPr>
          <w:rFonts w:ascii="宋体" w:hAnsi="宋体" w:eastAsia="宋体" w:cs="宋体"/>
          <w:i/>
          <w:iCs/>
          <w:strike/>
          <w:dstrike w:val="0"/>
          <w:color w:val="auto"/>
          <w:spacing w:val="-17"/>
          <w:sz w:val="25"/>
          <w:szCs w:val="25"/>
          <w:highlight w:val="none"/>
        </w:rPr>
        <w:t>（由招标人自行扩充，如无，请填“无”）</w:t>
      </w:r>
    </w:p>
    <w:p w14:paraId="78C2C796">
      <w:pPr>
        <w:spacing w:before="178" w:line="290" w:lineRule="auto"/>
        <w:ind w:left="4" w:right="95"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10</w:t>
      </w:r>
      <w:r>
        <w:rPr>
          <w:rFonts w:ascii="宋体" w:hAnsi="宋体" w:eastAsia="宋体" w:cs="宋体"/>
          <w:strike/>
          <w:dstrike w:val="0"/>
          <w:color w:val="auto"/>
          <w:spacing w:val="1"/>
          <w:sz w:val="24"/>
          <w:szCs w:val="24"/>
          <w:highlight w:val="none"/>
        </w:rPr>
        <w:t>）采用的施工工艺、方法或质量安全管理措施不能满足国家强制性标准或</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9"/>
          <w:sz w:val="24"/>
          <w:szCs w:val="24"/>
          <w:highlight w:val="none"/>
        </w:rPr>
        <w:t>要求的。</w:t>
      </w:r>
    </w:p>
    <w:p w14:paraId="49B3A1F9">
      <w:pPr>
        <w:spacing w:before="180" w:line="289" w:lineRule="auto"/>
        <w:ind w:left="5" w:right="84"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11</w:t>
      </w:r>
      <w:r>
        <w:rPr>
          <w:rFonts w:ascii="宋体" w:hAnsi="宋体" w:eastAsia="宋体" w:cs="宋体"/>
          <w:strike/>
          <w:dstrike w:val="0"/>
          <w:color w:val="auto"/>
          <w:spacing w:val="-4"/>
          <w:sz w:val="24"/>
          <w:szCs w:val="24"/>
          <w:highlight w:val="none"/>
        </w:rPr>
        <w:t>）投标人存在投标人须知第“</w:t>
      </w:r>
      <w:r>
        <w:rPr>
          <w:rFonts w:ascii="Times New Roman" w:hAnsi="Times New Roman" w:eastAsia="Times New Roman" w:cs="Times New Roman"/>
          <w:strike/>
          <w:dstrike w:val="0"/>
          <w:color w:val="auto"/>
          <w:spacing w:val="-4"/>
          <w:sz w:val="24"/>
          <w:szCs w:val="24"/>
          <w:highlight w:val="none"/>
        </w:rPr>
        <w:t xml:space="preserve">1.4.3  </w:t>
      </w:r>
      <w:r>
        <w:rPr>
          <w:rFonts w:ascii="宋体" w:hAnsi="宋体" w:eastAsia="宋体" w:cs="宋体"/>
          <w:strike/>
          <w:dstrike w:val="0"/>
          <w:color w:val="auto"/>
          <w:spacing w:val="-4"/>
          <w:sz w:val="24"/>
          <w:szCs w:val="24"/>
          <w:highlight w:val="none"/>
        </w:rPr>
        <w:t>投标人不得存在下列情形之一</w:t>
      </w:r>
      <w:r>
        <w:rPr>
          <w:rFonts w:ascii="Times New Roman" w:hAnsi="Times New Roman" w:eastAsia="Times New Roman" w:cs="Times New Roman"/>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项或</w:t>
      </w:r>
      <w:r>
        <w:rPr>
          <w:rFonts w:ascii="宋体" w:hAnsi="宋体" w:eastAsia="宋体" w:cs="宋体"/>
          <w:strike/>
          <w:dstrike w:val="0"/>
          <w:color w:val="auto"/>
          <w:spacing w:val="-5"/>
          <w:sz w:val="24"/>
          <w:szCs w:val="24"/>
          <w:highlight w:val="none"/>
        </w:rPr>
        <w:t>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w:t>
      </w:r>
      <w:r>
        <w:rPr>
          <w:rFonts w:ascii="宋体" w:hAnsi="宋体" w:eastAsia="宋体" w:cs="宋体"/>
          <w:strike/>
          <w:dstrike w:val="0"/>
          <w:color w:val="auto"/>
          <w:spacing w:val="-2"/>
          <w:sz w:val="24"/>
          <w:szCs w:val="24"/>
          <w:highlight w:val="none"/>
        </w:rPr>
        <w:t>的。</w:t>
      </w:r>
    </w:p>
    <w:p w14:paraId="35A050EC">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12</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60"/>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6FF01896">
      <w:pPr>
        <w:spacing w:before="178"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13</w:t>
      </w:r>
      <w:r>
        <w:rPr>
          <w:rFonts w:ascii="宋体" w:hAnsi="宋体" w:eastAsia="宋体" w:cs="宋体"/>
          <w:strike/>
          <w:dstrike w:val="0"/>
          <w:color w:val="auto"/>
          <w:spacing w:val="-2"/>
          <w:sz w:val="24"/>
          <w:szCs w:val="24"/>
          <w:highlight w:val="none"/>
        </w:rPr>
        <w:t>）存在法律、法规、规章规定的其他无效投标情况的。</w:t>
      </w:r>
    </w:p>
    <w:p w14:paraId="05311DB6">
      <w:pPr>
        <w:spacing w:before="183" w:line="220" w:lineRule="auto"/>
        <w:ind w:left="548"/>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2</w:t>
      </w:r>
      <w:r>
        <w:rPr>
          <w:rFonts w:ascii="Times New Roman" w:hAnsi="Times New Roman" w:eastAsia="Times New Roman" w:cs="Times New Roman"/>
          <w:strike/>
          <w:dstrike w:val="0"/>
          <w:color w:val="auto"/>
          <w:spacing w:val="-15"/>
          <w:sz w:val="24"/>
          <w:szCs w:val="24"/>
          <w:highlight w:val="none"/>
        </w:rPr>
        <w:t xml:space="preserve"> </w:t>
      </w:r>
      <w:r>
        <w:rPr>
          <w:rFonts w:ascii="宋体" w:hAnsi="宋体" w:eastAsia="宋体" w:cs="宋体"/>
          <w:strike/>
          <w:dstrike w:val="0"/>
          <w:color w:val="auto"/>
          <w:spacing w:val="-6"/>
          <w:sz w:val="24"/>
          <w:szCs w:val="24"/>
          <w:highlight w:val="none"/>
        </w:rPr>
        <w:t>．商务标符合性审查未通过的情形：</w:t>
      </w:r>
    </w:p>
    <w:p w14:paraId="75291906">
      <w:pPr>
        <w:spacing w:before="181" w:line="289" w:lineRule="auto"/>
        <w:ind w:left="2" w:right="9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5F9BEBB6">
      <w:pPr>
        <w:spacing w:before="183" w:line="289" w:lineRule="auto"/>
        <w:ind w:left="2" w:right="99"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）同一投标人提交两个以上不同的投标报价且未声明哪一个有效的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443AF557">
      <w:pPr>
        <w:spacing w:before="182" w:line="289" w:lineRule="auto"/>
        <w:ind w:left="2" w:right="96"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）投标函载明的投标工期和质量不满足招标文件要求的（以投标人须知前附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表第</w:t>
      </w:r>
      <w:r>
        <w:rPr>
          <w:rFonts w:ascii="Times New Roman" w:hAnsi="Times New Roman" w:eastAsia="Times New Roman" w:cs="Times New Roman"/>
          <w:strike/>
          <w:dstrike w:val="0"/>
          <w:color w:val="auto"/>
          <w:spacing w:val="-4"/>
          <w:sz w:val="24"/>
          <w:szCs w:val="24"/>
          <w:highlight w:val="none"/>
        </w:rPr>
        <w:t>1.3.2</w:t>
      </w:r>
      <w:r>
        <w:rPr>
          <w:rFonts w:ascii="Times New Roman" w:hAnsi="Times New Roman" w:eastAsia="Times New Roman" w:cs="Times New Roman"/>
          <w:strike/>
          <w:dstrike w:val="0"/>
          <w:color w:val="auto"/>
          <w:spacing w:val="-26"/>
          <w:sz w:val="24"/>
          <w:szCs w:val="24"/>
          <w:highlight w:val="none"/>
        </w:rPr>
        <w:t xml:space="preserve"> </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1.3.3</w:t>
      </w:r>
      <w:r>
        <w:rPr>
          <w:rFonts w:ascii="宋体" w:hAnsi="宋体" w:eastAsia="宋体" w:cs="宋体"/>
          <w:strike/>
          <w:dstrike w:val="0"/>
          <w:color w:val="auto"/>
          <w:spacing w:val="-4"/>
          <w:sz w:val="24"/>
          <w:szCs w:val="24"/>
          <w:highlight w:val="none"/>
        </w:rPr>
        <w:t>项为准）。</w:t>
      </w:r>
    </w:p>
    <w:p w14:paraId="22ACCDD8">
      <w:pPr>
        <w:spacing w:before="182"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）投标报价高于招标文件设定的最高投标限价或分项限价的。</w:t>
      </w:r>
    </w:p>
    <w:p w14:paraId="57876841">
      <w:pPr>
        <w:spacing w:before="181" w:line="313" w:lineRule="auto"/>
        <w:ind w:left="3" w:firstLine="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）改变招标人提供的工程量清单中的项目编码、项目名</w:t>
      </w:r>
      <w:r>
        <w:rPr>
          <w:rFonts w:ascii="宋体" w:hAnsi="宋体" w:eastAsia="宋体" w:cs="宋体"/>
          <w:strike/>
          <w:dstrike w:val="0"/>
          <w:color w:val="auto"/>
          <w:sz w:val="24"/>
          <w:szCs w:val="24"/>
          <w:highlight w:val="none"/>
        </w:rPr>
        <w:t xml:space="preserve">称、项目主要特征、 </w:t>
      </w:r>
      <w:r>
        <w:rPr>
          <w:rFonts w:ascii="宋体" w:hAnsi="宋体" w:eastAsia="宋体" w:cs="宋体"/>
          <w:strike/>
          <w:dstrike w:val="0"/>
          <w:color w:val="auto"/>
          <w:spacing w:val="-3"/>
          <w:sz w:val="24"/>
          <w:szCs w:val="24"/>
          <w:highlight w:val="none"/>
        </w:rPr>
        <w:t>计量单位、工程数量、主要技术条款编码、金额等内容的（但按照国家规范所作的修</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改和招标文件规定的除外）。</w:t>
      </w:r>
    </w:p>
    <w:p w14:paraId="405E8C74">
      <w:pPr>
        <w:spacing w:before="181" w:line="220"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）投标人存在投标人须知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项规定情形之一的。</w:t>
      </w:r>
    </w:p>
    <w:p w14:paraId="6B36422E">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7</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18A26DEF">
      <w:pPr>
        <w:spacing w:before="179"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）存在法律、法规、规章规定的其他无效投标情况的。</w:t>
      </w:r>
    </w:p>
    <w:p w14:paraId="476A173F">
      <w:pPr>
        <w:spacing w:before="182"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  </w:t>
      </w:r>
      <w:r>
        <w:rPr>
          <w:rFonts w:ascii="楷体" w:hAnsi="楷体" w:eastAsia="楷体" w:cs="楷体"/>
          <w:b/>
          <w:bCs/>
          <w:strike/>
          <w:dstrike w:val="0"/>
          <w:color w:val="auto"/>
          <w:spacing w:val="-2"/>
          <w:sz w:val="24"/>
          <w:szCs w:val="24"/>
          <w:highlight w:val="none"/>
        </w:rPr>
        <w:t>投标文件的技术评审</w:t>
      </w:r>
    </w:p>
    <w:p w14:paraId="6CA4A4B6">
      <w:pPr>
        <w:spacing w:before="176" w:line="290" w:lineRule="auto"/>
        <w:ind w:left="3" w:right="84" w:firstLine="54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4.3.1  </w:t>
      </w:r>
      <w:r>
        <w:rPr>
          <w:rFonts w:ascii="宋体" w:hAnsi="宋体" w:eastAsia="宋体" w:cs="宋体"/>
          <w:strike/>
          <w:dstrike w:val="0"/>
          <w:color w:val="auto"/>
          <w:spacing w:val="-1"/>
          <w:sz w:val="24"/>
          <w:szCs w:val="24"/>
          <w:highlight w:val="none"/>
        </w:rPr>
        <w:t>评标委员会应对通过符合性审查的投标文件进行技术评</w:t>
      </w:r>
      <w:r>
        <w:rPr>
          <w:rFonts w:ascii="宋体" w:hAnsi="宋体" w:eastAsia="宋体" w:cs="宋体"/>
          <w:strike/>
          <w:dstrike w:val="0"/>
          <w:color w:val="auto"/>
          <w:spacing w:val="-2"/>
          <w:sz w:val="24"/>
          <w:szCs w:val="24"/>
          <w:highlight w:val="none"/>
        </w:rPr>
        <w:t>审。专家评审采用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集体评议、记名表决、少数服从多数的方法进行。</w:t>
      </w:r>
    </w:p>
    <w:p w14:paraId="3B2AE8C3">
      <w:pPr>
        <w:spacing w:before="181" w:line="220" w:lineRule="auto"/>
        <w:ind w:left="54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4.3.2  </w:t>
      </w:r>
      <w:r>
        <w:rPr>
          <w:rFonts w:ascii="宋体" w:hAnsi="宋体" w:eastAsia="宋体" w:cs="宋体"/>
          <w:strike/>
          <w:dstrike w:val="0"/>
          <w:color w:val="auto"/>
          <w:spacing w:val="-2"/>
          <w:sz w:val="24"/>
          <w:szCs w:val="24"/>
          <w:highlight w:val="none"/>
        </w:rPr>
        <w:t>如投标文件有以下情况之一的，按技术评审不通过处理：</w:t>
      </w:r>
    </w:p>
    <w:p w14:paraId="795F4B3F">
      <w:pPr>
        <w:spacing w:before="181"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）项目负责人或技术负责人不明确的。</w:t>
      </w:r>
    </w:p>
    <w:p w14:paraId="7B802F5A">
      <w:pPr>
        <w:spacing w:before="181"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）主要的施工技术方案或安全保障措施不可</w:t>
      </w:r>
      <w:r>
        <w:rPr>
          <w:rFonts w:ascii="宋体" w:hAnsi="宋体" w:eastAsia="宋体" w:cs="宋体"/>
          <w:strike/>
          <w:dstrike w:val="0"/>
          <w:color w:val="auto"/>
          <w:spacing w:val="-3"/>
          <w:sz w:val="24"/>
          <w:szCs w:val="24"/>
          <w:highlight w:val="none"/>
        </w:rPr>
        <w:t>行的。</w:t>
      </w:r>
    </w:p>
    <w:p w14:paraId="6C17A121">
      <w:pPr>
        <w:spacing w:before="181"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）主要施工机械设备不能满足施工需要的。</w:t>
      </w:r>
    </w:p>
    <w:p w14:paraId="4FF14D3A">
      <w:pPr>
        <w:spacing w:before="182"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）附有工程无法适用的其他技术和管理</w:t>
      </w:r>
      <w:r>
        <w:rPr>
          <w:rFonts w:ascii="宋体" w:hAnsi="宋体" w:eastAsia="宋体" w:cs="宋体"/>
          <w:strike/>
          <w:dstrike w:val="0"/>
          <w:color w:val="auto"/>
          <w:spacing w:val="-3"/>
          <w:sz w:val="24"/>
          <w:szCs w:val="24"/>
          <w:highlight w:val="none"/>
        </w:rPr>
        <w:t>条款的。</w:t>
      </w:r>
    </w:p>
    <w:p w14:paraId="51EB8FFD">
      <w:pPr>
        <w:spacing w:line="219" w:lineRule="auto"/>
        <w:rPr>
          <w:rFonts w:ascii="宋体" w:hAnsi="宋体" w:eastAsia="宋体" w:cs="宋体"/>
          <w:strike/>
          <w:dstrike w:val="0"/>
          <w:color w:val="auto"/>
          <w:sz w:val="24"/>
          <w:szCs w:val="24"/>
          <w:highlight w:val="none"/>
        </w:rPr>
        <w:sectPr>
          <w:footerReference r:id="rId28" w:type="default"/>
          <w:pgSz w:w="11905" w:h="16840"/>
          <w:pgMar w:top="1428" w:right="1444" w:bottom="1255" w:left="1593" w:header="0" w:footer="1093" w:gutter="0"/>
          <w:pgNumType w:fmt="decimal"/>
          <w:cols w:space="720" w:num="1"/>
        </w:sectPr>
      </w:pPr>
    </w:p>
    <w:p w14:paraId="33BD2E23">
      <w:pPr>
        <w:spacing w:before="47"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5</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71"/>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77E36A4E">
      <w:pPr>
        <w:spacing w:before="177" w:line="220" w:lineRule="auto"/>
        <w:ind w:left="54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4.3.3  </w:t>
      </w:r>
      <w:r>
        <w:rPr>
          <w:rFonts w:ascii="宋体" w:hAnsi="宋体" w:eastAsia="宋体" w:cs="宋体"/>
          <w:strike/>
          <w:dstrike w:val="0"/>
          <w:color w:val="auto"/>
          <w:spacing w:val="-2"/>
          <w:sz w:val="24"/>
          <w:szCs w:val="24"/>
          <w:highlight w:val="none"/>
        </w:rPr>
        <w:t>技术评审不通过的投标文件不再进入后续评审。</w:t>
      </w:r>
    </w:p>
    <w:p w14:paraId="380B9C31">
      <w:pPr>
        <w:spacing w:before="181"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  </w:t>
      </w:r>
      <w:r>
        <w:rPr>
          <w:rFonts w:ascii="楷体" w:hAnsi="楷体" w:eastAsia="楷体" w:cs="楷体"/>
          <w:b/>
          <w:bCs/>
          <w:strike/>
          <w:dstrike w:val="0"/>
          <w:color w:val="auto"/>
          <w:spacing w:val="-2"/>
          <w:sz w:val="24"/>
          <w:szCs w:val="24"/>
          <w:highlight w:val="none"/>
        </w:rPr>
        <w:t>投标文件的商务评审</w:t>
      </w:r>
    </w:p>
    <w:p w14:paraId="315566C3">
      <w:pPr>
        <w:spacing w:before="177" w:line="312" w:lineRule="auto"/>
        <w:ind w:left="2" w:right="65"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4.4.1  </w:t>
      </w:r>
      <w:r>
        <w:rPr>
          <w:rFonts w:ascii="宋体" w:hAnsi="宋体" w:eastAsia="宋体" w:cs="宋体"/>
          <w:strike/>
          <w:dstrike w:val="0"/>
          <w:color w:val="auto"/>
          <w:sz w:val="24"/>
          <w:szCs w:val="24"/>
          <w:highlight w:val="none"/>
        </w:rPr>
        <w:t>评标委员会对通过符合性评审、技术评审的投标文件进行商务评审。评标</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委员会应对商务报价的范围、数量、单价、费用组成和总价等进行全面审阅和对比分</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析，找出报价差异的原因及存在的问题。</w:t>
      </w:r>
    </w:p>
    <w:p w14:paraId="71E2A2F3">
      <w:pPr>
        <w:spacing w:before="185" w:line="312" w:lineRule="auto"/>
        <w:ind w:left="5" w:right="64" w:firstLine="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4.4.2  </w:t>
      </w:r>
      <w:r>
        <w:rPr>
          <w:rFonts w:ascii="宋体" w:hAnsi="宋体" w:eastAsia="宋体" w:cs="宋体"/>
          <w:strike/>
          <w:dstrike w:val="0"/>
          <w:color w:val="auto"/>
          <w:sz w:val="24"/>
          <w:szCs w:val="24"/>
          <w:highlight w:val="none"/>
        </w:rPr>
        <w:t>商务评审应以报价口径范围一致的投标评标价为依据。投标评标价应在最</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终报价的基础上，按照招标文件约定的因素和方法进行计算。凡属招标文件的原因造</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成报价口径范围不一致的，应调整投标报价。其中算术错误的调整原则为：</w:t>
      </w:r>
    </w:p>
    <w:p w14:paraId="0E78F338">
      <w:pPr>
        <w:spacing w:before="182"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）用数字表示的金额与文字表示的数额不一致时，以文字数额为准。</w:t>
      </w:r>
    </w:p>
    <w:p w14:paraId="054E94C2">
      <w:pPr>
        <w:spacing w:before="183" w:line="324" w:lineRule="auto"/>
        <w:ind w:left="5" w:firstLine="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）凡属投标人自身失误造成多算、少算、漏算的，</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7"/>
          <w:sz w:val="24"/>
          <w:szCs w:val="24"/>
          <w:highlight w:val="none"/>
        </w:rPr>
        <w:t>不调整投标报价。若有算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术性差错，均在投标报价不变的前提下按招标人要求调整单价及有关费用，调整后的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单价及有关费用对投标人起约束作用，如果投标人不接受修正后的单价及有关</w:t>
      </w:r>
      <w:r>
        <w:rPr>
          <w:rFonts w:ascii="宋体" w:hAnsi="宋体" w:eastAsia="宋体" w:cs="宋体"/>
          <w:strike/>
          <w:dstrike w:val="0"/>
          <w:color w:val="auto"/>
          <w:spacing w:val="-2"/>
          <w:sz w:val="24"/>
          <w:szCs w:val="24"/>
          <w:highlight w:val="none"/>
        </w:rPr>
        <w:t>费用，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则按商务评审不合格处理。</w:t>
      </w:r>
    </w:p>
    <w:p w14:paraId="2A1C3F77">
      <w:pPr>
        <w:spacing w:before="181" w:line="218" w:lineRule="auto"/>
        <w:ind w:left="54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4.4.3  </w:t>
      </w:r>
      <w:r>
        <w:rPr>
          <w:rFonts w:ascii="宋体" w:hAnsi="宋体" w:eastAsia="宋体" w:cs="宋体"/>
          <w:strike/>
          <w:dstrike w:val="0"/>
          <w:color w:val="auto"/>
          <w:spacing w:val="-2"/>
          <w:sz w:val="24"/>
          <w:szCs w:val="24"/>
          <w:highlight w:val="none"/>
        </w:rPr>
        <w:t>投标报价中，如有以下情况之一的，按商务评审不合格处理：</w:t>
      </w:r>
    </w:p>
    <w:p w14:paraId="149D7874">
      <w:pPr>
        <w:spacing w:before="184" w:line="218"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）投标人拒绝修正不平衡报价或拒绝提供报价分析说明和证明材料的。</w:t>
      </w:r>
    </w:p>
    <w:p w14:paraId="04A720C5">
      <w:pPr>
        <w:spacing w:before="182" w:line="291" w:lineRule="auto"/>
        <w:ind w:left="3" w:right="84"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）因投标人自身多算、少算、错算、漏算而造成的错误金额超过投标总价的</w:t>
      </w:r>
      <w:r>
        <w:rPr>
          <w:rFonts w:ascii="宋体" w:hAnsi="宋体" w:eastAsia="宋体" w:cs="宋体"/>
          <w:strike/>
          <w:dstrike w:val="0"/>
          <w:color w:val="auto"/>
          <w:spacing w:val="2"/>
          <w:sz w:val="24"/>
          <w:szCs w:val="24"/>
          <w:highlight w:val="none"/>
        </w:rPr>
        <w:t xml:space="preserve"> </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的。</w:t>
      </w:r>
    </w:p>
    <w:p w14:paraId="66F7A5B6">
      <w:pPr>
        <w:spacing w:before="177"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）安全施工费低于招标文件规定的。</w:t>
      </w:r>
    </w:p>
    <w:p w14:paraId="5112D263">
      <w:pPr>
        <w:spacing w:before="182" w:line="312" w:lineRule="auto"/>
        <w:ind w:left="2" w:right="65" w:firstLine="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4</w:t>
      </w:r>
      <w:r>
        <w:rPr>
          <w:rFonts w:ascii="宋体" w:hAnsi="宋体" w:eastAsia="宋体" w:cs="宋体"/>
          <w:strike/>
          <w:dstrike w:val="0"/>
          <w:color w:val="auto"/>
          <w:spacing w:val="-1"/>
          <w:sz w:val="24"/>
          <w:szCs w:val="24"/>
          <w:highlight w:val="none"/>
        </w:rPr>
        <w:t>）通过符合性审查、技术评审的最低投标评</w:t>
      </w:r>
      <w:r>
        <w:rPr>
          <w:rFonts w:ascii="宋体" w:hAnsi="宋体" w:eastAsia="宋体" w:cs="宋体"/>
          <w:strike/>
          <w:dstrike w:val="0"/>
          <w:color w:val="auto"/>
          <w:spacing w:val="-2"/>
          <w:sz w:val="24"/>
          <w:szCs w:val="24"/>
          <w:highlight w:val="none"/>
        </w:rPr>
        <w:t>标价低于通过符合性审查和技术</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评审的次低投标评标价</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，且经询标投标人对</w:t>
      </w:r>
      <w:r>
        <w:rPr>
          <w:rFonts w:ascii="宋体" w:hAnsi="宋体" w:eastAsia="宋体" w:cs="宋体"/>
          <w:strike/>
          <w:dstrike w:val="0"/>
          <w:color w:val="auto"/>
          <w:spacing w:val="1"/>
          <w:sz w:val="24"/>
          <w:szCs w:val="24"/>
          <w:highlight w:val="none"/>
        </w:rPr>
        <w:t>其报价不能充分说明理由，或提供的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相关材料无法证明报价不低于其成本价的。</w:t>
      </w:r>
    </w:p>
    <w:p w14:paraId="1299BF0C">
      <w:pPr>
        <w:spacing w:before="183"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）评标委员会认定属投标人自身原因有重大漏项的。</w:t>
      </w:r>
    </w:p>
    <w:p w14:paraId="53E86BCF">
      <w:pPr>
        <w:spacing w:before="182"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6</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125840C5">
      <w:pPr>
        <w:spacing w:before="179" w:line="220" w:lineRule="auto"/>
        <w:ind w:left="52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4.4.4  </w:t>
      </w:r>
      <w:r>
        <w:rPr>
          <w:rFonts w:ascii="宋体" w:hAnsi="宋体" w:eastAsia="宋体" w:cs="宋体"/>
          <w:strike/>
          <w:dstrike w:val="0"/>
          <w:color w:val="auto"/>
          <w:spacing w:val="-2"/>
          <w:sz w:val="24"/>
          <w:szCs w:val="24"/>
          <w:highlight w:val="none"/>
        </w:rPr>
        <w:t>商务评审不通过的投标文件不再进入后续评分。</w:t>
      </w:r>
    </w:p>
    <w:p w14:paraId="7A0DACFC">
      <w:pPr>
        <w:spacing w:before="181" w:line="211" w:lineRule="auto"/>
        <w:ind w:left="52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9"/>
          <w:sz w:val="24"/>
          <w:szCs w:val="24"/>
          <w:highlight w:val="none"/>
        </w:rPr>
        <w:t xml:space="preserve">4.4.5  </w:t>
      </w:r>
      <w:r>
        <w:rPr>
          <w:rFonts w:ascii="宋体" w:hAnsi="宋体" w:eastAsia="宋体" w:cs="宋体"/>
          <w:strike/>
          <w:dstrike w:val="0"/>
          <w:color w:val="auto"/>
          <w:spacing w:val="-9"/>
          <w:sz w:val="24"/>
          <w:szCs w:val="24"/>
          <w:highlight w:val="none"/>
        </w:rPr>
        <w:t>商务评分计算办法</w:t>
      </w:r>
      <w:r>
        <w:rPr>
          <w:rFonts w:ascii="宋体" w:hAnsi="宋体" w:eastAsia="宋体" w:cs="宋体"/>
          <w:strike/>
          <w:dstrike w:val="0"/>
          <w:color w:val="auto"/>
          <w:spacing w:val="-36"/>
          <w:sz w:val="24"/>
          <w:szCs w:val="24"/>
          <w:highlight w:val="none"/>
        </w:rPr>
        <w:t xml:space="preserve"> </w:t>
      </w:r>
      <w:r>
        <w:rPr>
          <w:rFonts w:ascii="宋体" w:hAnsi="宋体" w:eastAsia="宋体" w:cs="宋体"/>
          <w:i/>
          <w:iCs/>
          <w:strike/>
          <w:dstrike w:val="0"/>
          <w:color w:val="auto"/>
          <w:spacing w:val="-9"/>
          <w:sz w:val="25"/>
          <w:szCs w:val="25"/>
          <w:highlight w:val="none"/>
        </w:rPr>
        <w:t>（以下评分基准价的确定方法仅供参考</w:t>
      </w:r>
      <w:r>
        <w:rPr>
          <w:rFonts w:ascii="宋体" w:hAnsi="宋体" w:eastAsia="宋体" w:cs="宋体"/>
          <w:i/>
          <w:iCs/>
          <w:strike/>
          <w:dstrike w:val="0"/>
          <w:color w:val="auto"/>
          <w:spacing w:val="8"/>
          <w:sz w:val="25"/>
          <w:szCs w:val="25"/>
          <w:highlight w:val="none"/>
        </w:rPr>
        <w:t>）</w:t>
      </w:r>
      <w:r>
        <w:rPr>
          <w:rFonts w:ascii="宋体" w:hAnsi="宋体" w:eastAsia="宋体" w:cs="宋体"/>
          <w:strike/>
          <w:dstrike w:val="0"/>
          <w:color w:val="auto"/>
          <w:spacing w:val="8"/>
          <w:sz w:val="24"/>
          <w:szCs w:val="24"/>
          <w:highlight w:val="none"/>
        </w:rPr>
        <w:t>：</w:t>
      </w:r>
    </w:p>
    <w:p w14:paraId="294475F0">
      <w:pPr>
        <w:spacing w:before="182" w:line="290" w:lineRule="auto"/>
        <w:ind w:left="544" w:right="6033" w:firstLine="1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1</w:t>
      </w:r>
      <w:r>
        <w:rPr>
          <w:rFonts w:ascii="Times New Roman" w:hAnsi="Times New Roman" w:eastAsia="Times New Roman" w:cs="Times New Roman"/>
          <w:strike/>
          <w:dstrike w:val="0"/>
          <w:color w:val="auto"/>
          <w:spacing w:val="-29"/>
          <w:sz w:val="24"/>
          <w:szCs w:val="24"/>
          <w:highlight w:val="none"/>
        </w:rPr>
        <w:t xml:space="preserve"> </w:t>
      </w:r>
      <w:r>
        <w:rPr>
          <w:rFonts w:ascii="宋体" w:hAnsi="宋体" w:eastAsia="宋体" w:cs="宋体"/>
          <w:strike/>
          <w:dstrike w:val="0"/>
          <w:color w:val="auto"/>
          <w:spacing w:val="-6"/>
          <w:sz w:val="24"/>
          <w:szCs w:val="24"/>
          <w:highlight w:val="none"/>
        </w:rPr>
        <w:t>．评分基准价的确定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方法</w:t>
      </w: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w:t>
      </w:r>
    </w:p>
    <w:p w14:paraId="23557502">
      <w:pPr>
        <w:spacing w:before="181" w:line="360" w:lineRule="auto"/>
        <w:ind w:left="6" w:right="64" w:firstLine="478"/>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若通过商务评审的投标人大于等于</w:t>
      </w:r>
      <w:r>
        <w:rPr>
          <w:rFonts w:ascii="Times New Roman" w:hAnsi="Times New Roman" w:eastAsia="Times New Roman" w:cs="Times New Roman"/>
          <w:strike/>
          <w:dstrike w:val="0"/>
          <w:color w:val="auto"/>
          <w:sz w:val="24"/>
          <w:szCs w:val="24"/>
          <w:highlight w:val="none"/>
        </w:rPr>
        <w:t>5</w:t>
      </w:r>
      <w:r>
        <w:rPr>
          <w:rFonts w:ascii="宋体" w:hAnsi="宋体" w:eastAsia="宋体" w:cs="宋体"/>
          <w:strike/>
          <w:dstrike w:val="0"/>
          <w:color w:val="auto"/>
          <w:sz w:val="24"/>
          <w:szCs w:val="24"/>
          <w:highlight w:val="none"/>
        </w:rPr>
        <w:t>家，基准价为通过商务评审的评标价中剔除</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1"/>
          <w:sz w:val="24"/>
          <w:szCs w:val="24"/>
          <w:highlight w:val="none"/>
        </w:rPr>
        <w:t>投标评标价由高到低排序前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个投标评标价和投标评标价由低到</w:t>
      </w:r>
      <w:r>
        <w:rPr>
          <w:rFonts w:ascii="宋体" w:hAnsi="宋体" w:eastAsia="宋体" w:cs="宋体"/>
          <w:strike/>
          <w:dstrike w:val="0"/>
          <w:color w:val="auto"/>
          <w:sz w:val="24"/>
          <w:szCs w:val="24"/>
          <w:highlight w:val="none"/>
        </w:rPr>
        <w:t>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w:t>
      </w:r>
    </w:p>
    <w:p w14:paraId="0304F660">
      <w:pPr>
        <w:spacing w:line="360" w:lineRule="auto"/>
        <w:rPr>
          <w:rFonts w:ascii="宋体" w:hAnsi="宋体" w:eastAsia="宋体" w:cs="宋体"/>
          <w:strike/>
          <w:dstrike w:val="0"/>
          <w:color w:val="auto"/>
          <w:sz w:val="24"/>
          <w:szCs w:val="24"/>
          <w:highlight w:val="none"/>
        </w:rPr>
        <w:sectPr>
          <w:footerReference r:id="rId29" w:type="default"/>
          <w:pgSz w:w="11905" w:h="16840"/>
          <w:pgMar w:top="1428" w:right="1463" w:bottom="1255" w:left="1593" w:header="0" w:footer="1093" w:gutter="0"/>
          <w:pgNumType w:fmt="decimal"/>
          <w:cols w:space="720" w:num="1"/>
        </w:sectPr>
      </w:pPr>
    </w:p>
    <w:p w14:paraId="5CB44A9A">
      <w:pPr>
        <w:spacing w:before="49" w:line="349" w:lineRule="auto"/>
        <w:ind w:left="11" w:right="77" w:hanging="1"/>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标价后的算术平均值下浮</w:t>
      </w:r>
      <w:r>
        <w:rPr>
          <w:rFonts w:ascii="Times New Roman" w:hAnsi="Times New Roman" w:eastAsia="Times New Roman" w:cs="Times New Roman"/>
          <w:strike/>
          <w:dstrike w:val="0"/>
          <w:color w:val="auto"/>
          <w:spacing w:val="-3"/>
          <w:sz w:val="24"/>
          <w:szCs w:val="24"/>
          <w:highlight w:val="none"/>
        </w:rPr>
        <w:t>X%</w:t>
      </w: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A</w:t>
      </w:r>
      <w:r>
        <w:rPr>
          <w:rFonts w:ascii="宋体" w:hAnsi="宋体" w:eastAsia="宋体" w:cs="宋体"/>
          <w:strike/>
          <w:dstrike w:val="0"/>
          <w:color w:val="auto"/>
          <w:spacing w:val="-3"/>
          <w:sz w:val="24"/>
          <w:szCs w:val="24"/>
          <w:highlight w:val="none"/>
        </w:rPr>
        <w:t>为通过商务评审的投标人个</w:t>
      </w:r>
      <w:r>
        <w:rPr>
          <w:rFonts w:ascii="宋体" w:hAnsi="宋体" w:eastAsia="宋体" w:cs="宋体"/>
          <w:strike/>
          <w:dstrike w:val="0"/>
          <w:color w:val="auto"/>
          <w:spacing w:val="-4"/>
          <w:sz w:val="24"/>
          <w:szCs w:val="24"/>
          <w:highlight w:val="none"/>
        </w:rPr>
        <w:t>数的</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20%</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30%</w:t>
      </w:r>
      <w:r>
        <w:rPr>
          <w:rFonts w:ascii="宋体" w:hAnsi="宋体" w:eastAsia="宋体" w:cs="宋体"/>
          <w:i/>
          <w:iCs/>
          <w:strike/>
          <w:dstrike w:val="0"/>
          <w:color w:val="auto"/>
          <w:spacing w:val="-4"/>
          <w:sz w:val="25"/>
          <w:szCs w:val="25"/>
          <w:highlight w:val="none"/>
          <w:u w:val="single" w:color="auto"/>
        </w:rPr>
        <w:t>，由招</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3"/>
          <w:sz w:val="25"/>
          <w:szCs w:val="25"/>
          <w:highlight w:val="none"/>
          <w:u w:val="single" w:color="auto"/>
        </w:rPr>
        <w:t>标人自主确定</w:t>
      </w:r>
      <w:r>
        <w:rPr>
          <w:rFonts w:ascii="宋体" w:hAnsi="宋体" w:eastAsia="宋体" w:cs="宋体"/>
          <w:i/>
          <w:iCs/>
          <w:strike/>
          <w:dstrike w:val="0"/>
          <w:color w:val="auto"/>
          <w:spacing w:val="-21"/>
          <w:sz w:val="25"/>
          <w:szCs w:val="25"/>
          <w:highlight w:val="none"/>
          <w:u w:val="single" w:color="auto"/>
        </w:rPr>
        <w:t>）</w:t>
      </w:r>
      <w:r>
        <w:rPr>
          <w:rFonts w:ascii="宋体" w:hAnsi="宋体" w:eastAsia="宋体" w:cs="宋体"/>
          <w:i/>
          <w:iCs/>
          <w:strike/>
          <w:dstrike w:val="0"/>
          <w:color w:val="auto"/>
          <w:spacing w:val="-21"/>
          <w:sz w:val="25"/>
          <w:szCs w:val="25"/>
          <w:highlight w:val="none"/>
        </w:rPr>
        <w:t>，</w:t>
      </w:r>
      <w:r>
        <w:rPr>
          <w:rFonts w:ascii="宋体" w:hAnsi="宋体" w:eastAsia="宋体" w:cs="宋体"/>
          <w:strike/>
          <w:dstrike w:val="0"/>
          <w:color w:val="auto"/>
          <w:spacing w:val="-3"/>
          <w:sz w:val="24"/>
          <w:szCs w:val="24"/>
          <w:highlight w:val="none"/>
        </w:rPr>
        <w:t>并取整数，小数点后四舍五入。</w:t>
      </w:r>
      <w:r>
        <w:rPr>
          <w:rFonts w:ascii="宋体" w:hAnsi="宋体" w:eastAsia="宋体" w:cs="宋体"/>
          <w:strike/>
          <w:dstrike w:val="0"/>
          <w:color w:val="auto"/>
          <w:spacing w:val="-21"/>
          <w:sz w:val="24"/>
          <w:szCs w:val="24"/>
          <w:highlight w:val="none"/>
        </w:rPr>
        <w:t>］；</w:t>
      </w:r>
      <w:r>
        <w:rPr>
          <w:rFonts w:ascii="宋体" w:hAnsi="宋体" w:eastAsia="宋体" w:cs="宋体"/>
          <w:strike/>
          <w:dstrike w:val="0"/>
          <w:color w:val="auto"/>
          <w:spacing w:val="-3"/>
          <w:sz w:val="24"/>
          <w:szCs w:val="24"/>
          <w:highlight w:val="none"/>
        </w:rPr>
        <w:t>若通过商务评审的投标人</w:t>
      </w:r>
      <w:r>
        <w:rPr>
          <w:rFonts w:ascii="宋体" w:hAnsi="宋体" w:eastAsia="宋体" w:cs="宋体"/>
          <w:strike/>
          <w:dstrike w:val="0"/>
          <w:color w:val="auto"/>
          <w:spacing w:val="-4"/>
          <w:sz w:val="24"/>
          <w:szCs w:val="24"/>
          <w:highlight w:val="none"/>
        </w:rPr>
        <w:t>少于</w:t>
      </w:r>
      <w:r>
        <w:rPr>
          <w:rFonts w:ascii="宋体" w:hAnsi="宋体" w:eastAsia="宋体" w:cs="宋体"/>
          <w:strike/>
          <w:dstrike w:val="0"/>
          <w:color w:val="auto"/>
          <w:sz w:val="24"/>
          <w:szCs w:val="24"/>
          <w:highlight w:val="none"/>
        </w:rPr>
        <w:t xml:space="preserve"> </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家时，基准价为所有通过商务评审的评标价的算术平均值下浮</w:t>
      </w:r>
      <w:r>
        <w:rPr>
          <w:rFonts w:ascii="Times New Roman" w:hAnsi="Times New Roman" w:eastAsia="Times New Roman" w:cs="Times New Roman"/>
          <w:strike/>
          <w:dstrike w:val="0"/>
          <w:color w:val="auto"/>
          <w:spacing w:val="-1"/>
          <w:sz w:val="24"/>
          <w:szCs w:val="24"/>
          <w:highlight w:val="none"/>
        </w:rPr>
        <w:t>X</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的数值。</w:t>
      </w:r>
    </w:p>
    <w:p w14:paraId="02584C8E">
      <w:pPr>
        <w:tabs>
          <w:tab w:val="left" w:pos="113"/>
        </w:tabs>
        <w:spacing w:before="1" w:line="344" w:lineRule="auto"/>
        <w:ind w:right="64" w:firstLine="54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8"/>
          <w:sz w:val="24"/>
          <w:szCs w:val="24"/>
          <w:highlight w:val="none"/>
        </w:rPr>
        <w:t>X</w:t>
      </w:r>
      <w:r>
        <w:rPr>
          <w:rFonts w:ascii="宋体" w:hAnsi="宋体" w:eastAsia="宋体" w:cs="宋体"/>
          <w:strike/>
          <w:dstrike w:val="0"/>
          <w:color w:val="auto"/>
          <w:spacing w:val="-8"/>
          <w:sz w:val="24"/>
          <w:szCs w:val="24"/>
          <w:highlight w:val="none"/>
        </w:rPr>
        <w:t>值在开标时由招标人在</w:t>
      </w:r>
      <w:r>
        <w:rPr>
          <w:rFonts w:ascii="宋体" w:hAnsi="宋体" w:eastAsia="宋体" w:cs="宋体"/>
          <w:strike/>
          <w:dstrike w:val="0"/>
          <w:color w:val="auto"/>
          <w:spacing w:val="56"/>
          <w:sz w:val="25"/>
          <w:szCs w:val="25"/>
          <w:highlight w:val="none"/>
          <w:u w:val="single" w:color="auto"/>
        </w:rPr>
        <w:t xml:space="preserve">  </w:t>
      </w:r>
      <w:r>
        <w:rPr>
          <w:rFonts w:ascii="宋体" w:hAnsi="宋体" w:eastAsia="宋体" w:cs="宋体"/>
          <w:i/>
          <w:iCs/>
          <w:strike/>
          <w:dstrike w:val="0"/>
          <w:color w:val="auto"/>
          <w:spacing w:val="-8"/>
          <w:sz w:val="25"/>
          <w:szCs w:val="25"/>
          <w:highlight w:val="none"/>
          <w:u w:val="single" w:color="auto"/>
        </w:rPr>
        <w:t>（由招标人在</w:t>
      </w:r>
      <w:r>
        <w:rPr>
          <w:rFonts w:ascii="Times New Roman" w:hAnsi="Times New Roman" w:eastAsia="Times New Roman" w:cs="Times New Roman"/>
          <w:i/>
          <w:iCs/>
          <w:strike/>
          <w:dstrike w:val="0"/>
          <w:color w:val="auto"/>
          <w:spacing w:val="-8"/>
          <w:sz w:val="24"/>
          <w:szCs w:val="24"/>
          <w:highlight w:val="none"/>
          <w:u w:val="single" w:color="auto"/>
        </w:rPr>
        <w:t>0</w:t>
      </w:r>
      <w:r>
        <w:rPr>
          <w:rFonts w:ascii="宋体" w:hAnsi="宋体" w:eastAsia="宋体" w:cs="宋体"/>
          <w:i/>
          <w:iCs/>
          <w:strike/>
          <w:dstrike w:val="0"/>
          <w:color w:val="auto"/>
          <w:spacing w:val="-8"/>
          <w:sz w:val="25"/>
          <w:szCs w:val="25"/>
          <w:highlight w:val="none"/>
          <w:u w:val="single" w:color="auto"/>
        </w:rPr>
        <w:t>～</w:t>
      </w:r>
      <w:r>
        <w:rPr>
          <w:rFonts w:ascii="Times New Roman" w:hAnsi="Times New Roman" w:eastAsia="Times New Roman" w:cs="Times New Roman"/>
          <w:i/>
          <w:iCs/>
          <w:strike/>
          <w:dstrike w:val="0"/>
          <w:color w:val="auto"/>
          <w:spacing w:val="-8"/>
          <w:sz w:val="24"/>
          <w:szCs w:val="24"/>
          <w:highlight w:val="none"/>
          <w:u w:val="single" w:color="auto"/>
        </w:rPr>
        <w:t>3</w:t>
      </w:r>
      <w:r>
        <w:rPr>
          <w:rFonts w:ascii="宋体" w:hAnsi="宋体" w:eastAsia="宋体" w:cs="宋体"/>
          <w:i/>
          <w:iCs/>
          <w:strike/>
          <w:dstrike w:val="0"/>
          <w:color w:val="auto"/>
          <w:spacing w:val="-8"/>
          <w:sz w:val="25"/>
          <w:szCs w:val="25"/>
          <w:highlight w:val="none"/>
          <w:u w:val="single" w:color="auto"/>
        </w:rPr>
        <w:t>之间自行确定，但应为</w:t>
      </w:r>
      <w:r>
        <w:rPr>
          <w:rFonts w:ascii="Times New Roman" w:hAnsi="Times New Roman" w:eastAsia="Times New Roman" w:cs="Times New Roman"/>
          <w:i/>
          <w:iCs/>
          <w:strike/>
          <w:dstrike w:val="0"/>
          <w:color w:val="auto"/>
          <w:spacing w:val="-8"/>
          <w:sz w:val="24"/>
          <w:szCs w:val="24"/>
          <w:highlight w:val="none"/>
          <w:u w:val="single" w:color="auto"/>
        </w:rPr>
        <w:t>5</w:t>
      </w:r>
      <w:r>
        <w:rPr>
          <w:rFonts w:ascii="宋体" w:hAnsi="宋体" w:eastAsia="宋体" w:cs="宋体"/>
          <w:i/>
          <w:iCs/>
          <w:strike/>
          <w:dstrike w:val="0"/>
          <w:color w:val="auto"/>
          <w:spacing w:val="-8"/>
          <w:sz w:val="25"/>
          <w:szCs w:val="25"/>
          <w:highlight w:val="none"/>
          <w:u w:val="single" w:color="auto"/>
        </w:rPr>
        <w:t>个数组成</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z w:val="25"/>
          <w:szCs w:val="25"/>
          <w:highlight w:val="none"/>
          <w:u w:val="single" w:color="auto"/>
        </w:rPr>
        <w:tab/>
      </w:r>
      <w:r>
        <w:rPr>
          <w:rFonts w:ascii="宋体" w:hAnsi="宋体" w:eastAsia="宋体" w:cs="宋体"/>
          <w:i/>
          <w:iCs/>
          <w:strike/>
          <w:dstrike w:val="0"/>
          <w:color w:val="auto"/>
          <w:spacing w:val="-11"/>
          <w:sz w:val="25"/>
          <w:szCs w:val="25"/>
          <w:highlight w:val="none"/>
          <w:u w:val="single" w:color="auto"/>
        </w:rPr>
        <w:t>的等差递增数列，最小公差大于等于</w:t>
      </w:r>
      <w:r>
        <w:rPr>
          <w:rFonts w:ascii="Times New Roman" w:hAnsi="Times New Roman" w:eastAsia="Times New Roman" w:cs="Times New Roman"/>
          <w:i/>
          <w:iCs/>
          <w:strike/>
          <w:dstrike w:val="0"/>
          <w:color w:val="auto"/>
          <w:spacing w:val="-11"/>
          <w:sz w:val="24"/>
          <w:szCs w:val="24"/>
          <w:highlight w:val="none"/>
          <w:u w:val="single" w:color="auto"/>
        </w:rPr>
        <w:t>0.5</w:t>
      </w:r>
      <w:r>
        <w:rPr>
          <w:rFonts w:ascii="宋体" w:hAnsi="宋体" w:eastAsia="宋体" w:cs="宋体"/>
          <w:i/>
          <w:iCs/>
          <w:strike/>
          <w:dstrike w:val="0"/>
          <w:color w:val="auto"/>
          <w:spacing w:val="-11"/>
          <w:sz w:val="25"/>
          <w:szCs w:val="25"/>
          <w:highlight w:val="none"/>
          <w:u w:val="single" w:color="auto"/>
        </w:rPr>
        <w:t>）</w:t>
      </w:r>
      <w:r>
        <w:rPr>
          <w:rFonts w:ascii="宋体" w:hAnsi="宋体" w:eastAsia="宋体" w:cs="宋体"/>
          <w:strike/>
          <w:dstrike w:val="0"/>
          <w:color w:val="auto"/>
          <w:spacing w:val="108"/>
          <w:sz w:val="25"/>
          <w:szCs w:val="25"/>
          <w:highlight w:val="none"/>
          <w:u w:val="single" w:color="auto"/>
        </w:rPr>
        <w:t xml:space="preserve"> </w:t>
      </w:r>
      <w:r>
        <w:rPr>
          <w:rFonts w:ascii="宋体" w:hAnsi="宋体" w:eastAsia="宋体" w:cs="宋体"/>
          <w:strike/>
          <w:dstrike w:val="0"/>
          <w:color w:val="auto"/>
          <w:spacing w:val="-114"/>
          <w:sz w:val="25"/>
          <w:szCs w:val="25"/>
          <w:highlight w:val="none"/>
        </w:rPr>
        <w:t xml:space="preserve"> </w:t>
      </w:r>
      <w:r>
        <w:rPr>
          <w:rFonts w:ascii="宋体" w:hAnsi="宋体" w:eastAsia="宋体" w:cs="宋体"/>
          <w:strike/>
          <w:dstrike w:val="0"/>
          <w:color w:val="auto"/>
          <w:spacing w:val="-11"/>
          <w:sz w:val="24"/>
          <w:szCs w:val="24"/>
          <w:highlight w:val="none"/>
        </w:rPr>
        <w:t>之中随机抽取确定。</w:t>
      </w:r>
    </w:p>
    <w:p w14:paraId="2CA5CE52">
      <w:pPr>
        <w:spacing w:before="1" w:line="220" w:lineRule="auto"/>
        <w:ind w:left="48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方法</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w:t>
      </w:r>
    </w:p>
    <w:p w14:paraId="0C6D253D">
      <w:pPr>
        <w:spacing w:before="181" w:line="328" w:lineRule="auto"/>
        <w:ind w:left="9"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）平均报价值的确定：若通过商务评审的投标人大于等于</w:t>
      </w:r>
      <w:r>
        <w:rPr>
          <w:rFonts w:ascii="Times New Roman" w:hAnsi="Times New Roman" w:eastAsia="Times New Roman" w:cs="Times New Roman"/>
          <w:strike/>
          <w:dstrike w:val="0"/>
          <w:color w:val="auto"/>
          <w:spacing w:val="-5"/>
          <w:sz w:val="24"/>
          <w:szCs w:val="24"/>
          <w:highlight w:val="none"/>
        </w:rPr>
        <w:t>5</w:t>
      </w:r>
      <w:r>
        <w:rPr>
          <w:rFonts w:ascii="宋体" w:hAnsi="宋体" w:eastAsia="宋体" w:cs="宋体"/>
          <w:strike/>
          <w:dstrike w:val="0"/>
          <w:color w:val="auto"/>
          <w:spacing w:val="-5"/>
          <w:sz w:val="24"/>
          <w:szCs w:val="24"/>
          <w:highlight w:val="none"/>
        </w:rPr>
        <w:t>家，平均报价值为</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6"/>
          <w:sz w:val="24"/>
          <w:szCs w:val="24"/>
          <w:highlight w:val="none"/>
        </w:rPr>
        <w:t>通过商务评审的评标价中剔除投标评标价由高到低排</w:t>
      </w:r>
      <w:r>
        <w:rPr>
          <w:rFonts w:ascii="宋体" w:hAnsi="宋体" w:eastAsia="宋体" w:cs="宋体"/>
          <w:strike/>
          <w:dstrike w:val="0"/>
          <w:color w:val="auto"/>
          <w:spacing w:val="5"/>
          <w:sz w:val="24"/>
          <w:szCs w:val="24"/>
          <w:highlight w:val="none"/>
        </w:rPr>
        <w:t>序前</w:t>
      </w:r>
      <w:r>
        <w:rPr>
          <w:rFonts w:ascii="Times New Roman" w:hAnsi="Times New Roman" w:eastAsia="Times New Roman" w:cs="Times New Roman"/>
          <w:strike/>
          <w:dstrike w:val="0"/>
          <w:color w:val="auto"/>
          <w:spacing w:val="5"/>
          <w:sz w:val="24"/>
          <w:szCs w:val="24"/>
          <w:highlight w:val="none"/>
        </w:rPr>
        <w:t>A</w:t>
      </w:r>
      <w:r>
        <w:rPr>
          <w:rFonts w:ascii="宋体" w:hAnsi="宋体" w:eastAsia="宋体" w:cs="宋体"/>
          <w:strike/>
          <w:dstrike w:val="0"/>
          <w:color w:val="auto"/>
          <w:spacing w:val="5"/>
          <w:sz w:val="24"/>
          <w:szCs w:val="24"/>
          <w:highlight w:val="none"/>
        </w:rPr>
        <w:t>个投标评标价和投标评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标价由低到高排序前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个投标评标价后的算术平均值［</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为通过商务评</w:t>
      </w:r>
      <w:r>
        <w:rPr>
          <w:rFonts w:ascii="宋体" w:hAnsi="宋体" w:eastAsia="宋体" w:cs="宋体"/>
          <w:strike/>
          <w:dstrike w:val="0"/>
          <w:color w:val="auto"/>
          <w:sz w:val="24"/>
          <w:szCs w:val="24"/>
          <w:highlight w:val="none"/>
        </w:rPr>
        <w:t xml:space="preserve">审的投标人个 </w:t>
      </w:r>
      <w:r>
        <w:rPr>
          <w:rFonts w:ascii="宋体" w:hAnsi="宋体" w:eastAsia="宋体" w:cs="宋体"/>
          <w:strike/>
          <w:dstrike w:val="0"/>
          <w:color w:val="auto"/>
          <w:spacing w:val="-5"/>
          <w:sz w:val="24"/>
          <w:szCs w:val="24"/>
          <w:highlight w:val="none"/>
        </w:rPr>
        <w:t>数的</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20%</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 xml:space="preserve">30% </w:t>
      </w:r>
      <w:r>
        <w:rPr>
          <w:rFonts w:ascii="宋体" w:hAnsi="宋体" w:eastAsia="宋体" w:cs="宋体"/>
          <w:i/>
          <w:iCs/>
          <w:strike/>
          <w:dstrike w:val="0"/>
          <w:color w:val="auto"/>
          <w:spacing w:val="-5"/>
          <w:sz w:val="25"/>
          <w:szCs w:val="25"/>
          <w:highlight w:val="none"/>
          <w:u w:val="single" w:color="auto"/>
        </w:rPr>
        <w:t>，由招标人自主确定）</w:t>
      </w:r>
      <w:r>
        <w:rPr>
          <w:rFonts w:ascii="宋体" w:hAnsi="宋体" w:eastAsia="宋体" w:cs="宋体"/>
          <w:strike/>
          <w:dstrike w:val="0"/>
          <w:color w:val="auto"/>
          <w:spacing w:val="-5"/>
          <w:sz w:val="24"/>
          <w:szCs w:val="24"/>
          <w:highlight w:val="none"/>
        </w:rPr>
        <w:t>，并取整</w:t>
      </w:r>
      <w:r>
        <w:rPr>
          <w:rFonts w:ascii="宋体" w:hAnsi="宋体" w:eastAsia="宋体" w:cs="宋体"/>
          <w:strike/>
          <w:dstrike w:val="0"/>
          <w:color w:val="auto"/>
          <w:spacing w:val="-6"/>
          <w:sz w:val="24"/>
          <w:szCs w:val="24"/>
          <w:highlight w:val="none"/>
        </w:rPr>
        <w:t>数，小数点后四舍五入</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pacing w:val="-6"/>
          <w:sz w:val="24"/>
          <w:szCs w:val="24"/>
          <w:highlight w:val="none"/>
        </w:rPr>
        <w:t>若通过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商务评审的投标人少于</w:t>
      </w:r>
      <w:r>
        <w:rPr>
          <w:rFonts w:ascii="Times New Roman" w:hAnsi="Times New Roman" w:eastAsia="Times New Roman" w:cs="Times New Roman"/>
          <w:strike/>
          <w:dstrike w:val="0"/>
          <w:color w:val="auto"/>
          <w:spacing w:val="-4"/>
          <w:sz w:val="24"/>
          <w:szCs w:val="24"/>
          <w:highlight w:val="none"/>
        </w:rPr>
        <w:t>5</w:t>
      </w:r>
      <w:r>
        <w:rPr>
          <w:rFonts w:ascii="宋体" w:hAnsi="宋体" w:eastAsia="宋体" w:cs="宋体"/>
          <w:strike/>
          <w:dstrike w:val="0"/>
          <w:color w:val="auto"/>
          <w:spacing w:val="-4"/>
          <w:sz w:val="24"/>
          <w:szCs w:val="24"/>
          <w:highlight w:val="none"/>
        </w:rPr>
        <w:t>家，平均报价值为所有通过商务评审的评标价的算术平均值。</w:t>
      </w:r>
    </w:p>
    <w:p w14:paraId="5D8562B4">
      <w:pPr>
        <w:spacing w:before="182" w:line="289" w:lineRule="auto"/>
        <w:ind w:left="8" w:right="95" w:firstLine="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）评分基准价的确定：平均报价值与参与计算平均报价的次低评标价的算术</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平均值再下浮</w:t>
      </w:r>
      <w:r>
        <w:rPr>
          <w:rFonts w:ascii="Times New Roman" w:hAnsi="Times New Roman" w:eastAsia="Times New Roman" w:cs="Times New Roman"/>
          <w:strike/>
          <w:dstrike w:val="0"/>
          <w:color w:val="auto"/>
          <w:spacing w:val="-3"/>
          <w:sz w:val="24"/>
          <w:szCs w:val="24"/>
          <w:highlight w:val="none"/>
        </w:rPr>
        <w:t>X%</w:t>
      </w:r>
      <w:r>
        <w:rPr>
          <w:rFonts w:ascii="宋体" w:hAnsi="宋体" w:eastAsia="宋体" w:cs="宋体"/>
          <w:strike/>
          <w:dstrike w:val="0"/>
          <w:color w:val="auto"/>
          <w:spacing w:val="-3"/>
          <w:sz w:val="24"/>
          <w:szCs w:val="24"/>
          <w:highlight w:val="none"/>
        </w:rPr>
        <w:t>作为评分基准价。</w:t>
      </w:r>
    </w:p>
    <w:p w14:paraId="45CE1DF0">
      <w:pPr>
        <w:spacing w:before="183" w:line="345" w:lineRule="auto"/>
        <w:ind w:left="79" w:right="64" w:firstLine="46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8"/>
          <w:sz w:val="24"/>
          <w:szCs w:val="24"/>
          <w:highlight w:val="none"/>
        </w:rPr>
        <w:t>X</w:t>
      </w:r>
      <w:r>
        <w:rPr>
          <w:rFonts w:ascii="宋体" w:hAnsi="宋体" w:eastAsia="宋体" w:cs="宋体"/>
          <w:strike/>
          <w:dstrike w:val="0"/>
          <w:color w:val="auto"/>
          <w:spacing w:val="-8"/>
          <w:sz w:val="24"/>
          <w:szCs w:val="24"/>
          <w:highlight w:val="none"/>
        </w:rPr>
        <w:t>值在开标时由招标人在</w:t>
      </w:r>
      <w:r>
        <w:rPr>
          <w:rFonts w:ascii="宋体" w:hAnsi="宋体" w:eastAsia="宋体" w:cs="宋体"/>
          <w:strike/>
          <w:dstrike w:val="0"/>
          <w:color w:val="auto"/>
          <w:spacing w:val="56"/>
          <w:sz w:val="25"/>
          <w:szCs w:val="25"/>
          <w:highlight w:val="none"/>
          <w:u w:val="single" w:color="auto"/>
        </w:rPr>
        <w:t xml:space="preserve">  </w:t>
      </w:r>
      <w:r>
        <w:rPr>
          <w:rFonts w:ascii="宋体" w:hAnsi="宋体" w:eastAsia="宋体" w:cs="宋体"/>
          <w:i/>
          <w:iCs/>
          <w:strike/>
          <w:dstrike w:val="0"/>
          <w:color w:val="auto"/>
          <w:spacing w:val="-8"/>
          <w:sz w:val="25"/>
          <w:szCs w:val="25"/>
          <w:highlight w:val="none"/>
          <w:u w:val="single" w:color="auto"/>
        </w:rPr>
        <w:t>（由招标人在</w:t>
      </w:r>
      <w:r>
        <w:rPr>
          <w:rFonts w:ascii="Times New Roman" w:hAnsi="Times New Roman" w:eastAsia="Times New Roman" w:cs="Times New Roman"/>
          <w:i/>
          <w:iCs/>
          <w:strike/>
          <w:dstrike w:val="0"/>
          <w:color w:val="auto"/>
          <w:spacing w:val="-8"/>
          <w:sz w:val="24"/>
          <w:szCs w:val="24"/>
          <w:highlight w:val="none"/>
          <w:u w:val="single" w:color="auto"/>
        </w:rPr>
        <w:t>0</w:t>
      </w:r>
      <w:r>
        <w:rPr>
          <w:rFonts w:ascii="宋体" w:hAnsi="宋体" w:eastAsia="宋体" w:cs="宋体"/>
          <w:i/>
          <w:iCs/>
          <w:strike/>
          <w:dstrike w:val="0"/>
          <w:color w:val="auto"/>
          <w:spacing w:val="-8"/>
          <w:sz w:val="25"/>
          <w:szCs w:val="25"/>
          <w:highlight w:val="none"/>
          <w:u w:val="single" w:color="auto"/>
        </w:rPr>
        <w:t>～</w:t>
      </w:r>
      <w:r>
        <w:rPr>
          <w:rFonts w:ascii="Times New Roman" w:hAnsi="Times New Roman" w:eastAsia="Times New Roman" w:cs="Times New Roman"/>
          <w:i/>
          <w:iCs/>
          <w:strike/>
          <w:dstrike w:val="0"/>
          <w:color w:val="auto"/>
          <w:spacing w:val="-8"/>
          <w:sz w:val="24"/>
          <w:szCs w:val="24"/>
          <w:highlight w:val="none"/>
          <w:u w:val="single" w:color="auto"/>
        </w:rPr>
        <w:t>2</w:t>
      </w:r>
      <w:r>
        <w:rPr>
          <w:rFonts w:ascii="宋体" w:hAnsi="宋体" w:eastAsia="宋体" w:cs="宋体"/>
          <w:i/>
          <w:iCs/>
          <w:strike/>
          <w:dstrike w:val="0"/>
          <w:color w:val="auto"/>
          <w:spacing w:val="-8"/>
          <w:sz w:val="25"/>
          <w:szCs w:val="25"/>
          <w:highlight w:val="none"/>
          <w:u w:val="single" w:color="auto"/>
        </w:rPr>
        <w:t>之间自行确定，但应为</w:t>
      </w:r>
      <w:r>
        <w:rPr>
          <w:rFonts w:ascii="Times New Roman" w:hAnsi="Times New Roman" w:eastAsia="Times New Roman" w:cs="Times New Roman"/>
          <w:i/>
          <w:iCs/>
          <w:strike/>
          <w:dstrike w:val="0"/>
          <w:color w:val="auto"/>
          <w:spacing w:val="-8"/>
          <w:sz w:val="24"/>
          <w:szCs w:val="24"/>
          <w:highlight w:val="none"/>
          <w:u w:val="single" w:color="auto"/>
        </w:rPr>
        <w:t>5</w:t>
      </w:r>
      <w:r>
        <w:rPr>
          <w:rFonts w:ascii="宋体" w:hAnsi="宋体" w:eastAsia="宋体" w:cs="宋体"/>
          <w:i/>
          <w:iCs/>
          <w:strike/>
          <w:dstrike w:val="0"/>
          <w:color w:val="auto"/>
          <w:spacing w:val="-8"/>
          <w:sz w:val="25"/>
          <w:szCs w:val="25"/>
          <w:highlight w:val="none"/>
          <w:u w:val="single" w:color="auto"/>
        </w:rPr>
        <w:t>个数组成</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2"/>
          <w:sz w:val="25"/>
          <w:szCs w:val="25"/>
          <w:highlight w:val="none"/>
          <w:u w:val="single" w:color="auto"/>
        </w:rPr>
        <w:t>的等差递增数列，</w:t>
      </w:r>
      <w:r>
        <w:rPr>
          <w:rFonts w:ascii="宋体" w:hAnsi="宋体" w:eastAsia="宋体" w:cs="宋体"/>
          <w:strike/>
          <w:dstrike w:val="0"/>
          <w:color w:val="auto"/>
          <w:spacing w:val="61"/>
          <w:sz w:val="25"/>
          <w:szCs w:val="25"/>
          <w:highlight w:val="none"/>
          <w:u w:val="single" w:color="auto"/>
        </w:rPr>
        <w:t xml:space="preserve"> </w:t>
      </w:r>
      <w:r>
        <w:rPr>
          <w:rFonts w:ascii="宋体" w:hAnsi="宋体" w:eastAsia="宋体" w:cs="宋体"/>
          <w:i/>
          <w:iCs/>
          <w:strike/>
          <w:dstrike w:val="0"/>
          <w:color w:val="auto"/>
          <w:spacing w:val="-12"/>
          <w:sz w:val="25"/>
          <w:szCs w:val="25"/>
          <w:highlight w:val="none"/>
          <w:u w:val="single" w:color="auto"/>
        </w:rPr>
        <w:t>最小公差大于等于</w:t>
      </w:r>
      <w:r>
        <w:rPr>
          <w:rFonts w:ascii="Times New Roman" w:hAnsi="Times New Roman" w:eastAsia="Times New Roman" w:cs="Times New Roman"/>
          <w:i/>
          <w:iCs/>
          <w:strike/>
          <w:dstrike w:val="0"/>
          <w:color w:val="auto"/>
          <w:spacing w:val="-12"/>
          <w:sz w:val="24"/>
          <w:szCs w:val="24"/>
          <w:highlight w:val="none"/>
          <w:u w:val="single" w:color="auto"/>
        </w:rPr>
        <w:t>0.5</w:t>
      </w:r>
      <w:r>
        <w:rPr>
          <w:rFonts w:ascii="宋体" w:hAnsi="宋体" w:eastAsia="宋体" w:cs="宋体"/>
          <w:i/>
          <w:iCs/>
          <w:strike/>
          <w:dstrike w:val="0"/>
          <w:color w:val="auto"/>
          <w:spacing w:val="-12"/>
          <w:sz w:val="25"/>
          <w:szCs w:val="25"/>
          <w:highlight w:val="none"/>
          <w:u w:val="single" w:color="auto"/>
        </w:rPr>
        <w:t>）</w:t>
      </w:r>
      <w:r>
        <w:rPr>
          <w:rFonts w:ascii="宋体" w:hAnsi="宋体" w:eastAsia="宋体" w:cs="宋体"/>
          <w:strike/>
          <w:dstrike w:val="0"/>
          <w:color w:val="auto"/>
          <w:spacing w:val="105"/>
          <w:sz w:val="25"/>
          <w:szCs w:val="25"/>
          <w:highlight w:val="none"/>
          <w:u w:val="single" w:color="auto"/>
        </w:rPr>
        <w:t xml:space="preserve"> </w:t>
      </w:r>
      <w:r>
        <w:rPr>
          <w:rFonts w:ascii="宋体" w:hAnsi="宋体" w:eastAsia="宋体" w:cs="宋体"/>
          <w:strike/>
          <w:dstrike w:val="0"/>
          <w:color w:val="auto"/>
          <w:spacing w:val="-113"/>
          <w:sz w:val="25"/>
          <w:szCs w:val="25"/>
          <w:highlight w:val="none"/>
        </w:rPr>
        <w:t xml:space="preserve"> </w:t>
      </w:r>
      <w:r>
        <w:rPr>
          <w:rFonts w:ascii="宋体" w:hAnsi="宋体" w:eastAsia="宋体" w:cs="宋体"/>
          <w:strike/>
          <w:dstrike w:val="0"/>
          <w:color w:val="auto"/>
          <w:spacing w:val="-12"/>
          <w:sz w:val="24"/>
          <w:szCs w:val="24"/>
          <w:highlight w:val="none"/>
        </w:rPr>
        <w:t>之中随机抽取确定。</w:t>
      </w:r>
    </w:p>
    <w:p w14:paraId="2B9C1922">
      <w:pPr>
        <w:spacing w:line="359" w:lineRule="auto"/>
        <w:ind w:left="10" w:right="84" w:firstLine="53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评分基准价由评标委员会依据上述方法计算，除计算差错外，确认后的评分基准</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4"/>
          <w:sz w:val="24"/>
          <w:szCs w:val="24"/>
          <w:highlight w:val="none"/>
        </w:rPr>
        <w:t>价在本次招标期间保持不变。</w:t>
      </w:r>
    </w:p>
    <w:p w14:paraId="7B533B46">
      <w:pPr>
        <w:spacing w:line="359" w:lineRule="auto"/>
        <w:ind w:left="10" w:right="86"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计算差错，仅限于以下两种情况</w:t>
      </w:r>
      <w:r>
        <w:rPr>
          <w:rFonts w:ascii="宋体" w:hAnsi="宋体" w:eastAsia="宋体" w:cs="宋体"/>
          <w:strike/>
          <w:dstrike w:val="0"/>
          <w:color w:val="auto"/>
          <w:spacing w:val="-40"/>
          <w:sz w:val="24"/>
          <w:szCs w:val="24"/>
          <w:highlight w:val="none"/>
        </w:rPr>
        <w:t>：（</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）纯算术性四则运算差错</w:t>
      </w:r>
      <w:r>
        <w:rPr>
          <w:rFonts w:ascii="宋体" w:hAnsi="宋体" w:eastAsia="宋体" w:cs="宋体"/>
          <w:strike/>
          <w:dstrike w:val="0"/>
          <w:color w:val="auto"/>
          <w:spacing w:val="-40"/>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）未按约定</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6"/>
          <w:sz w:val="24"/>
          <w:szCs w:val="24"/>
          <w:highlight w:val="none"/>
        </w:rPr>
        <w:t>的计算方法，多计或者少计投标人报价的。由于评标差错导致否决投标错误， 重新评</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3"/>
          <w:sz w:val="24"/>
          <w:szCs w:val="24"/>
          <w:highlight w:val="none"/>
        </w:rPr>
        <w:t>标纠正等情况，不属于计算差错。</w:t>
      </w:r>
    </w:p>
    <w:p w14:paraId="631A676D">
      <w:pPr>
        <w:spacing w:line="359" w:lineRule="auto"/>
        <w:ind w:left="10" w:right="85" w:firstLine="53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2"/>
          <w:sz w:val="24"/>
          <w:szCs w:val="24"/>
          <w:highlight w:val="none"/>
        </w:rPr>
        <w:t>2</w:t>
      </w:r>
      <w:r>
        <w:rPr>
          <w:rFonts w:ascii="Times New Roman" w:hAnsi="Times New Roman" w:eastAsia="Times New Roman" w:cs="Times New Roman"/>
          <w:strike/>
          <w:dstrike w:val="0"/>
          <w:color w:val="auto"/>
          <w:spacing w:val="-29"/>
          <w:sz w:val="24"/>
          <w:szCs w:val="24"/>
          <w:highlight w:val="none"/>
        </w:rPr>
        <w:t xml:space="preserve"> </w:t>
      </w:r>
      <w:r>
        <w:rPr>
          <w:rFonts w:ascii="宋体" w:hAnsi="宋体" w:eastAsia="宋体" w:cs="宋体"/>
          <w:strike/>
          <w:dstrike w:val="0"/>
          <w:color w:val="auto"/>
          <w:spacing w:val="-2"/>
          <w:sz w:val="24"/>
          <w:szCs w:val="24"/>
          <w:highlight w:val="none"/>
        </w:rPr>
        <w:t>．报价评分值的计算：以评分基准价为基础，将各投标人的评标价与评分基准</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价比较，计算出偏离基准价的百分数后，再进行计分。即：</w:t>
      </w:r>
    </w:p>
    <w:p w14:paraId="4A3130C6">
      <w:pPr>
        <w:spacing w:line="218" w:lineRule="auto"/>
        <w:ind w:left="47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a.  </w:t>
      </w:r>
      <w:r>
        <w:rPr>
          <w:rFonts w:ascii="宋体" w:hAnsi="宋体" w:eastAsia="宋体" w:cs="宋体"/>
          <w:strike/>
          <w:dstrike w:val="0"/>
          <w:color w:val="auto"/>
          <w:spacing w:val="-1"/>
          <w:sz w:val="24"/>
          <w:szCs w:val="24"/>
          <w:highlight w:val="none"/>
        </w:rPr>
        <w:t>投标评标价等于评分基准价时，得满分（</w:t>
      </w:r>
      <w:r>
        <w:rPr>
          <w:rFonts w:ascii="Times New Roman" w:hAnsi="Times New Roman" w:eastAsia="Times New Roman" w:cs="Times New Roman"/>
          <w:strike/>
          <w:dstrike w:val="0"/>
          <w:color w:val="auto"/>
          <w:spacing w:val="-1"/>
          <w:sz w:val="24"/>
          <w:szCs w:val="24"/>
          <w:highlight w:val="none"/>
          <w:u w:val="single" w:color="auto"/>
        </w:rPr>
        <w:t xml:space="preserve">  97  </w:t>
      </w:r>
      <w:r>
        <w:rPr>
          <w:rFonts w:ascii="宋体" w:hAnsi="宋体" w:eastAsia="宋体" w:cs="宋体"/>
          <w:strike/>
          <w:dstrike w:val="0"/>
          <w:color w:val="auto"/>
          <w:spacing w:val="-1"/>
          <w:sz w:val="24"/>
          <w:szCs w:val="24"/>
          <w:highlight w:val="none"/>
        </w:rPr>
        <w:t>分）。</w:t>
      </w:r>
    </w:p>
    <w:p w14:paraId="50561F4C">
      <w:pPr>
        <w:spacing w:before="184" w:line="279" w:lineRule="auto"/>
        <w:ind w:left="56" w:right="85" w:firstLine="41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3"/>
          <w:sz w:val="24"/>
          <w:szCs w:val="24"/>
          <w:highlight w:val="none"/>
        </w:rPr>
        <w:t xml:space="preserve">b.  </w:t>
      </w:r>
      <w:r>
        <w:rPr>
          <w:rFonts w:ascii="宋体" w:hAnsi="宋体" w:eastAsia="宋体" w:cs="宋体"/>
          <w:strike/>
          <w:dstrike w:val="0"/>
          <w:color w:val="auto"/>
          <w:spacing w:val="-13"/>
          <w:sz w:val="24"/>
          <w:szCs w:val="24"/>
          <w:highlight w:val="none"/>
        </w:rPr>
        <w:t>投标评标价每低于评分基准价</w:t>
      </w:r>
      <w:r>
        <w:rPr>
          <w:rFonts w:ascii="宋体" w:hAnsi="宋体" w:eastAsia="宋体" w:cs="宋体"/>
          <w:strike/>
          <w:dstrike w:val="0"/>
          <w:color w:val="auto"/>
          <w:spacing w:val="-39"/>
          <w:sz w:val="24"/>
          <w:szCs w:val="24"/>
          <w:highlight w:val="none"/>
        </w:rPr>
        <w:t xml:space="preserve"> </w:t>
      </w:r>
      <w:r>
        <w:rPr>
          <w:rFonts w:ascii="Times New Roman" w:hAnsi="Times New Roman" w:eastAsia="Times New Roman" w:cs="Times New Roman"/>
          <w:strike/>
          <w:dstrike w:val="0"/>
          <w:color w:val="auto"/>
          <w:spacing w:val="-13"/>
          <w:sz w:val="24"/>
          <w:szCs w:val="24"/>
          <w:highlight w:val="none"/>
        </w:rPr>
        <w:t xml:space="preserve">1 </w:t>
      </w:r>
      <w:r>
        <w:rPr>
          <w:rFonts w:ascii="宋体" w:hAnsi="宋体" w:eastAsia="宋体" w:cs="宋体"/>
          <w:strike/>
          <w:dstrike w:val="0"/>
          <w:color w:val="auto"/>
          <w:spacing w:val="-13"/>
          <w:sz w:val="24"/>
          <w:szCs w:val="24"/>
          <w:highlight w:val="none"/>
        </w:rPr>
        <w:t>个百分点，扣</w:t>
      </w:r>
      <w:r>
        <w:rPr>
          <w:rFonts w:ascii="宋体" w:hAnsi="宋体" w:eastAsia="宋体" w:cs="宋体"/>
          <w:strike/>
          <w:dstrike w:val="0"/>
          <w:color w:val="auto"/>
          <w:spacing w:val="-13"/>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3"/>
          <w:sz w:val="24"/>
          <w:szCs w:val="24"/>
          <w:highlight w:val="none"/>
        </w:rPr>
        <w:t>分。（</w:t>
      </w:r>
      <w:r>
        <w:rPr>
          <w:rFonts w:ascii="宋体" w:hAnsi="宋体" w:eastAsia="宋体" w:cs="宋体"/>
          <w:strike/>
          <w:dstrike w:val="0"/>
          <w:color w:val="auto"/>
          <w:spacing w:val="-53"/>
          <w:sz w:val="24"/>
          <w:szCs w:val="24"/>
          <w:highlight w:val="none"/>
        </w:rPr>
        <w:t xml:space="preserve"> </w:t>
      </w:r>
      <w:r>
        <w:rPr>
          <w:rFonts w:ascii="宋体" w:hAnsi="宋体" w:eastAsia="宋体" w:cs="宋体"/>
          <w:i/>
          <w:iCs/>
          <w:strike/>
          <w:dstrike w:val="0"/>
          <w:color w:val="auto"/>
          <w:spacing w:val="-13"/>
          <w:sz w:val="25"/>
          <w:szCs w:val="25"/>
          <w:highlight w:val="none"/>
        </w:rPr>
        <w:t>扣分区间由招标人</w:t>
      </w:r>
      <w:r>
        <w:rPr>
          <w:rFonts w:ascii="宋体" w:hAnsi="宋体" w:eastAsia="宋体" w:cs="宋体"/>
          <w:strike/>
          <w:dstrike w:val="0"/>
          <w:color w:val="auto"/>
          <w:spacing w:val="-67"/>
          <w:sz w:val="25"/>
          <w:szCs w:val="25"/>
          <w:highlight w:val="none"/>
        </w:rPr>
        <w:t xml:space="preserve"> </w:t>
      </w:r>
      <w:r>
        <w:rPr>
          <w:rFonts w:ascii="Times New Roman" w:hAnsi="Times New Roman" w:eastAsia="Times New Roman" w:cs="Times New Roman"/>
          <w:i/>
          <w:iCs/>
          <w:strike/>
          <w:dstrike w:val="0"/>
          <w:color w:val="auto"/>
          <w:spacing w:val="-13"/>
          <w:sz w:val="24"/>
          <w:szCs w:val="24"/>
          <w:highlight w:val="none"/>
        </w:rPr>
        <w:t>0.5~1</w:t>
      </w:r>
      <w:r>
        <w:rPr>
          <w:rFonts w:ascii="Times New Roman" w:hAnsi="Times New Roman" w:eastAsia="Times New Roman" w:cs="Times New Roman"/>
          <w:i/>
          <w:iCs/>
          <w:strike/>
          <w:dstrike w:val="0"/>
          <w:color w:val="auto"/>
          <w:sz w:val="24"/>
          <w:szCs w:val="24"/>
          <w:highlight w:val="none"/>
        </w:rPr>
        <w:t xml:space="preserve"> </w:t>
      </w:r>
      <w:r>
        <w:rPr>
          <w:rFonts w:ascii="宋体" w:hAnsi="宋体" w:eastAsia="宋体" w:cs="宋体"/>
          <w:i/>
          <w:iCs/>
          <w:strike/>
          <w:dstrike w:val="0"/>
          <w:color w:val="auto"/>
          <w:spacing w:val="-15"/>
          <w:sz w:val="25"/>
          <w:szCs w:val="25"/>
          <w:highlight w:val="none"/>
        </w:rPr>
        <w:t>之间自行确定</w:t>
      </w:r>
      <w:r>
        <w:rPr>
          <w:rFonts w:ascii="宋体" w:hAnsi="宋体" w:eastAsia="宋体" w:cs="宋体"/>
          <w:strike/>
          <w:dstrike w:val="0"/>
          <w:color w:val="auto"/>
          <w:spacing w:val="-15"/>
          <w:sz w:val="24"/>
          <w:szCs w:val="24"/>
          <w:highlight w:val="none"/>
        </w:rPr>
        <w:t>）</w:t>
      </w:r>
    </w:p>
    <w:p w14:paraId="51F15BC6">
      <w:pPr>
        <w:spacing w:before="180" w:line="278" w:lineRule="auto"/>
        <w:ind w:left="81" w:right="83" w:firstLine="39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3"/>
          <w:sz w:val="24"/>
          <w:szCs w:val="24"/>
          <w:highlight w:val="none"/>
        </w:rPr>
        <w:t xml:space="preserve">c.  </w:t>
      </w:r>
      <w:r>
        <w:rPr>
          <w:rFonts w:ascii="宋体" w:hAnsi="宋体" w:eastAsia="宋体" w:cs="宋体"/>
          <w:strike/>
          <w:dstrike w:val="0"/>
          <w:color w:val="auto"/>
          <w:spacing w:val="-13"/>
          <w:sz w:val="24"/>
          <w:szCs w:val="24"/>
          <w:highlight w:val="none"/>
        </w:rPr>
        <w:t>投标评标价每高于评分基准价</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strike/>
          <w:dstrike w:val="0"/>
          <w:color w:val="auto"/>
          <w:spacing w:val="-13"/>
          <w:sz w:val="24"/>
          <w:szCs w:val="24"/>
          <w:highlight w:val="none"/>
        </w:rPr>
        <w:t xml:space="preserve">1 </w:t>
      </w:r>
      <w:r>
        <w:rPr>
          <w:rFonts w:ascii="宋体" w:hAnsi="宋体" w:eastAsia="宋体" w:cs="宋体"/>
          <w:strike/>
          <w:dstrike w:val="0"/>
          <w:color w:val="auto"/>
          <w:spacing w:val="-13"/>
          <w:sz w:val="24"/>
          <w:szCs w:val="24"/>
          <w:highlight w:val="none"/>
        </w:rPr>
        <w:t>个百分点，扣</w:t>
      </w:r>
      <w:r>
        <w:rPr>
          <w:rFonts w:ascii="宋体" w:hAnsi="宋体" w:eastAsia="宋体" w:cs="宋体"/>
          <w:strike/>
          <w:dstrike w:val="0"/>
          <w:color w:val="auto"/>
          <w:spacing w:val="-13"/>
          <w:sz w:val="24"/>
          <w:szCs w:val="24"/>
          <w:highlight w:val="none"/>
          <w:u w:val="single" w:color="auto"/>
        </w:rPr>
        <w:t xml:space="preserve">   </w:t>
      </w:r>
      <w:r>
        <w:rPr>
          <w:rFonts w:ascii="宋体" w:hAnsi="宋体" w:eastAsia="宋体" w:cs="宋体"/>
          <w:strike/>
          <w:dstrike w:val="0"/>
          <w:color w:val="auto"/>
          <w:spacing w:val="-107"/>
          <w:sz w:val="24"/>
          <w:szCs w:val="24"/>
          <w:highlight w:val="none"/>
        </w:rPr>
        <w:t xml:space="preserve"> </w:t>
      </w:r>
      <w:r>
        <w:rPr>
          <w:rFonts w:ascii="宋体" w:hAnsi="宋体" w:eastAsia="宋体" w:cs="宋体"/>
          <w:strike/>
          <w:dstrike w:val="0"/>
          <w:color w:val="auto"/>
          <w:spacing w:val="-13"/>
          <w:sz w:val="24"/>
          <w:szCs w:val="24"/>
          <w:highlight w:val="none"/>
        </w:rPr>
        <w:t>分。（</w:t>
      </w:r>
      <w:r>
        <w:rPr>
          <w:rFonts w:ascii="宋体" w:hAnsi="宋体" w:eastAsia="宋体" w:cs="宋体"/>
          <w:strike/>
          <w:dstrike w:val="0"/>
          <w:color w:val="auto"/>
          <w:spacing w:val="-54"/>
          <w:sz w:val="24"/>
          <w:szCs w:val="24"/>
          <w:highlight w:val="none"/>
        </w:rPr>
        <w:t xml:space="preserve"> </w:t>
      </w:r>
      <w:r>
        <w:rPr>
          <w:rFonts w:ascii="宋体" w:hAnsi="宋体" w:eastAsia="宋体" w:cs="宋体"/>
          <w:i/>
          <w:iCs/>
          <w:strike/>
          <w:dstrike w:val="0"/>
          <w:color w:val="auto"/>
          <w:spacing w:val="-13"/>
          <w:sz w:val="25"/>
          <w:szCs w:val="25"/>
          <w:highlight w:val="none"/>
        </w:rPr>
        <w:t>扣分区间由招标人</w:t>
      </w:r>
      <w:r>
        <w:rPr>
          <w:rFonts w:ascii="宋体" w:hAnsi="宋体" w:eastAsia="宋体" w:cs="宋体"/>
          <w:strike/>
          <w:dstrike w:val="0"/>
          <w:color w:val="auto"/>
          <w:spacing w:val="-62"/>
          <w:sz w:val="25"/>
          <w:szCs w:val="25"/>
          <w:highlight w:val="none"/>
        </w:rPr>
        <w:t xml:space="preserve"> </w:t>
      </w:r>
      <w:r>
        <w:rPr>
          <w:rFonts w:ascii="Times New Roman" w:hAnsi="Times New Roman" w:eastAsia="Times New Roman" w:cs="Times New Roman"/>
          <w:i/>
          <w:iCs/>
          <w:strike/>
          <w:dstrike w:val="0"/>
          <w:color w:val="auto"/>
          <w:spacing w:val="-13"/>
          <w:sz w:val="24"/>
          <w:szCs w:val="24"/>
          <w:highlight w:val="none"/>
        </w:rPr>
        <w:t>1~1.5</w:t>
      </w:r>
      <w:r>
        <w:rPr>
          <w:rFonts w:ascii="Times New Roman" w:hAnsi="Times New Roman" w:eastAsia="Times New Roman" w:cs="Times New Roman"/>
          <w:i/>
          <w:iCs/>
          <w:strike/>
          <w:dstrike w:val="0"/>
          <w:color w:val="auto"/>
          <w:sz w:val="24"/>
          <w:szCs w:val="24"/>
          <w:highlight w:val="none"/>
        </w:rPr>
        <w:t xml:space="preserve"> </w:t>
      </w:r>
      <w:r>
        <w:rPr>
          <w:rFonts w:ascii="宋体" w:hAnsi="宋体" w:eastAsia="宋体" w:cs="宋体"/>
          <w:i/>
          <w:iCs/>
          <w:strike/>
          <w:dstrike w:val="0"/>
          <w:color w:val="auto"/>
          <w:spacing w:val="-15"/>
          <w:sz w:val="25"/>
          <w:szCs w:val="25"/>
          <w:highlight w:val="none"/>
        </w:rPr>
        <w:t>之间自行确定，且大于等于</w:t>
      </w:r>
      <w:r>
        <w:rPr>
          <w:rFonts w:ascii="宋体" w:hAnsi="宋体" w:eastAsia="宋体" w:cs="宋体"/>
          <w:strike/>
          <w:dstrike w:val="0"/>
          <w:color w:val="auto"/>
          <w:spacing w:val="-32"/>
          <w:sz w:val="25"/>
          <w:szCs w:val="25"/>
          <w:highlight w:val="none"/>
        </w:rPr>
        <w:t xml:space="preserve"> </w:t>
      </w:r>
      <w:r>
        <w:rPr>
          <w:rFonts w:ascii="Times New Roman" w:hAnsi="Times New Roman" w:eastAsia="Times New Roman" w:cs="Times New Roman"/>
          <w:i/>
          <w:iCs/>
          <w:strike/>
          <w:dstrike w:val="0"/>
          <w:color w:val="auto"/>
          <w:spacing w:val="-15"/>
          <w:sz w:val="24"/>
          <w:szCs w:val="24"/>
          <w:highlight w:val="none"/>
        </w:rPr>
        <w:t>b</w:t>
      </w:r>
      <w:r>
        <w:rPr>
          <w:rFonts w:ascii="Times New Roman" w:hAnsi="Times New Roman" w:eastAsia="Times New Roman" w:cs="Times New Roman"/>
          <w:i/>
          <w:iCs/>
          <w:strike/>
          <w:dstrike w:val="0"/>
          <w:color w:val="auto"/>
          <w:spacing w:val="47"/>
          <w:sz w:val="24"/>
          <w:szCs w:val="24"/>
          <w:highlight w:val="none"/>
        </w:rPr>
        <w:t xml:space="preserve"> </w:t>
      </w:r>
      <w:r>
        <w:rPr>
          <w:rFonts w:ascii="宋体" w:hAnsi="宋体" w:eastAsia="宋体" w:cs="宋体"/>
          <w:i/>
          <w:iCs/>
          <w:strike/>
          <w:dstrike w:val="0"/>
          <w:color w:val="auto"/>
          <w:spacing w:val="-15"/>
          <w:sz w:val="25"/>
          <w:szCs w:val="25"/>
          <w:highlight w:val="none"/>
        </w:rPr>
        <w:t>款扣分值</w:t>
      </w:r>
      <w:r>
        <w:rPr>
          <w:rFonts w:ascii="宋体" w:hAnsi="宋体" w:eastAsia="宋体" w:cs="宋体"/>
          <w:strike/>
          <w:dstrike w:val="0"/>
          <w:color w:val="auto"/>
          <w:spacing w:val="-73"/>
          <w:sz w:val="25"/>
          <w:szCs w:val="25"/>
          <w:highlight w:val="none"/>
        </w:rPr>
        <w:t xml:space="preserve"> </w:t>
      </w:r>
      <w:r>
        <w:rPr>
          <w:rFonts w:ascii="Times New Roman" w:hAnsi="Times New Roman" w:eastAsia="Times New Roman" w:cs="Times New Roman"/>
          <w:i/>
          <w:iCs/>
          <w:strike/>
          <w:dstrike w:val="0"/>
          <w:color w:val="auto"/>
          <w:spacing w:val="-15"/>
          <w:sz w:val="24"/>
          <w:szCs w:val="24"/>
          <w:highlight w:val="none"/>
        </w:rPr>
        <w:t>0.5</w:t>
      </w:r>
      <w:r>
        <w:rPr>
          <w:rFonts w:ascii="宋体" w:hAnsi="宋体" w:eastAsia="宋体" w:cs="宋体"/>
          <w:strike/>
          <w:dstrike w:val="0"/>
          <w:color w:val="auto"/>
          <w:spacing w:val="-15"/>
          <w:sz w:val="24"/>
          <w:szCs w:val="24"/>
          <w:highlight w:val="none"/>
        </w:rPr>
        <w:t>）</w:t>
      </w:r>
    </w:p>
    <w:p w14:paraId="6FAB305A">
      <w:pPr>
        <w:spacing w:before="180" w:line="356" w:lineRule="auto"/>
        <w:ind w:left="31" w:right="84" w:firstLine="54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以上评分计算过程保留小数</w:t>
      </w:r>
      <w:r>
        <w:rPr>
          <w:rFonts w:ascii="Times New Roman" w:hAnsi="Times New Roman" w:eastAsia="Times New Roman" w:cs="Times New Roman"/>
          <w:strike/>
          <w:dstrike w:val="0"/>
          <w:color w:val="auto"/>
          <w:spacing w:val="-5"/>
          <w:sz w:val="24"/>
          <w:szCs w:val="24"/>
          <w:highlight w:val="none"/>
        </w:rPr>
        <w:t>3</w:t>
      </w:r>
      <w:r>
        <w:rPr>
          <w:rFonts w:ascii="宋体" w:hAnsi="宋体" w:eastAsia="宋体" w:cs="宋体"/>
          <w:strike/>
          <w:dstrike w:val="0"/>
          <w:color w:val="auto"/>
          <w:spacing w:val="-5"/>
          <w:sz w:val="24"/>
          <w:szCs w:val="24"/>
          <w:highlight w:val="none"/>
        </w:rPr>
        <w:t>位，第</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位四舍五入，最终结果保留小数</w:t>
      </w:r>
      <w:r>
        <w:rPr>
          <w:rFonts w:ascii="Times New Roman" w:hAnsi="Times New Roman" w:eastAsia="Times New Roman" w:cs="Times New Roman"/>
          <w:strike/>
          <w:dstrike w:val="0"/>
          <w:color w:val="auto"/>
          <w:spacing w:val="-5"/>
          <w:sz w:val="24"/>
          <w:szCs w:val="24"/>
          <w:highlight w:val="none"/>
        </w:rPr>
        <w:t>2</w:t>
      </w:r>
      <w:r>
        <w:rPr>
          <w:rFonts w:ascii="宋体" w:hAnsi="宋体" w:eastAsia="宋体" w:cs="宋体"/>
          <w:strike/>
          <w:dstrike w:val="0"/>
          <w:color w:val="auto"/>
          <w:spacing w:val="-5"/>
          <w:sz w:val="24"/>
          <w:szCs w:val="24"/>
          <w:highlight w:val="none"/>
        </w:rPr>
        <w:t>位</w:t>
      </w:r>
      <w:r>
        <w:rPr>
          <w:rFonts w:ascii="宋体" w:hAnsi="宋体" w:eastAsia="宋体" w:cs="宋体"/>
          <w:strike/>
          <w:dstrike w:val="0"/>
          <w:color w:val="auto"/>
          <w:spacing w:val="-6"/>
          <w:sz w:val="24"/>
          <w:szCs w:val="24"/>
          <w:highlight w:val="none"/>
        </w:rPr>
        <w:t>，第</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四舍五入，评分不足一个百分点时，使用直线插入法</w:t>
      </w:r>
      <w:r>
        <w:rPr>
          <w:rFonts w:ascii="宋体" w:hAnsi="宋体" w:eastAsia="宋体" w:cs="宋体"/>
          <w:strike/>
          <w:dstrike w:val="0"/>
          <w:color w:val="auto"/>
          <w:spacing w:val="-10"/>
          <w:sz w:val="24"/>
          <w:szCs w:val="24"/>
          <w:highlight w:val="none"/>
        </w:rPr>
        <w:t>计算。商务报价评分最低分</w:t>
      </w:r>
      <w:r>
        <w:rPr>
          <w:rFonts w:ascii="宋体" w:hAnsi="宋体" w:eastAsia="宋体" w:cs="宋体"/>
          <w:strike/>
          <w:dstrike w:val="0"/>
          <w:color w:val="auto"/>
          <w:spacing w:val="-10"/>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0"/>
          <w:sz w:val="24"/>
          <w:szCs w:val="24"/>
          <w:highlight w:val="none"/>
        </w:rPr>
        <w:t>分</w:t>
      </w:r>
      <w:r>
        <w:rPr>
          <w:rFonts w:ascii="宋体" w:hAnsi="宋体" w:eastAsia="宋体" w:cs="宋体"/>
          <w:strike/>
          <w:dstrike w:val="0"/>
          <w:color w:val="auto"/>
          <w:sz w:val="24"/>
          <w:szCs w:val="24"/>
          <w:highlight w:val="none"/>
        </w:rPr>
        <w:t xml:space="preserve"> </w:t>
      </w:r>
      <w:r>
        <w:rPr>
          <w:rFonts w:ascii="宋体" w:hAnsi="宋体" w:eastAsia="宋体" w:cs="宋体"/>
          <w:i/>
          <w:iCs/>
          <w:strike/>
          <w:dstrike w:val="0"/>
          <w:color w:val="auto"/>
          <w:spacing w:val="-7"/>
          <w:sz w:val="25"/>
          <w:szCs w:val="25"/>
          <w:highlight w:val="none"/>
        </w:rPr>
        <w:t>（不得低于</w:t>
      </w:r>
      <w:r>
        <w:rPr>
          <w:rFonts w:ascii="Times New Roman" w:hAnsi="Times New Roman" w:eastAsia="Times New Roman" w:cs="Times New Roman"/>
          <w:i/>
          <w:iCs/>
          <w:strike/>
          <w:dstrike w:val="0"/>
          <w:color w:val="auto"/>
          <w:spacing w:val="-7"/>
          <w:sz w:val="24"/>
          <w:szCs w:val="24"/>
          <w:highlight w:val="none"/>
        </w:rPr>
        <w:t>50</w:t>
      </w:r>
      <w:r>
        <w:rPr>
          <w:rFonts w:ascii="宋体" w:hAnsi="宋体" w:eastAsia="宋体" w:cs="宋体"/>
          <w:i/>
          <w:iCs/>
          <w:strike/>
          <w:dstrike w:val="0"/>
          <w:color w:val="auto"/>
          <w:spacing w:val="-7"/>
          <w:sz w:val="25"/>
          <w:szCs w:val="25"/>
          <w:highlight w:val="none"/>
        </w:rPr>
        <w:t>分）</w:t>
      </w:r>
      <w:r>
        <w:rPr>
          <w:rFonts w:ascii="宋体" w:hAnsi="宋体" w:eastAsia="宋体" w:cs="宋体"/>
          <w:strike/>
          <w:dstrike w:val="0"/>
          <w:color w:val="auto"/>
          <w:spacing w:val="-7"/>
          <w:sz w:val="24"/>
          <w:szCs w:val="24"/>
          <w:highlight w:val="none"/>
        </w:rPr>
        <w:t>。</w:t>
      </w:r>
    </w:p>
    <w:p w14:paraId="0205B718">
      <w:pPr>
        <w:spacing w:line="356" w:lineRule="auto"/>
        <w:rPr>
          <w:rFonts w:ascii="宋体" w:hAnsi="宋体" w:eastAsia="宋体" w:cs="宋体"/>
          <w:strike/>
          <w:dstrike w:val="0"/>
          <w:color w:val="auto"/>
          <w:sz w:val="24"/>
          <w:szCs w:val="24"/>
          <w:highlight w:val="none"/>
        </w:rPr>
        <w:sectPr>
          <w:footerReference r:id="rId30" w:type="default"/>
          <w:pgSz w:w="11905" w:h="16840"/>
          <w:pgMar w:top="1428" w:right="1444" w:bottom="1255" w:left="1587" w:header="0" w:footer="1093" w:gutter="0"/>
          <w:pgNumType w:fmt="decimal"/>
          <w:cols w:space="720" w:num="1"/>
        </w:sectPr>
      </w:pPr>
    </w:p>
    <w:p w14:paraId="4CF99549">
      <w:pPr>
        <w:spacing w:before="50" w:line="223"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  </w:t>
      </w:r>
      <w:r>
        <w:rPr>
          <w:rFonts w:ascii="楷体" w:hAnsi="楷体" w:eastAsia="楷体" w:cs="楷体"/>
          <w:b/>
          <w:bCs/>
          <w:strike/>
          <w:dstrike w:val="0"/>
          <w:color w:val="auto"/>
          <w:spacing w:val="-2"/>
          <w:sz w:val="24"/>
          <w:szCs w:val="24"/>
          <w:highlight w:val="none"/>
        </w:rPr>
        <w:t>投标文件的资信评审</w:t>
      </w:r>
    </w:p>
    <w:p w14:paraId="697066EE">
      <w:pPr>
        <w:spacing w:before="318" w:line="369" w:lineRule="auto"/>
        <w:ind w:left="30" w:right="236" w:firstLine="47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投标文件的资信评审包括投标人的诚信、企业信用等级。</w:t>
      </w:r>
      <w:r>
        <w:rPr>
          <w:rFonts w:ascii="宋体" w:hAnsi="宋体" w:eastAsia="宋体" w:cs="宋体"/>
          <w:strike/>
          <w:dstrike w:val="0"/>
          <w:color w:val="auto"/>
          <w:spacing w:val="-4"/>
          <w:sz w:val="24"/>
          <w:szCs w:val="24"/>
          <w:highlight w:val="none"/>
        </w:rPr>
        <w:t>评标委员会全体成员查</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阅投标文件及相关证明材料并进行集体讨论后</w:t>
      </w:r>
      <w:r>
        <w:rPr>
          <w:rFonts w:ascii="宋体" w:hAnsi="宋体" w:eastAsia="宋体" w:cs="宋体"/>
          <w:strike/>
          <w:dstrike w:val="0"/>
          <w:color w:val="auto"/>
          <w:spacing w:val="-3"/>
          <w:sz w:val="24"/>
          <w:szCs w:val="24"/>
          <w:highlight w:val="none"/>
        </w:rPr>
        <w:t>统一评分。</w:t>
      </w:r>
    </w:p>
    <w:p w14:paraId="41EF12AA">
      <w:pPr>
        <w:spacing w:before="1" w:line="218" w:lineRule="auto"/>
        <w:ind w:left="48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 投标人诚信（采用扣分法，扣分不设分值限定，以实际次数扣分</w:t>
      </w:r>
      <w:r>
        <w:rPr>
          <w:rFonts w:ascii="宋体" w:hAnsi="宋体" w:eastAsia="宋体" w:cs="宋体"/>
          <w:strike/>
          <w:dstrike w:val="0"/>
          <w:color w:val="auto"/>
          <w:spacing w:val="4"/>
          <w:sz w:val="24"/>
          <w:szCs w:val="24"/>
          <w:highlight w:val="none"/>
        </w:rPr>
        <w:t>）：</w:t>
      </w:r>
    </w:p>
    <w:p w14:paraId="619D50A2">
      <w:pPr>
        <w:spacing w:before="196" w:line="369" w:lineRule="auto"/>
        <w:ind w:left="8" w:right="234" w:firstLine="48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投标人在投标截止时间前被浙江省发展改革委作出行政处罚决定且在公告期限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0"/>
          <w:sz w:val="24"/>
          <w:szCs w:val="24"/>
          <w:highlight w:val="none"/>
        </w:rPr>
        <w:t xml:space="preserve">内的，每次扣 </w:t>
      </w:r>
      <w:r>
        <w:rPr>
          <w:rFonts w:ascii="Times New Roman" w:hAnsi="Times New Roman" w:eastAsia="Times New Roman" w:cs="Times New Roman"/>
          <w:strike/>
          <w:dstrike w:val="0"/>
          <w:color w:val="auto"/>
          <w:spacing w:val="-20"/>
          <w:sz w:val="24"/>
          <w:szCs w:val="24"/>
          <w:highlight w:val="none"/>
        </w:rPr>
        <w:t>1</w:t>
      </w:r>
      <w:r>
        <w:rPr>
          <w:rFonts w:ascii="宋体" w:hAnsi="宋体" w:eastAsia="宋体" w:cs="宋体"/>
          <w:strike/>
          <w:dstrike w:val="0"/>
          <w:color w:val="auto"/>
          <w:spacing w:val="-20"/>
          <w:sz w:val="24"/>
          <w:szCs w:val="24"/>
          <w:highlight w:val="none"/>
        </w:rPr>
        <w:t>分；以浙江政务服务网行政处罚结果信息公开内容为准，时间以省</w:t>
      </w:r>
      <w:r>
        <w:rPr>
          <w:rFonts w:ascii="宋体" w:hAnsi="宋体" w:eastAsia="宋体" w:cs="宋体"/>
          <w:strike/>
          <w:dstrike w:val="0"/>
          <w:color w:val="auto"/>
          <w:spacing w:val="-21"/>
          <w:sz w:val="24"/>
          <w:szCs w:val="24"/>
          <w:highlight w:val="none"/>
        </w:rPr>
        <w:t>发展改革</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委作出处理决定的时间为准。</w:t>
      </w:r>
    </w:p>
    <w:p w14:paraId="26C36FDF">
      <w:pPr>
        <w:spacing w:line="219" w:lineRule="auto"/>
        <w:ind w:left="48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、企业信用等级最高评分为</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分，具体分值见下表：</w:t>
      </w:r>
    </w:p>
    <w:p w14:paraId="7E22B692">
      <w:pPr>
        <w:spacing w:before="7"/>
        <w:rPr>
          <w:strike/>
          <w:dstrike w:val="0"/>
          <w:color w:val="auto"/>
          <w:highlight w:val="none"/>
        </w:rPr>
      </w:pPr>
    </w:p>
    <w:p w14:paraId="62672A1A">
      <w:pPr>
        <w:spacing w:before="7"/>
        <w:rPr>
          <w:strike/>
          <w:dstrike w:val="0"/>
          <w:color w:val="auto"/>
          <w:highlight w:val="none"/>
        </w:rPr>
      </w:pPr>
    </w:p>
    <w:tbl>
      <w:tblPr>
        <w:tblStyle w:val="16"/>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7217"/>
        <w:gridCol w:w="967"/>
      </w:tblGrid>
      <w:tr w14:paraId="36CB3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25" w:type="dxa"/>
            <w:tcBorders>
              <w:top w:val="single" w:color="000000" w:sz="6" w:space="0"/>
              <w:left w:val="single" w:color="000000" w:sz="6" w:space="0"/>
            </w:tcBorders>
            <w:vAlign w:val="top"/>
          </w:tcPr>
          <w:p w14:paraId="1E94FC95">
            <w:pPr>
              <w:pStyle w:val="17"/>
              <w:spacing w:before="126" w:line="221" w:lineRule="auto"/>
              <w:ind w:left="201"/>
              <w:rPr>
                <w:strike/>
                <w:dstrike w:val="0"/>
                <w:color w:val="auto"/>
                <w:sz w:val="21"/>
                <w:szCs w:val="21"/>
                <w:highlight w:val="none"/>
              </w:rPr>
            </w:pPr>
            <w:r>
              <w:rPr>
                <w:strike/>
                <w:dstrike w:val="0"/>
                <w:color w:val="auto"/>
                <w:spacing w:val="-2"/>
                <w:sz w:val="21"/>
                <w:szCs w:val="21"/>
                <w:highlight w:val="none"/>
              </w:rPr>
              <w:t>序号</w:t>
            </w:r>
          </w:p>
        </w:tc>
        <w:tc>
          <w:tcPr>
            <w:tcW w:w="7217" w:type="dxa"/>
            <w:tcBorders>
              <w:top w:val="single" w:color="000000" w:sz="6" w:space="0"/>
            </w:tcBorders>
            <w:vAlign w:val="top"/>
          </w:tcPr>
          <w:p w14:paraId="7D088067">
            <w:pPr>
              <w:pStyle w:val="17"/>
              <w:spacing w:before="125" w:line="220" w:lineRule="auto"/>
              <w:ind w:left="3219"/>
              <w:rPr>
                <w:strike/>
                <w:dstrike w:val="0"/>
                <w:color w:val="auto"/>
                <w:sz w:val="21"/>
                <w:szCs w:val="21"/>
                <w:highlight w:val="none"/>
              </w:rPr>
            </w:pPr>
            <w:r>
              <w:rPr>
                <w:strike/>
                <w:dstrike w:val="0"/>
                <w:color w:val="auto"/>
                <w:spacing w:val="-17"/>
                <w:sz w:val="21"/>
                <w:szCs w:val="21"/>
                <w:highlight w:val="none"/>
              </w:rPr>
              <w:t>内</w:t>
            </w:r>
            <w:r>
              <w:rPr>
                <w:strike/>
                <w:dstrike w:val="0"/>
                <w:color w:val="auto"/>
                <w:spacing w:val="2"/>
                <w:sz w:val="21"/>
                <w:szCs w:val="21"/>
                <w:highlight w:val="none"/>
              </w:rPr>
              <w:t xml:space="preserve">    </w:t>
            </w:r>
            <w:r>
              <w:rPr>
                <w:strike/>
                <w:dstrike w:val="0"/>
                <w:color w:val="auto"/>
                <w:spacing w:val="-17"/>
                <w:sz w:val="21"/>
                <w:szCs w:val="21"/>
                <w:highlight w:val="none"/>
              </w:rPr>
              <w:t>容</w:t>
            </w:r>
          </w:p>
        </w:tc>
        <w:tc>
          <w:tcPr>
            <w:tcW w:w="967" w:type="dxa"/>
            <w:tcBorders>
              <w:top w:val="single" w:color="000000" w:sz="6" w:space="0"/>
              <w:right w:val="single" w:color="000000" w:sz="6" w:space="0"/>
            </w:tcBorders>
            <w:vAlign w:val="top"/>
          </w:tcPr>
          <w:p w14:paraId="218FB42E">
            <w:pPr>
              <w:pStyle w:val="17"/>
              <w:spacing w:before="125" w:line="220" w:lineRule="auto"/>
              <w:ind w:left="282"/>
              <w:rPr>
                <w:strike/>
                <w:dstrike w:val="0"/>
                <w:color w:val="auto"/>
                <w:sz w:val="21"/>
                <w:szCs w:val="21"/>
                <w:highlight w:val="none"/>
              </w:rPr>
            </w:pPr>
            <w:r>
              <w:rPr>
                <w:strike/>
                <w:dstrike w:val="0"/>
                <w:color w:val="auto"/>
                <w:spacing w:val="-3"/>
                <w:sz w:val="21"/>
                <w:szCs w:val="21"/>
                <w:highlight w:val="none"/>
              </w:rPr>
              <w:t>得分</w:t>
            </w:r>
          </w:p>
        </w:tc>
      </w:tr>
      <w:tr w14:paraId="3FFC8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825" w:type="dxa"/>
            <w:tcBorders>
              <w:left w:val="single" w:color="000000" w:sz="6" w:space="0"/>
            </w:tcBorders>
            <w:vAlign w:val="top"/>
          </w:tcPr>
          <w:p w14:paraId="7DC72EF9">
            <w:pPr>
              <w:spacing w:line="278" w:lineRule="auto"/>
              <w:rPr>
                <w:rFonts w:ascii="Arial"/>
                <w:strike/>
                <w:dstrike w:val="0"/>
                <w:color w:val="auto"/>
                <w:sz w:val="21"/>
                <w:highlight w:val="none"/>
              </w:rPr>
            </w:pPr>
          </w:p>
          <w:p w14:paraId="0C9136B2">
            <w:pPr>
              <w:spacing w:before="60" w:line="188" w:lineRule="auto"/>
              <w:ind w:left="37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7217" w:type="dxa"/>
            <w:vAlign w:val="top"/>
          </w:tcPr>
          <w:p w14:paraId="7AAA87EF">
            <w:pPr>
              <w:pStyle w:val="17"/>
              <w:spacing w:before="30" w:line="229" w:lineRule="auto"/>
              <w:ind w:left="235" w:right="241" w:hanging="124"/>
              <w:rPr>
                <w:strike/>
                <w:dstrike w:val="0"/>
                <w:color w:val="auto"/>
                <w:sz w:val="22"/>
                <w:szCs w:val="22"/>
                <w:highlight w:val="none"/>
              </w:rPr>
            </w:pPr>
            <w:r>
              <w:rPr>
                <w:strike/>
                <w:dstrike w:val="0"/>
                <w:color w:val="auto"/>
                <w:spacing w:val="-15"/>
                <w:sz w:val="21"/>
                <w:szCs w:val="21"/>
                <w:highlight w:val="none"/>
              </w:rPr>
              <w:t>企业信用等级（</w:t>
            </w:r>
            <w:r>
              <w:rPr>
                <w:strike/>
                <w:dstrike w:val="0"/>
                <w:color w:val="auto"/>
                <w:spacing w:val="58"/>
                <w:sz w:val="21"/>
                <w:szCs w:val="21"/>
                <w:highlight w:val="none"/>
              </w:rPr>
              <w:t xml:space="preserve"> </w:t>
            </w:r>
            <w:r>
              <w:rPr>
                <w:i/>
                <w:iCs/>
                <w:strike/>
                <w:dstrike w:val="0"/>
                <w:color w:val="auto"/>
                <w:spacing w:val="-15"/>
                <w:sz w:val="22"/>
                <w:szCs w:val="22"/>
                <w:highlight w:val="none"/>
              </w:rPr>
              <w:t>由招标人自主选用全国水利建设市场监管服务平台公布的企</w:t>
            </w:r>
            <w:r>
              <w:rPr>
                <w:strike/>
                <w:dstrike w:val="0"/>
                <w:color w:val="auto"/>
                <w:sz w:val="22"/>
                <w:szCs w:val="22"/>
                <w:highlight w:val="none"/>
              </w:rPr>
              <w:t xml:space="preserve"> </w:t>
            </w:r>
            <w:r>
              <w:rPr>
                <w:i/>
                <w:iCs/>
                <w:strike/>
                <w:dstrike w:val="0"/>
                <w:color w:val="auto"/>
                <w:spacing w:val="-16"/>
                <w:sz w:val="22"/>
                <w:szCs w:val="22"/>
                <w:highlight w:val="none"/>
              </w:rPr>
              <w:t>业信用评价等级（施工类）或浙江省水利</w:t>
            </w:r>
            <w:r>
              <w:rPr>
                <w:i/>
                <w:iCs/>
                <w:strike/>
                <w:dstrike w:val="0"/>
                <w:color w:val="auto"/>
                <w:spacing w:val="-17"/>
                <w:sz w:val="22"/>
                <w:szCs w:val="22"/>
                <w:highlight w:val="none"/>
              </w:rPr>
              <w:t>建设市场信用评价等级（施工</w:t>
            </w:r>
          </w:p>
          <w:p w14:paraId="18E7CCDE">
            <w:pPr>
              <w:pStyle w:val="17"/>
              <w:spacing w:line="196" w:lineRule="auto"/>
              <w:ind w:left="183"/>
              <w:rPr>
                <w:strike/>
                <w:dstrike w:val="0"/>
                <w:color w:val="auto"/>
                <w:sz w:val="21"/>
                <w:szCs w:val="21"/>
                <w:highlight w:val="none"/>
              </w:rPr>
            </w:pPr>
            <w:r>
              <w:rPr>
                <w:i/>
                <w:iCs/>
                <w:strike/>
                <w:dstrike w:val="0"/>
                <w:color w:val="auto"/>
                <w:spacing w:val="-12"/>
                <w:sz w:val="22"/>
                <w:szCs w:val="22"/>
                <w:highlight w:val="none"/>
              </w:rPr>
              <w:t>类</w:t>
            </w:r>
            <w:r>
              <w:rPr>
                <w:i/>
                <w:iCs/>
                <w:strike/>
                <w:dstrike w:val="0"/>
                <w:color w:val="auto"/>
                <w:spacing w:val="-9"/>
                <w:sz w:val="22"/>
                <w:szCs w:val="22"/>
                <w:highlight w:val="none"/>
              </w:rPr>
              <w:t>），</w:t>
            </w:r>
            <w:r>
              <w:rPr>
                <w:i/>
                <w:iCs/>
                <w:strike/>
                <w:dstrike w:val="0"/>
                <w:color w:val="auto"/>
                <w:spacing w:val="-12"/>
                <w:sz w:val="22"/>
                <w:szCs w:val="22"/>
                <w:highlight w:val="none"/>
              </w:rPr>
              <w:t>并在此予以明确，本项最高得</w:t>
            </w:r>
            <w:r>
              <w:rPr>
                <w:rFonts w:ascii="Times New Roman" w:hAnsi="Times New Roman" w:eastAsia="Times New Roman" w:cs="Times New Roman"/>
                <w:i/>
                <w:iCs/>
                <w:strike/>
                <w:dstrike w:val="0"/>
                <w:color w:val="auto"/>
                <w:spacing w:val="-12"/>
                <w:sz w:val="21"/>
                <w:szCs w:val="21"/>
                <w:highlight w:val="none"/>
              </w:rPr>
              <w:t>3</w:t>
            </w:r>
            <w:r>
              <w:rPr>
                <w:i/>
                <w:iCs/>
                <w:strike/>
                <w:dstrike w:val="0"/>
                <w:color w:val="auto"/>
                <w:spacing w:val="-12"/>
                <w:sz w:val="22"/>
                <w:szCs w:val="22"/>
                <w:highlight w:val="none"/>
              </w:rPr>
              <w:t>分。</w:t>
            </w:r>
            <w:r>
              <w:rPr>
                <w:strike/>
                <w:dstrike w:val="0"/>
                <w:color w:val="auto"/>
                <w:spacing w:val="-12"/>
                <w:sz w:val="21"/>
                <w:szCs w:val="21"/>
                <w:highlight w:val="none"/>
              </w:rPr>
              <w:t>）</w:t>
            </w:r>
          </w:p>
        </w:tc>
        <w:tc>
          <w:tcPr>
            <w:tcW w:w="967" w:type="dxa"/>
            <w:tcBorders>
              <w:right w:val="single" w:color="000000" w:sz="6" w:space="0"/>
            </w:tcBorders>
            <w:vAlign w:val="top"/>
          </w:tcPr>
          <w:p w14:paraId="77280BC8">
            <w:pPr>
              <w:spacing w:line="278" w:lineRule="auto"/>
              <w:rPr>
                <w:rFonts w:ascii="Arial"/>
                <w:strike/>
                <w:dstrike w:val="0"/>
                <w:color w:val="auto"/>
                <w:sz w:val="21"/>
                <w:highlight w:val="none"/>
              </w:rPr>
            </w:pPr>
          </w:p>
          <w:p w14:paraId="357285C2">
            <w:pPr>
              <w:spacing w:before="60" w:line="188" w:lineRule="auto"/>
              <w:ind w:left="36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3.0</w:t>
            </w:r>
          </w:p>
        </w:tc>
      </w:tr>
      <w:tr w14:paraId="6AECE9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0B769039">
            <w:pPr>
              <w:pStyle w:val="17"/>
              <w:spacing w:before="124" w:line="232" w:lineRule="auto"/>
              <w:ind w:left="156"/>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1</w:t>
            </w:r>
            <w:r>
              <w:rPr>
                <w:strike/>
                <w:dstrike w:val="0"/>
                <w:color w:val="auto"/>
                <w:spacing w:val="-5"/>
                <w:sz w:val="21"/>
                <w:szCs w:val="21"/>
                <w:highlight w:val="none"/>
              </w:rPr>
              <w:t>）</w:t>
            </w:r>
          </w:p>
        </w:tc>
        <w:tc>
          <w:tcPr>
            <w:tcW w:w="7217" w:type="dxa"/>
            <w:vAlign w:val="top"/>
          </w:tcPr>
          <w:p w14:paraId="5D6D5842">
            <w:pPr>
              <w:pStyle w:val="17"/>
              <w:spacing w:before="123"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967" w:type="dxa"/>
            <w:tcBorders>
              <w:right w:val="single" w:color="000000" w:sz="6" w:space="0"/>
            </w:tcBorders>
            <w:vAlign w:val="top"/>
          </w:tcPr>
          <w:p w14:paraId="7F345E6F">
            <w:pPr>
              <w:rPr>
                <w:rFonts w:ascii="Arial"/>
                <w:strike/>
                <w:dstrike w:val="0"/>
                <w:color w:val="auto"/>
                <w:sz w:val="21"/>
                <w:highlight w:val="none"/>
              </w:rPr>
            </w:pPr>
          </w:p>
        </w:tc>
      </w:tr>
      <w:tr w14:paraId="714A7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029D75D1">
            <w:pPr>
              <w:rPr>
                <w:rFonts w:ascii="Arial"/>
                <w:strike/>
                <w:dstrike w:val="0"/>
                <w:color w:val="auto"/>
                <w:sz w:val="21"/>
                <w:highlight w:val="none"/>
              </w:rPr>
            </w:pPr>
          </w:p>
        </w:tc>
        <w:tc>
          <w:tcPr>
            <w:tcW w:w="7217" w:type="dxa"/>
            <w:vAlign w:val="top"/>
          </w:tcPr>
          <w:p w14:paraId="1101FA31">
            <w:pPr>
              <w:pStyle w:val="17"/>
              <w:spacing w:before="125"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967" w:type="dxa"/>
            <w:tcBorders>
              <w:right w:val="single" w:color="000000" w:sz="6" w:space="0"/>
            </w:tcBorders>
            <w:vAlign w:val="top"/>
          </w:tcPr>
          <w:p w14:paraId="3A093A9C">
            <w:pPr>
              <w:spacing w:before="162" w:line="188" w:lineRule="auto"/>
              <w:ind w:left="36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3.0</w:t>
            </w:r>
          </w:p>
        </w:tc>
      </w:tr>
      <w:tr w14:paraId="7AA89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5" w:type="dxa"/>
            <w:tcBorders>
              <w:left w:val="single" w:color="000000" w:sz="6" w:space="0"/>
            </w:tcBorders>
            <w:vAlign w:val="top"/>
          </w:tcPr>
          <w:p w14:paraId="6507C9C7">
            <w:pPr>
              <w:rPr>
                <w:rFonts w:ascii="Arial"/>
                <w:strike/>
                <w:dstrike w:val="0"/>
                <w:color w:val="auto"/>
                <w:sz w:val="21"/>
                <w:highlight w:val="none"/>
              </w:rPr>
            </w:pPr>
          </w:p>
        </w:tc>
        <w:tc>
          <w:tcPr>
            <w:tcW w:w="7217" w:type="dxa"/>
            <w:vAlign w:val="top"/>
          </w:tcPr>
          <w:p w14:paraId="4DF3BF34">
            <w:pPr>
              <w:pStyle w:val="17"/>
              <w:spacing w:before="126"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967" w:type="dxa"/>
            <w:tcBorders>
              <w:right w:val="single" w:color="000000" w:sz="6" w:space="0"/>
            </w:tcBorders>
            <w:vAlign w:val="top"/>
          </w:tcPr>
          <w:p w14:paraId="69201A49">
            <w:pPr>
              <w:spacing w:before="162" w:line="188" w:lineRule="auto"/>
              <w:ind w:left="35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1"/>
                <w:sz w:val="21"/>
                <w:szCs w:val="21"/>
                <w:highlight w:val="none"/>
              </w:rPr>
              <w:t>2.5</w:t>
            </w:r>
          </w:p>
        </w:tc>
      </w:tr>
      <w:tr w14:paraId="60095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2F37543D">
            <w:pPr>
              <w:rPr>
                <w:rFonts w:ascii="Arial"/>
                <w:strike/>
                <w:dstrike w:val="0"/>
                <w:color w:val="auto"/>
                <w:sz w:val="21"/>
                <w:highlight w:val="none"/>
              </w:rPr>
            </w:pPr>
          </w:p>
        </w:tc>
        <w:tc>
          <w:tcPr>
            <w:tcW w:w="7217" w:type="dxa"/>
            <w:vAlign w:val="top"/>
          </w:tcPr>
          <w:p w14:paraId="42CD5F09">
            <w:pPr>
              <w:pStyle w:val="17"/>
              <w:spacing w:before="127"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967" w:type="dxa"/>
            <w:tcBorders>
              <w:right w:val="single" w:color="000000" w:sz="6" w:space="0"/>
            </w:tcBorders>
            <w:vAlign w:val="top"/>
          </w:tcPr>
          <w:p w14:paraId="4A2225CC">
            <w:pPr>
              <w:spacing w:before="164" w:line="188" w:lineRule="auto"/>
              <w:ind w:left="37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8"/>
                <w:sz w:val="21"/>
                <w:szCs w:val="21"/>
                <w:highlight w:val="none"/>
              </w:rPr>
              <w:t>1.0</w:t>
            </w:r>
          </w:p>
        </w:tc>
      </w:tr>
      <w:tr w14:paraId="5A37B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6A8B760A">
            <w:pPr>
              <w:rPr>
                <w:rFonts w:ascii="Arial"/>
                <w:strike/>
                <w:dstrike w:val="0"/>
                <w:color w:val="auto"/>
                <w:sz w:val="21"/>
                <w:highlight w:val="none"/>
              </w:rPr>
            </w:pPr>
          </w:p>
        </w:tc>
        <w:tc>
          <w:tcPr>
            <w:tcW w:w="7217" w:type="dxa"/>
            <w:vAlign w:val="top"/>
          </w:tcPr>
          <w:p w14:paraId="79DE4A26">
            <w:pPr>
              <w:pStyle w:val="17"/>
              <w:spacing w:before="129"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967" w:type="dxa"/>
            <w:tcBorders>
              <w:right w:val="single" w:color="000000" w:sz="6" w:space="0"/>
            </w:tcBorders>
            <w:vAlign w:val="top"/>
          </w:tcPr>
          <w:p w14:paraId="64343852">
            <w:pPr>
              <w:spacing w:before="166" w:line="188" w:lineRule="auto"/>
              <w:ind w:left="43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r w14:paraId="293A5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5" w:type="dxa"/>
            <w:tcBorders>
              <w:left w:val="single" w:color="000000" w:sz="6" w:space="0"/>
            </w:tcBorders>
            <w:vAlign w:val="top"/>
          </w:tcPr>
          <w:p w14:paraId="1BA802DF">
            <w:pPr>
              <w:pStyle w:val="17"/>
              <w:spacing w:before="130" w:line="232" w:lineRule="auto"/>
              <w:ind w:left="156"/>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2</w:t>
            </w:r>
            <w:r>
              <w:rPr>
                <w:strike/>
                <w:dstrike w:val="0"/>
                <w:color w:val="auto"/>
                <w:spacing w:val="-5"/>
                <w:sz w:val="21"/>
                <w:szCs w:val="21"/>
                <w:highlight w:val="none"/>
              </w:rPr>
              <w:t>）</w:t>
            </w:r>
          </w:p>
        </w:tc>
        <w:tc>
          <w:tcPr>
            <w:tcW w:w="7217" w:type="dxa"/>
            <w:vAlign w:val="top"/>
          </w:tcPr>
          <w:p w14:paraId="1A8ED637">
            <w:pPr>
              <w:pStyle w:val="17"/>
              <w:spacing w:before="130"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967" w:type="dxa"/>
            <w:tcBorders>
              <w:right w:val="single" w:color="000000" w:sz="6" w:space="0"/>
            </w:tcBorders>
            <w:vAlign w:val="top"/>
          </w:tcPr>
          <w:p w14:paraId="53F399C4">
            <w:pPr>
              <w:rPr>
                <w:rFonts w:ascii="Arial"/>
                <w:strike/>
                <w:dstrike w:val="0"/>
                <w:color w:val="auto"/>
                <w:sz w:val="21"/>
                <w:highlight w:val="none"/>
              </w:rPr>
            </w:pPr>
          </w:p>
        </w:tc>
      </w:tr>
      <w:tr w14:paraId="2F9FD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645ABEDE">
            <w:pPr>
              <w:rPr>
                <w:rFonts w:ascii="Arial"/>
                <w:strike/>
                <w:dstrike w:val="0"/>
                <w:color w:val="auto"/>
                <w:sz w:val="21"/>
                <w:highlight w:val="none"/>
              </w:rPr>
            </w:pPr>
          </w:p>
        </w:tc>
        <w:tc>
          <w:tcPr>
            <w:tcW w:w="7217" w:type="dxa"/>
            <w:vAlign w:val="top"/>
          </w:tcPr>
          <w:p w14:paraId="28C4DB54">
            <w:pPr>
              <w:pStyle w:val="17"/>
              <w:spacing w:before="131"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967" w:type="dxa"/>
            <w:tcBorders>
              <w:right w:val="single" w:color="000000" w:sz="6" w:space="0"/>
            </w:tcBorders>
            <w:vAlign w:val="top"/>
          </w:tcPr>
          <w:p w14:paraId="0BE71AF8">
            <w:pPr>
              <w:spacing w:before="168" w:line="188" w:lineRule="auto"/>
              <w:ind w:left="36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3.0</w:t>
            </w:r>
          </w:p>
        </w:tc>
      </w:tr>
      <w:tr w14:paraId="5AB94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29BF06DD">
            <w:pPr>
              <w:rPr>
                <w:rFonts w:ascii="Arial"/>
                <w:strike/>
                <w:dstrike w:val="0"/>
                <w:color w:val="auto"/>
                <w:sz w:val="21"/>
                <w:highlight w:val="none"/>
              </w:rPr>
            </w:pPr>
          </w:p>
        </w:tc>
        <w:tc>
          <w:tcPr>
            <w:tcW w:w="7217" w:type="dxa"/>
            <w:vAlign w:val="top"/>
          </w:tcPr>
          <w:p w14:paraId="29F7A7FE">
            <w:pPr>
              <w:pStyle w:val="17"/>
              <w:spacing w:before="133"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967" w:type="dxa"/>
            <w:tcBorders>
              <w:right w:val="single" w:color="000000" w:sz="6" w:space="0"/>
            </w:tcBorders>
            <w:vAlign w:val="top"/>
          </w:tcPr>
          <w:p w14:paraId="171E234E">
            <w:pPr>
              <w:spacing w:before="170" w:line="188" w:lineRule="auto"/>
              <w:ind w:left="35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1"/>
                <w:sz w:val="21"/>
                <w:szCs w:val="21"/>
                <w:highlight w:val="none"/>
              </w:rPr>
              <w:t>2.0</w:t>
            </w:r>
          </w:p>
        </w:tc>
      </w:tr>
      <w:tr w14:paraId="587743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5" w:type="dxa"/>
            <w:tcBorders>
              <w:left w:val="single" w:color="000000" w:sz="6" w:space="0"/>
            </w:tcBorders>
            <w:vAlign w:val="top"/>
          </w:tcPr>
          <w:p w14:paraId="2702F497">
            <w:pPr>
              <w:rPr>
                <w:rFonts w:ascii="Arial"/>
                <w:strike/>
                <w:dstrike w:val="0"/>
                <w:color w:val="auto"/>
                <w:sz w:val="21"/>
                <w:highlight w:val="none"/>
              </w:rPr>
            </w:pPr>
          </w:p>
        </w:tc>
        <w:tc>
          <w:tcPr>
            <w:tcW w:w="7217" w:type="dxa"/>
            <w:vAlign w:val="top"/>
          </w:tcPr>
          <w:p w14:paraId="0014C8DB">
            <w:pPr>
              <w:pStyle w:val="17"/>
              <w:spacing w:before="134"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967" w:type="dxa"/>
            <w:tcBorders>
              <w:right w:val="single" w:color="000000" w:sz="6" w:space="0"/>
            </w:tcBorders>
            <w:vAlign w:val="top"/>
          </w:tcPr>
          <w:p w14:paraId="6CC87988">
            <w:pPr>
              <w:spacing w:before="170" w:line="188" w:lineRule="auto"/>
              <w:ind w:left="37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5"/>
                <w:sz w:val="21"/>
                <w:szCs w:val="21"/>
                <w:highlight w:val="none"/>
              </w:rPr>
              <w:t>1.0</w:t>
            </w:r>
          </w:p>
        </w:tc>
      </w:tr>
      <w:tr w14:paraId="500C3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25" w:type="dxa"/>
            <w:tcBorders>
              <w:left w:val="single" w:color="000000" w:sz="6" w:space="0"/>
              <w:bottom w:val="single" w:color="000000" w:sz="6" w:space="0"/>
            </w:tcBorders>
            <w:vAlign w:val="top"/>
          </w:tcPr>
          <w:p w14:paraId="7CEA9546">
            <w:pPr>
              <w:rPr>
                <w:rFonts w:ascii="Arial"/>
                <w:strike/>
                <w:dstrike w:val="0"/>
                <w:color w:val="auto"/>
                <w:sz w:val="21"/>
                <w:highlight w:val="none"/>
              </w:rPr>
            </w:pPr>
          </w:p>
        </w:tc>
        <w:tc>
          <w:tcPr>
            <w:tcW w:w="7217" w:type="dxa"/>
            <w:tcBorders>
              <w:bottom w:val="single" w:color="000000" w:sz="6" w:space="0"/>
            </w:tcBorders>
            <w:vAlign w:val="top"/>
          </w:tcPr>
          <w:p w14:paraId="70945098">
            <w:pPr>
              <w:pStyle w:val="17"/>
              <w:spacing w:before="136"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967" w:type="dxa"/>
            <w:tcBorders>
              <w:bottom w:val="single" w:color="000000" w:sz="6" w:space="0"/>
              <w:right w:val="single" w:color="000000" w:sz="6" w:space="0"/>
            </w:tcBorders>
            <w:vAlign w:val="top"/>
          </w:tcPr>
          <w:p w14:paraId="1868A776">
            <w:pPr>
              <w:spacing w:before="172" w:line="188" w:lineRule="auto"/>
              <w:ind w:left="43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bl>
    <w:p w14:paraId="5C36BF8F">
      <w:pPr>
        <w:pStyle w:val="8"/>
        <w:spacing w:line="371" w:lineRule="auto"/>
        <w:rPr>
          <w:strike/>
          <w:dstrike w:val="0"/>
          <w:color w:val="auto"/>
          <w:highlight w:val="none"/>
        </w:rPr>
      </w:pPr>
    </w:p>
    <w:p w14:paraId="6ABE0CAE">
      <w:pPr>
        <w:spacing w:before="78" w:line="359" w:lineRule="auto"/>
        <w:ind w:left="9" w:right="236" w:firstLine="48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企业信用等级证明材料指：选用全国水利建设市场监管服务平台企业信用评</w:t>
      </w:r>
      <w:r>
        <w:rPr>
          <w:rFonts w:ascii="宋体" w:hAnsi="宋体" w:eastAsia="宋体" w:cs="宋体"/>
          <w:strike/>
          <w:dstrike w:val="0"/>
          <w:color w:val="auto"/>
          <w:spacing w:val="-4"/>
          <w:sz w:val="24"/>
          <w:szCs w:val="24"/>
          <w:highlight w:val="none"/>
        </w:rPr>
        <w:t>价等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级的提供显示颁发日期及有效期的网页打印件；选用浙江省水利建设市场信用评价等</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4"/>
          <w:sz w:val="24"/>
          <w:szCs w:val="24"/>
          <w:highlight w:val="none"/>
        </w:rPr>
        <w:t>级（施工类）的提供投标截止日前最新一期信用评价等级打印件（信用评价等级每周</w:t>
      </w:r>
      <w:r>
        <w:rPr>
          <w:rFonts w:ascii="宋体" w:hAnsi="宋体" w:eastAsia="宋体" w:cs="宋体"/>
          <w:strike/>
          <w:dstrike w:val="0"/>
          <w:color w:val="auto"/>
          <w:spacing w:val="15"/>
          <w:sz w:val="24"/>
          <w:szCs w:val="24"/>
          <w:highlight w:val="none"/>
        </w:rPr>
        <w:t xml:space="preserve"> </w:t>
      </w:r>
      <w:r>
        <w:rPr>
          <w:rFonts w:ascii="宋体" w:hAnsi="宋体" w:eastAsia="宋体" w:cs="宋体"/>
          <w:strike/>
          <w:dstrike w:val="0"/>
          <w:color w:val="auto"/>
          <w:spacing w:val="-1"/>
          <w:sz w:val="24"/>
          <w:szCs w:val="24"/>
          <w:highlight w:val="none"/>
        </w:rPr>
        <w:t xml:space="preserve">三下午 </w:t>
      </w:r>
      <w:r>
        <w:rPr>
          <w:rFonts w:ascii="Times New Roman" w:hAnsi="Times New Roman" w:eastAsia="Times New Roman" w:cs="Times New Roman"/>
          <w:strike/>
          <w:dstrike w:val="0"/>
          <w:color w:val="auto"/>
          <w:spacing w:val="-1"/>
          <w:sz w:val="24"/>
          <w:szCs w:val="24"/>
          <w:highlight w:val="none"/>
        </w:rPr>
        <w:t>17:00-18:00</w:t>
      </w:r>
      <w:r>
        <w:rPr>
          <w:rFonts w:ascii="宋体" w:hAnsi="宋体" w:eastAsia="宋体" w:cs="宋体"/>
          <w:strike/>
          <w:dstrike w:val="0"/>
          <w:color w:val="auto"/>
          <w:spacing w:val="-1"/>
          <w:sz w:val="24"/>
          <w:szCs w:val="24"/>
          <w:highlight w:val="none"/>
        </w:rPr>
        <w:t>更新</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打印件应含有“浙江水利透明工</w:t>
      </w:r>
      <w:r>
        <w:rPr>
          <w:rFonts w:ascii="宋体" w:hAnsi="宋体" w:eastAsia="宋体" w:cs="宋体"/>
          <w:strike/>
          <w:dstrike w:val="0"/>
          <w:color w:val="auto"/>
          <w:spacing w:val="-2"/>
          <w:sz w:val="24"/>
          <w:szCs w:val="24"/>
          <w:highlight w:val="none"/>
        </w:rPr>
        <w:t>程”水印。</w:t>
      </w:r>
    </w:p>
    <w:p w14:paraId="3F063128">
      <w:pPr>
        <w:spacing w:before="1" w:line="227"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4.6  </w:t>
      </w:r>
      <w:r>
        <w:rPr>
          <w:rFonts w:ascii="楷体" w:hAnsi="楷体" w:eastAsia="楷体" w:cs="楷体"/>
          <w:b/>
          <w:bCs/>
          <w:strike/>
          <w:dstrike w:val="0"/>
          <w:color w:val="auto"/>
          <w:spacing w:val="-2"/>
          <w:sz w:val="24"/>
          <w:szCs w:val="24"/>
          <w:highlight w:val="none"/>
        </w:rPr>
        <w:t>询标</w:t>
      </w:r>
    </w:p>
    <w:p w14:paraId="740831C3">
      <w:pPr>
        <w:spacing w:before="170" w:line="291" w:lineRule="auto"/>
        <w:ind w:left="13" w:right="214" w:firstLine="49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4"/>
          <w:sz w:val="24"/>
          <w:szCs w:val="24"/>
          <w:highlight w:val="none"/>
        </w:rPr>
        <w:t xml:space="preserve">1.  </w:t>
      </w:r>
      <w:r>
        <w:rPr>
          <w:rFonts w:ascii="宋体" w:hAnsi="宋体" w:eastAsia="宋体" w:cs="宋体"/>
          <w:strike/>
          <w:dstrike w:val="0"/>
          <w:color w:val="auto"/>
          <w:spacing w:val="-4"/>
          <w:sz w:val="24"/>
          <w:szCs w:val="24"/>
          <w:highlight w:val="none"/>
        </w:rPr>
        <w:t>凡评标委员会拟作出否决投标决定的，应先向投标人</w:t>
      </w:r>
      <w:r>
        <w:rPr>
          <w:rFonts w:ascii="宋体" w:hAnsi="宋体" w:eastAsia="宋体" w:cs="宋体"/>
          <w:strike/>
          <w:dstrike w:val="0"/>
          <w:color w:val="auto"/>
          <w:spacing w:val="-5"/>
          <w:sz w:val="24"/>
          <w:szCs w:val="24"/>
          <w:highlight w:val="none"/>
        </w:rPr>
        <w:t>进行书面询问核实。未进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4"/>
          <w:sz w:val="24"/>
          <w:szCs w:val="24"/>
          <w:highlight w:val="none"/>
        </w:rPr>
        <w:t>行询问核实程序的，不得做出否决投标决定，</w:t>
      </w:r>
      <w:r>
        <w:rPr>
          <w:rFonts w:ascii="宋体" w:hAnsi="宋体" w:eastAsia="宋体" w:cs="宋体"/>
          <w:strike/>
          <w:dstrike w:val="0"/>
          <w:color w:val="auto"/>
          <w:spacing w:val="-15"/>
          <w:sz w:val="24"/>
          <w:szCs w:val="24"/>
          <w:highlight w:val="none"/>
        </w:rPr>
        <w:t>投标人放弃接受询问核实机会的除外。投标</w:t>
      </w:r>
    </w:p>
    <w:p w14:paraId="43B28348">
      <w:pPr>
        <w:spacing w:line="291" w:lineRule="auto"/>
        <w:rPr>
          <w:rFonts w:ascii="宋体" w:hAnsi="宋体" w:eastAsia="宋体" w:cs="宋体"/>
          <w:strike/>
          <w:dstrike w:val="0"/>
          <w:color w:val="auto"/>
          <w:sz w:val="24"/>
          <w:szCs w:val="24"/>
          <w:highlight w:val="none"/>
        </w:rPr>
        <w:sectPr>
          <w:footerReference r:id="rId31" w:type="default"/>
          <w:pgSz w:w="11905" w:h="16840"/>
          <w:pgMar w:top="1426" w:right="1292" w:bottom="1255" w:left="1587" w:header="0" w:footer="1093" w:gutter="0"/>
          <w:pgNumType w:fmt="decimal"/>
          <w:cols w:space="720" w:num="1"/>
        </w:sectPr>
      </w:pPr>
    </w:p>
    <w:p w14:paraId="307D5896">
      <w:pPr>
        <w:spacing w:before="48" w:line="363" w:lineRule="auto"/>
        <w:ind w:left="5" w:right="6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0"/>
          <w:sz w:val="24"/>
          <w:szCs w:val="24"/>
          <w:highlight w:val="none"/>
        </w:rPr>
        <w:t>人应自行关注系统中评标委员会发出的澄清并及时答复，在规定的时限内投标人不参</w:t>
      </w:r>
      <w:r>
        <w:rPr>
          <w:rFonts w:ascii="宋体" w:hAnsi="宋体" w:eastAsia="宋体" w:cs="宋体"/>
          <w:strike/>
          <w:dstrike w:val="0"/>
          <w:color w:val="auto"/>
          <w:spacing w:val="-21"/>
          <w:sz w:val="24"/>
          <w:szCs w:val="24"/>
          <w:highlight w:val="none"/>
        </w:rPr>
        <w:t>加核实</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3"/>
          <w:sz w:val="24"/>
          <w:szCs w:val="24"/>
          <w:highlight w:val="none"/>
        </w:rPr>
        <w:t>或不予答复的，视为放弃接受询问核实机会。</w:t>
      </w:r>
    </w:p>
    <w:p w14:paraId="121A962D">
      <w:pPr>
        <w:spacing w:before="2" w:line="289" w:lineRule="auto"/>
        <w:ind w:left="23" w:right="87" w:firstLine="42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5"/>
          <w:sz w:val="24"/>
          <w:szCs w:val="24"/>
          <w:highlight w:val="none"/>
        </w:rPr>
        <w:t xml:space="preserve">2.  </w:t>
      </w:r>
      <w:r>
        <w:rPr>
          <w:rFonts w:ascii="宋体" w:hAnsi="宋体" w:eastAsia="宋体" w:cs="宋体"/>
          <w:strike/>
          <w:dstrike w:val="0"/>
          <w:color w:val="auto"/>
          <w:spacing w:val="-15"/>
          <w:sz w:val="24"/>
          <w:szCs w:val="24"/>
          <w:highlight w:val="none"/>
        </w:rPr>
        <w:t>除本评标办法规定的否决情形以外，招标文件中其他条款均不得</w:t>
      </w:r>
      <w:r>
        <w:rPr>
          <w:rFonts w:ascii="宋体" w:hAnsi="宋体" w:eastAsia="宋体" w:cs="宋体"/>
          <w:strike/>
          <w:dstrike w:val="0"/>
          <w:color w:val="auto"/>
          <w:spacing w:val="-16"/>
          <w:sz w:val="24"/>
          <w:szCs w:val="24"/>
          <w:highlight w:val="none"/>
        </w:rPr>
        <w:t>作为否决投标文件</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2"/>
          <w:sz w:val="24"/>
          <w:szCs w:val="24"/>
          <w:highlight w:val="none"/>
        </w:rPr>
        <w:t>的依据。</w:t>
      </w:r>
    </w:p>
    <w:p w14:paraId="1549A265">
      <w:pPr>
        <w:spacing w:before="184"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4.7  </w:t>
      </w:r>
      <w:r>
        <w:rPr>
          <w:rFonts w:ascii="楷体" w:hAnsi="楷体" w:eastAsia="楷体" w:cs="楷体"/>
          <w:b/>
          <w:bCs/>
          <w:strike/>
          <w:dstrike w:val="0"/>
          <w:color w:val="auto"/>
          <w:spacing w:val="-2"/>
          <w:sz w:val="24"/>
          <w:szCs w:val="24"/>
          <w:highlight w:val="none"/>
        </w:rPr>
        <w:t>投标文件的综合评分</w:t>
      </w:r>
    </w:p>
    <w:p w14:paraId="3F97BA45">
      <w:pPr>
        <w:spacing w:before="176" w:line="359" w:lineRule="auto"/>
        <w:ind w:left="6" w:right="87" w:firstLine="53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投标文件的综合评分为投标文件的资信评分与投标文件的商务评分之和，满分</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5"/>
          <w:sz w:val="24"/>
          <w:szCs w:val="24"/>
          <w:highlight w:val="none"/>
        </w:rPr>
        <w:t>为</w:t>
      </w:r>
      <w:r>
        <w:rPr>
          <w:rFonts w:ascii="Times New Roman" w:hAnsi="Times New Roman" w:eastAsia="Times New Roman" w:cs="Times New Roman"/>
          <w:strike/>
          <w:dstrike w:val="0"/>
          <w:color w:val="auto"/>
          <w:spacing w:val="-5"/>
          <w:sz w:val="24"/>
          <w:szCs w:val="24"/>
          <w:highlight w:val="none"/>
        </w:rPr>
        <w:t>100</w:t>
      </w:r>
      <w:r>
        <w:rPr>
          <w:rFonts w:ascii="宋体" w:hAnsi="宋体" w:eastAsia="宋体" w:cs="宋体"/>
          <w:strike/>
          <w:dstrike w:val="0"/>
          <w:color w:val="auto"/>
          <w:spacing w:val="-5"/>
          <w:sz w:val="24"/>
          <w:szCs w:val="24"/>
          <w:highlight w:val="none"/>
        </w:rPr>
        <w:t>分。</w:t>
      </w:r>
    </w:p>
    <w:p w14:paraId="22B0320E">
      <w:pPr>
        <w:spacing w:before="1" w:line="225"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4.8  </w:t>
      </w:r>
      <w:r>
        <w:rPr>
          <w:rFonts w:ascii="楷体" w:hAnsi="楷体" w:eastAsia="楷体" w:cs="楷体"/>
          <w:b/>
          <w:bCs/>
          <w:strike/>
          <w:dstrike w:val="0"/>
          <w:color w:val="auto"/>
          <w:spacing w:val="-2"/>
          <w:sz w:val="24"/>
          <w:szCs w:val="24"/>
          <w:highlight w:val="none"/>
        </w:rPr>
        <w:t>推荐中标候选人</w:t>
      </w:r>
    </w:p>
    <w:p w14:paraId="3824971C">
      <w:pPr>
        <w:spacing w:before="175" w:line="359" w:lineRule="auto"/>
        <w:ind w:left="2"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评标委员会根据综合评分对通过商务评审的投标文件按照由高到低的顺序进行</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13"/>
          <w:sz w:val="24"/>
          <w:szCs w:val="24"/>
          <w:highlight w:val="none"/>
        </w:rPr>
        <w:t>排序，推荐中标候选人。综合评分相同时，</w:t>
      </w:r>
      <w:r>
        <w:rPr>
          <w:rFonts w:ascii="宋体" w:hAnsi="宋体" w:eastAsia="宋体" w:cs="宋体"/>
          <w:strike/>
          <w:dstrike w:val="0"/>
          <w:color w:val="auto"/>
          <w:spacing w:val="61"/>
          <w:sz w:val="24"/>
          <w:szCs w:val="24"/>
          <w:highlight w:val="none"/>
        </w:rPr>
        <w:t xml:space="preserve"> </w:t>
      </w:r>
      <w:r>
        <w:rPr>
          <w:rFonts w:ascii="宋体" w:hAnsi="宋体" w:eastAsia="宋体" w:cs="宋体"/>
          <w:strike/>
          <w:dstrike w:val="0"/>
          <w:color w:val="auto"/>
          <w:spacing w:val="-13"/>
          <w:sz w:val="24"/>
          <w:szCs w:val="24"/>
          <w:highlight w:val="none"/>
        </w:rPr>
        <w:t>报价低者优先。评分、报价均相同时，</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13"/>
          <w:sz w:val="24"/>
          <w:szCs w:val="24"/>
          <w:highlight w:val="none"/>
        </w:rPr>
        <w:t>由</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评标委员会全体成员按照少数服从多数的原则记名投票（不得弃权）决定中标侯选人。</w:t>
      </w:r>
    </w:p>
    <w:p w14:paraId="4B3C6825">
      <w:pPr>
        <w:spacing w:before="1" w:line="218"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本评标办法未尽事宜由评标委员会集体讨论决定。</w:t>
      </w:r>
    </w:p>
    <w:p w14:paraId="13BB1ED6">
      <w:pPr>
        <w:spacing w:before="183"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4.9  </w:t>
      </w:r>
      <w:r>
        <w:rPr>
          <w:rFonts w:ascii="楷体" w:hAnsi="楷体" w:eastAsia="楷体" w:cs="楷体"/>
          <w:b/>
          <w:bCs/>
          <w:strike/>
          <w:dstrike w:val="0"/>
          <w:color w:val="auto"/>
          <w:spacing w:val="-2"/>
          <w:sz w:val="24"/>
          <w:szCs w:val="24"/>
          <w:highlight w:val="none"/>
        </w:rPr>
        <w:t>评标报告</w:t>
      </w:r>
    </w:p>
    <w:p w14:paraId="53C77CBF">
      <w:pPr>
        <w:spacing w:before="177" w:line="289" w:lineRule="auto"/>
        <w:ind w:left="4" w:right="104" w:firstLine="47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4.9.1  </w:t>
      </w:r>
      <w:r>
        <w:rPr>
          <w:rFonts w:ascii="宋体" w:hAnsi="宋体" w:eastAsia="宋体" w:cs="宋体"/>
          <w:strike/>
          <w:dstrike w:val="0"/>
          <w:color w:val="auto"/>
          <w:sz w:val="24"/>
          <w:szCs w:val="24"/>
          <w:highlight w:val="none"/>
        </w:rPr>
        <w:t>评标委员会对投标文件作出的评审结论，应当符合有关法律、法规、规章</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5"/>
          <w:sz w:val="24"/>
          <w:szCs w:val="24"/>
          <w:highlight w:val="none"/>
        </w:rPr>
        <w:t>和招标文件的规定。</w:t>
      </w:r>
    </w:p>
    <w:p w14:paraId="6AFBBDDF">
      <w:pPr>
        <w:spacing w:before="182" w:line="324" w:lineRule="auto"/>
        <w:ind w:left="2" w:right="85"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5"/>
          <w:sz w:val="24"/>
          <w:szCs w:val="24"/>
          <w:highlight w:val="none"/>
        </w:rPr>
        <w:t xml:space="preserve">4.9.2  </w:t>
      </w:r>
      <w:r>
        <w:rPr>
          <w:rFonts w:ascii="宋体" w:hAnsi="宋体" w:eastAsia="宋体" w:cs="宋体"/>
          <w:strike/>
          <w:dstrike w:val="0"/>
          <w:color w:val="auto"/>
          <w:spacing w:val="-5"/>
          <w:sz w:val="24"/>
          <w:szCs w:val="24"/>
          <w:highlight w:val="none"/>
        </w:rPr>
        <w:t>评标委员会应根据评标情况</w:t>
      </w:r>
      <w:r>
        <w:rPr>
          <w:rFonts w:ascii="宋体" w:hAnsi="宋体" w:eastAsia="宋体" w:cs="宋体"/>
          <w:strike/>
          <w:dstrike w:val="0"/>
          <w:color w:val="auto"/>
          <w:spacing w:val="-6"/>
          <w:sz w:val="24"/>
          <w:szCs w:val="24"/>
          <w:highlight w:val="none"/>
        </w:rPr>
        <w:t>，推荐中标候选人，并向招标人提交评标报告。</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评标报告由评标委员会成员起草，评标委员会全体成员应在评标报告上签字确认，评</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标专家如有保留意见可以在评标报告中阐明。评标委员会成员拒绝在评标报告上签字</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2"/>
          <w:sz w:val="24"/>
          <w:szCs w:val="24"/>
          <w:highlight w:val="none"/>
        </w:rPr>
        <w:t>又不书面说明其不同意见和理由的，视为同意评标结果。</w:t>
      </w:r>
    </w:p>
    <w:p w14:paraId="1E9EB70A">
      <w:pPr>
        <w:spacing w:before="182" w:line="218" w:lineRule="auto"/>
        <w:ind w:left="48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 xml:space="preserve">4.9.3  </w:t>
      </w:r>
      <w:r>
        <w:rPr>
          <w:rFonts w:ascii="宋体" w:hAnsi="宋体" w:eastAsia="宋体" w:cs="宋体"/>
          <w:strike/>
          <w:dstrike w:val="0"/>
          <w:color w:val="auto"/>
          <w:spacing w:val="-3"/>
          <w:sz w:val="24"/>
          <w:szCs w:val="24"/>
          <w:highlight w:val="none"/>
        </w:rPr>
        <w:t>评标报告应包括以下内容：</w:t>
      </w:r>
    </w:p>
    <w:p w14:paraId="3C5187CF">
      <w:pPr>
        <w:spacing w:before="184"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）开标记录。</w:t>
      </w:r>
    </w:p>
    <w:p w14:paraId="1499326F">
      <w:pPr>
        <w:spacing w:before="179"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）评标内容、过程和结果。</w:t>
      </w:r>
    </w:p>
    <w:p w14:paraId="78A8D9B1">
      <w:pPr>
        <w:spacing w:before="182"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）被否决情况说明及依据。</w:t>
      </w:r>
    </w:p>
    <w:p w14:paraId="509767BE">
      <w:pPr>
        <w:spacing w:before="182"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）询标澄清纪要。</w:t>
      </w:r>
    </w:p>
    <w:p w14:paraId="02C11D72">
      <w:pPr>
        <w:spacing w:before="181"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5</w:t>
      </w:r>
      <w:r>
        <w:rPr>
          <w:rFonts w:ascii="宋体" w:hAnsi="宋体" w:eastAsia="宋体" w:cs="宋体"/>
          <w:strike/>
          <w:dstrike w:val="0"/>
          <w:color w:val="auto"/>
          <w:spacing w:val="-3"/>
          <w:sz w:val="24"/>
          <w:szCs w:val="24"/>
          <w:highlight w:val="none"/>
        </w:rPr>
        <w:t>）中标侯选人的优劣对比和存在问题。</w:t>
      </w:r>
    </w:p>
    <w:p w14:paraId="56311293">
      <w:pPr>
        <w:spacing w:before="182"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）中标候选人投标业绩。</w:t>
      </w:r>
    </w:p>
    <w:p w14:paraId="2E0A7B4E">
      <w:pPr>
        <w:spacing w:before="181"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7</w:t>
      </w:r>
      <w:r>
        <w:rPr>
          <w:rFonts w:ascii="宋体" w:hAnsi="宋体" w:eastAsia="宋体" w:cs="宋体"/>
          <w:strike/>
          <w:dstrike w:val="0"/>
          <w:color w:val="auto"/>
          <w:spacing w:val="-6"/>
          <w:sz w:val="24"/>
          <w:szCs w:val="24"/>
          <w:highlight w:val="none"/>
        </w:rPr>
        <w:t>）其他建议。</w:t>
      </w:r>
    </w:p>
    <w:p w14:paraId="7494B558">
      <w:pPr>
        <w:spacing w:line="220" w:lineRule="auto"/>
        <w:rPr>
          <w:rFonts w:ascii="宋体" w:hAnsi="宋体" w:eastAsia="宋体" w:cs="宋体"/>
          <w:strike/>
          <w:dstrike w:val="0"/>
          <w:color w:val="auto"/>
          <w:sz w:val="24"/>
          <w:szCs w:val="24"/>
          <w:highlight w:val="none"/>
        </w:rPr>
        <w:sectPr>
          <w:footerReference r:id="rId32" w:type="default"/>
          <w:pgSz w:w="11905" w:h="16840"/>
          <w:pgMar w:top="1428" w:right="1442" w:bottom="1255" w:left="1593" w:header="0" w:footer="1093" w:gutter="0"/>
          <w:pgNumType w:fmt="decimal"/>
          <w:cols w:space="720" w:num="1"/>
        </w:sectPr>
      </w:pPr>
    </w:p>
    <w:p w14:paraId="1B894088">
      <w:pPr>
        <w:spacing w:before="55" w:line="225" w:lineRule="auto"/>
        <w:ind w:left="2010"/>
        <w:rPr>
          <w:rFonts w:ascii="宋体" w:hAnsi="宋体" w:eastAsia="宋体" w:cs="宋体"/>
          <w:strike/>
          <w:dstrike w:val="0"/>
          <w:color w:val="auto"/>
          <w:sz w:val="27"/>
          <w:szCs w:val="27"/>
          <w:highlight w:val="none"/>
        </w:rPr>
      </w:pPr>
      <w:r>
        <w:rPr>
          <w:rFonts w:ascii="宋体" w:hAnsi="宋体" w:eastAsia="宋体" w:cs="宋体"/>
          <w:b/>
          <w:bCs/>
          <w:strike/>
          <w:dstrike w:val="0"/>
          <w:color w:val="auto"/>
          <w:spacing w:val="6"/>
          <w:sz w:val="27"/>
          <w:szCs w:val="27"/>
          <w:highlight w:val="none"/>
        </w:rPr>
        <w:t>方法二：（合理低价制的综合评估法）</w:t>
      </w:r>
    </w:p>
    <w:p w14:paraId="66DC6A3C">
      <w:pPr>
        <w:pStyle w:val="8"/>
        <w:spacing w:line="250" w:lineRule="auto"/>
        <w:rPr>
          <w:strike/>
          <w:dstrike w:val="0"/>
          <w:color w:val="auto"/>
          <w:highlight w:val="none"/>
        </w:rPr>
      </w:pPr>
    </w:p>
    <w:p w14:paraId="41F51DE2">
      <w:pPr>
        <w:spacing w:before="78"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4.2  </w:t>
      </w:r>
      <w:r>
        <w:rPr>
          <w:rFonts w:ascii="楷体" w:hAnsi="楷体" w:eastAsia="楷体" w:cs="楷体"/>
          <w:b/>
          <w:bCs/>
          <w:strike/>
          <w:dstrike w:val="0"/>
          <w:color w:val="auto"/>
          <w:spacing w:val="-2"/>
          <w:sz w:val="24"/>
          <w:szCs w:val="24"/>
          <w:highlight w:val="none"/>
        </w:rPr>
        <w:t>投标文件的符合性审查</w:t>
      </w:r>
    </w:p>
    <w:p w14:paraId="0A17866C">
      <w:pPr>
        <w:spacing w:before="173" w:line="336" w:lineRule="auto"/>
        <w:ind w:left="3" w:firstLine="47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4.2.1</w:t>
      </w:r>
      <w:r>
        <w:rPr>
          <w:rFonts w:ascii="宋体" w:hAnsi="宋体" w:eastAsia="宋体" w:cs="宋体"/>
          <w:strike/>
          <w:dstrike w:val="0"/>
          <w:color w:val="auto"/>
          <w:spacing w:val="-3"/>
          <w:sz w:val="24"/>
          <w:szCs w:val="24"/>
          <w:highlight w:val="none"/>
        </w:rPr>
        <w:t>评标委员会应依照招标文件的要求和规定，首先对投标报价由低到高的前</w:t>
      </w:r>
      <w:r>
        <w:rPr>
          <w:rFonts w:ascii="Times New Roman" w:hAnsi="Times New Roman" w:eastAsia="Times New Roman" w:cs="Times New Roman"/>
          <w:strike/>
          <w:dstrike w:val="0"/>
          <w:color w:val="auto"/>
          <w:spacing w:val="-3"/>
          <w:sz w:val="24"/>
          <w:szCs w:val="24"/>
          <w:highlight w:val="none"/>
        </w:rPr>
        <w:t>10</w:t>
      </w:r>
      <w:r>
        <w:rPr>
          <w:rFonts w:ascii="Times New Roman" w:hAnsi="Times New Roman" w:eastAsia="Times New Roman" w:cs="Times New Roman"/>
          <w:strike/>
          <w:dstrike w:val="0"/>
          <w:color w:val="auto"/>
          <w:spacing w:val="8"/>
          <w:sz w:val="24"/>
          <w:szCs w:val="24"/>
          <w:highlight w:val="none"/>
        </w:rPr>
        <w:t xml:space="preserve">  </w:t>
      </w:r>
      <w:r>
        <w:rPr>
          <w:rFonts w:ascii="宋体" w:hAnsi="宋体" w:eastAsia="宋体" w:cs="宋体"/>
          <w:strike/>
          <w:dstrike w:val="0"/>
          <w:color w:val="auto"/>
          <w:spacing w:val="-1"/>
          <w:sz w:val="24"/>
          <w:szCs w:val="24"/>
          <w:highlight w:val="none"/>
        </w:rPr>
        <w:t>名投标人的投标资格和投标文件进行符合性审查。符合性审查应包括三个方面内</w:t>
      </w:r>
      <w:r>
        <w:rPr>
          <w:rFonts w:ascii="宋体" w:hAnsi="宋体" w:eastAsia="宋体" w:cs="宋体"/>
          <w:strike/>
          <w:dstrike w:val="0"/>
          <w:color w:val="auto"/>
          <w:spacing w:val="-2"/>
          <w:sz w:val="24"/>
          <w:szCs w:val="24"/>
          <w:highlight w:val="none"/>
        </w:rPr>
        <w:t>容：</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投标人资格审查、投标文件实质性格式要求响应性审查、投标文件实质性内容要求响</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3"/>
          <w:sz w:val="24"/>
          <w:szCs w:val="24"/>
          <w:highlight w:val="none"/>
        </w:rPr>
        <w:t>应性审查。符合性审查未通过的投标文件不再进入后续评审。其他投标人按投标报价</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3"/>
          <w:sz w:val="24"/>
          <w:szCs w:val="24"/>
          <w:highlight w:val="none"/>
        </w:rPr>
        <w:t>由低到高依次递补满</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家（少于</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家时全部进入评审范围）。第</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家有多个投标人报</w:t>
      </w:r>
      <w:r>
        <w:rPr>
          <w:rFonts w:ascii="宋体" w:hAnsi="宋体" w:eastAsia="宋体" w:cs="宋体"/>
          <w:strike/>
          <w:dstrike w:val="0"/>
          <w:color w:val="auto"/>
          <w:spacing w:val="17"/>
          <w:sz w:val="24"/>
          <w:szCs w:val="24"/>
          <w:highlight w:val="none"/>
        </w:rPr>
        <w:t xml:space="preserve"> </w:t>
      </w:r>
      <w:r>
        <w:rPr>
          <w:rFonts w:ascii="宋体" w:hAnsi="宋体" w:eastAsia="宋体" w:cs="宋体"/>
          <w:strike/>
          <w:dstrike w:val="0"/>
          <w:color w:val="auto"/>
          <w:spacing w:val="-3"/>
          <w:sz w:val="24"/>
          <w:szCs w:val="24"/>
          <w:highlight w:val="none"/>
        </w:rPr>
        <w:t>价相同时，全部进入评审范围。</w:t>
      </w:r>
    </w:p>
    <w:p w14:paraId="03DEE8F3">
      <w:pPr>
        <w:spacing w:before="183" w:line="289" w:lineRule="auto"/>
        <w:ind w:left="23" w:right="63" w:firstLine="52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4.2.2  </w:t>
      </w:r>
      <w:r>
        <w:rPr>
          <w:rFonts w:ascii="宋体" w:hAnsi="宋体" w:eastAsia="宋体" w:cs="宋体"/>
          <w:strike/>
          <w:dstrike w:val="0"/>
          <w:color w:val="auto"/>
          <w:spacing w:val="-1"/>
          <w:sz w:val="24"/>
          <w:szCs w:val="24"/>
          <w:highlight w:val="none"/>
        </w:rPr>
        <w:t>投标人不得通过补充、修改或撤销投标文件</w:t>
      </w:r>
      <w:r>
        <w:rPr>
          <w:rFonts w:ascii="宋体" w:hAnsi="宋体" w:eastAsia="宋体" w:cs="宋体"/>
          <w:strike/>
          <w:dstrike w:val="0"/>
          <w:color w:val="auto"/>
          <w:spacing w:val="-2"/>
          <w:sz w:val="24"/>
          <w:szCs w:val="24"/>
          <w:highlight w:val="none"/>
        </w:rPr>
        <w:t>中的内容使其成为实质性响应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46A82E22">
      <w:pPr>
        <w:spacing w:before="181" w:line="313" w:lineRule="auto"/>
        <w:ind w:left="1" w:right="62" w:firstLine="53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4.2.3  </w:t>
      </w:r>
      <w:r>
        <w:rPr>
          <w:rFonts w:ascii="宋体" w:hAnsi="宋体" w:eastAsia="宋体" w:cs="宋体"/>
          <w:strike/>
          <w:dstrike w:val="0"/>
          <w:color w:val="auto"/>
          <w:spacing w:val="-1"/>
          <w:sz w:val="24"/>
          <w:szCs w:val="24"/>
          <w:highlight w:val="none"/>
        </w:rPr>
        <w:t>投标文件如存在以下情况之一的，由评标委员会全体成员按照少数服从多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数的原则记名投票（不得弃权）认定，作为符合性审查未通过予以否决其投标，不再</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6"/>
          <w:sz w:val="24"/>
          <w:szCs w:val="24"/>
          <w:highlight w:val="none"/>
        </w:rPr>
        <w:t>进行技术和商务的评审：</w:t>
      </w:r>
    </w:p>
    <w:p w14:paraId="680F153E">
      <w:pPr>
        <w:spacing w:before="180" w:line="220" w:lineRule="auto"/>
        <w:ind w:left="57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21"/>
          <w:sz w:val="24"/>
          <w:szCs w:val="24"/>
          <w:highlight w:val="none"/>
        </w:rPr>
        <w:t xml:space="preserve"> </w:t>
      </w:r>
      <w:r>
        <w:rPr>
          <w:rFonts w:ascii="宋体" w:hAnsi="宋体" w:eastAsia="宋体" w:cs="宋体"/>
          <w:strike/>
          <w:dstrike w:val="0"/>
          <w:color w:val="auto"/>
          <w:spacing w:val="-7"/>
          <w:sz w:val="24"/>
          <w:szCs w:val="24"/>
          <w:highlight w:val="none"/>
        </w:rPr>
        <w:t>．技术标符合性审查未通过的情形：</w:t>
      </w:r>
    </w:p>
    <w:p w14:paraId="3C781E78">
      <w:pPr>
        <w:spacing w:before="181" w:line="289" w:lineRule="auto"/>
        <w:ind w:left="2" w:right="74"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1E507834">
      <w:pPr>
        <w:spacing w:before="183" w:line="289" w:lineRule="auto"/>
        <w:ind w:left="23" w:right="81" w:firstLine="53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）投标人法定代表人授权委托代理人签署投标文件，未提供有</w:t>
      </w:r>
      <w:r>
        <w:rPr>
          <w:rFonts w:ascii="宋体" w:hAnsi="宋体" w:eastAsia="宋体" w:cs="宋体"/>
          <w:strike/>
          <w:dstrike w:val="0"/>
          <w:color w:val="auto"/>
          <w:spacing w:val="-3"/>
          <w:sz w:val="24"/>
          <w:szCs w:val="24"/>
          <w:highlight w:val="none"/>
        </w:rPr>
        <w:t>效授权委托书</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的或投标人法定代表人亲自签署投标文件，未提供法定代表人身份证明的。</w:t>
      </w:r>
    </w:p>
    <w:p w14:paraId="5ABA265F">
      <w:pPr>
        <w:spacing w:before="182"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4FCBC0C4">
      <w:pPr>
        <w:spacing w:before="182" w:line="289" w:lineRule="auto"/>
        <w:ind w:left="22" w:right="77" w:firstLine="53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）投标人的投标资格不满足招标文件载明的强制性要求的（以投标人</w:t>
      </w:r>
      <w:r>
        <w:rPr>
          <w:rFonts w:ascii="宋体" w:hAnsi="宋体" w:eastAsia="宋体" w:cs="宋体"/>
          <w:strike/>
          <w:dstrike w:val="0"/>
          <w:color w:val="auto"/>
          <w:spacing w:val="-3"/>
          <w:sz w:val="24"/>
          <w:szCs w:val="24"/>
          <w:highlight w:val="none"/>
        </w:rPr>
        <w:t>须知前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款实质性响应招标文件资料为准</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或不满足国家有关规定的。</w:t>
      </w:r>
    </w:p>
    <w:p w14:paraId="1E8A2DCB">
      <w:pPr>
        <w:spacing w:before="182" w:line="289" w:lineRule="auto"/>
        <w:ind w:left="4" w:right="75"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0546278C">
      <w:pPr>
        <w:spacing w:before="183" w:line="289" w:lineRule="auto"/>
        <w:ind w:left="2" w:right="78"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）同一投标人提交两个以上不同的投标文件且未声明哪一个有效的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2F5C5F1C">
      <w:pPr>
        <w:spacing w:before="181" w:line="290" w:lineRule="auto"/>
        <w:ind w:left="4" w:right="73"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7</w:t>
      </w:r>
      <w:r>
        <w:rPr>
          <w:rFonts w:ascii="宋体" w:hAnsi="宋体" w:eastAsia="宋体" w:cs="宋体"/>
          <w:strike/>
          <w:dstrike w:val="0"/>
          <w:color w:val="auto"/>
          <w:spacing w:val="-2"/>
          <w:sz w:val="24"/>
          <w:szCs w:val="24"/>
          <w:highlight w:val="none"/>
        </w:rPr>
        <w:t>）投标人不以自己的名义或未按招标文件要求提供投标保证金或提供的投标</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保证金有缺陷而不能接受的。</w:t>
      </w:r>
    </w:p>
    <w:p w14:paraId="647CEABC">
      <w:pPr>
        <w:spacing w:before="181" w:line="290" w:lineRule="auto"/>
        <w:ind w:left="7" w:right="62" w:firstLine="55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8</w:t>
      </w:r>
      <w:r>
        <w:rPr>
          <w:rFonts w:ascii="宋体" w:hAnsi="宋体" w:eastAsia="宋体" w:cs="宋体"/>
          <w:strike/>
          <w:dstrike w:val="0"/>
          <w:color w:val="auto"/>
          <w:spacing w:val="-7"/>
          <w:sz w:val="24"/>
          <w:szCs w:val="24"/>
          <w:highlight w:val="none"/>
        </w:rPr>
        <w:t>）投标工期和质量不满足招标文件要求的（以投标人须知前附表第</w:t>
      </w:r>
      <w:r>
        <w:rPr>
          <w:rFonts w:ascii="Times New Roman" w:hAnsi="Times New Roman" w:eastAsia="Times New Roman" w:cs="Times New Roman"/>
          <w:strike/>
          <w:dstrike w:val="0"/>
          <w:color w:val="auto"/>
          <w:spacing w:val="-7"/>
          <w:sz w:val="24"/>
          <w:szCs w:val="24"/>
          <w:highlight w:val="none"/>
        </w:rPr>
        <w:t>1.3.2</w:t>
      </w: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8"/>
          <w:sz w:val="24"/>
          <w:szCs w:val="24"/>
          <w:highlight w:val="none"/>
        </w:rPr>
        <w:t>.3.3</w:t>
      </w:r>
      <w:r>
        <w:rPr>
          <w:rFonts w:ascii="Times New Roman" w:hAnsi="Times New Roman" w:eastAsia="Times New Roman" w:cs="Times New Roman"/>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项为准）。</w:t>
      </w:r>
    </w:p>
    <w:p w14:paraId="2AA1CF80">
      <w:pPr>
        <w:spacing w:line="290" w:lineRule="auto"/>
        <w:rPr>
          <w:rFonts w:ascii="宋体" w:hAnsi="宋体" w:eastAsia="宋体" w:cs="宋体"/>
          <w:strike/>
          <w:dstrike w:val="0"/>
          <w:color w:val="auto"/>
          <w:sz w:val="24"/>
          <w:szCs w:val="24"/>
          <w:highlight w:val="none"/>
        </w:rPr>
        <w:sectPr>
          <w:footerReference r:id="rId33" w:type="default"/>
          <w:pgSz w:w="11905" w:h="16840"/>
          <w:pgMar w:top="1427" w:right="1465" w:bottom="1255" w:left="1593" w:header="0" w:footer="1093" w:gutter="0"/>
          <w:pgNumType w:fmt="decimal"/>
          <w:cols w:space="720" w:num="1"/>
        </w:sectPr>
      </w:pPr>
    </w:p>
    <w:p w14:paraId="65E60940">
      <w:pPr>
        <w:spacing w:before="48" w:line="359" w:lineRule="auto"/>
        <w:ind w:left="4" w:right="95"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9</w:t>
      </w:r>
      <w:r>
        <w:rPr>
          <w:rFonts w:ascii="宋体" w:hAnsi="宋体" w:eastAsia="宋体" w:cs="宋体"/>
          <w:strike/>
          <w:dstrike w:val="0"/>
          <w:color w:val="auto"/>
          <w:spacing w:val="-2"/>
          <w:sz w:val="24"/>
          <w:szCs w:val="24"/>
          <w:highlight w:val="none"/>
        </w:rPr>
        <w:t>）采用的验收标准或主要技术指标达不到国家强制性标准或招标文件以下条</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1"/>
          <w:sz w:val="24"/>
          <w:szCs w:val="24"/>
          <w:highlight w:val="none"/>
        </w:rPr>
        <w:t>款规定的：</w:t>
      </w:r>
    </w:p>
    <w:p w14:paraId="758DE073">
      <w:pPr>
        <w:spacing w:before="1" w:line="212" w:lineRule="auto"/>
        <w:ind w:left="592"/>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17"/>
          <w:sz w:val="25"/>
          <w:szCs w:val="25"/>
          <w:highlight w:val="none"/>
        </w:rPr>
        <w:t>……</w:t>
      </w:r>
      <w:r>
        <w:rPr>
          <w:rFonts w:ascii="宋体" w:hAnsi="宋体" w:eastAsia="宋体" w:cs="宋体"/>
          <w:strike/>
          <w:dstrike w:val="0"/>
          <w:color w:val="auto"/>
          <w:spacing w:val="-57"/>
          <w:sz w:val="25"/>
          <w:szCs w:val="25"/>
          <w:highlight w:val="none"/>
        </w:rPr>
        <w:t xml:space="preserve"> </w:t>
      </w:r>
      <w:r>
        <w:rPr>
          <w:rFonts w:ascii="宋体" w:hAnsi="宋体" w:eastAsia="宋体" w:cs="宋体"/>
          <w:i/>
          <w:iCs/>
          <w:strike/>
          <w:dstrike w:val="0"/>
          <w:color w:val="auto"/>
          <w:spacing w:val="-17"/>
          <w:sz w:val="25"/>
          <w:szCs w:val="25"/>
          <w:highlight w:val="none"/>
        </w:rPr>
        <w:t>（由招标人自行扩充，如无，请填“无”）</w:t>
      </w:r>
    </w:p>
    <w:p w14:paraId="2E179356">
      <w:pPr>
        <w:spacing w:before="178" w:line="290" w:lineRule="auto"/>
        <w:ind w:left="4" w:right="95"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10</w:t>
      </w:r>
      <w:r>
        <w:rPr>
          <w:rFonts w:ascii="宋体" w:hAnsi="宋体" w:eastAsia="宋体" w:cs="宋体"/>
          <w:strike/>
          <w:dstrike w:val="0"/>
          <w:color w:val="auto"/>
          <w:spacing w:val="1"/>
          <w:sz w:val="24"/>
          <w:szCs w:val="24"/>
          <w:highlight w:val="none"/>
        </w:rPr>
        <w:t>）采用的施工工艺、方法或质量安全管理措施不能满足国家强制性标准或</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9"/>
          <w:sz w:val="24"/>
          <w:szCs w:val="24"/>
          <w:highlight w:val="none"/>
        </w:rPr>
        <w:t>要求的。</w:t>
      </w:r>
    </w:p>
    <w:p w14:paraId="08E53D02">
      <w:pPr>
        <w:spacing w:before="180" w:line="289" w:lineRule="auto"/>
        <w:ind w:left="5" w:right="84"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11</w:t>
      </w:r>
      <w:r>
        <w:rPr>
          <w:rFonts w:ascii="宋体" w:hAnsi="宋体" w:eastAsia="宋体" w:cs="宋体"/>
          <w:strike/>
          <w:dstrike w:val="0"/>
          <w:color w:val="auto"/>
          <w:spacing w:val="-4"/>
          <w:sz w:val="24"/>
          <w:szCs w:val="24"/>
          <w:highlight w:val="none"/>
        </w:rPr>
        <w:t>）投标人存在投标人须知第“</w:t>
      </w:r>
      <w:r>
        <w:rPr>
          <w:rFonts w:ascii="Times New Roman" w:hAnsi="Times New Roman" w:eastAsia="Times New Roman" w:cs="Times New Roman"/>
          <w:strike/>
          <w:dstrike w:val="0"/>
          <w:color w:val="auto"/>
          <w:spacing w:val="-4"/>
          <w:sz w:val="24"/>
          <w:szCs w:val="24"/>
          <w:highlight w:val="none"/>
        </w:rPr>
        <w:t xml:space="preserve">1.4.3  </w:t>
      </w:r>
      <w:r>
        <w:rPr>
          <w:rFonts w:ascii="宋体" w:hAnsi="宋体" w:eastAsia="宋体" w:cs="宋体"/>
          <w:strike/>
          <w:dstrike w:val="0"/>
          <w:color w:val="auto"/>
          <w:spacing w:val="-4"/>
          <w:sz w:val="24"/>
          <w:szCs w:val="24"/>
          <w:highlight w:val="none"/>
        </w:rPr>
        <w:t>投标人不得存在下列情形之一</w:t>
      </w:r>
      <w:r>
        <w:rPr>
          <w:rFonts w:ascii="Times New Roman" w:hAnsi="Times New Roman" w:eastAsia="Times New Roman" w:cs="Times New Roman"/>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项或</w:t>
      </w:r>
      <w:r>
        <w:rPr>
          <w:rFonts w:ascii="宋体" w:hAnsi="宋体" w:eastAsia="宋体" w:cs="宋体"/>
          <w:strike/>
          <w:dstrike w:val="0"/>
          <w:color w:val="auto"/>
          <w:spacing w:val="-5"/>
          <w:sz w:val="24"/>
          <w:szCs w:val="24"/>
          <w:highlight w:val="none"/>
        </w:rPr>
        <w:t>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w:t>
      </w:r>
      <w:r>
        <w:rPr>
          <w:rFonts w:ascii="宋体" w:hAnsi="宋体" w:eastAsia="宋体" w:cs="宋体"/>
          <w:strike/>
          <w:dstrike w:val="0"/>
          <w:color w:val="auto"/>
          <w:spacing w:val="-2"/>
          <w:sz w:val="24"/>
          <w:szCs w:val="24"/>
          <w:highlight w:val="none"/>
        </w:rPr>
        <w:t>的。</w:t>
      </w:r>
    </w:p>
    <w:p w14:paraId="6793D14A">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12</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60"/>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08D02739">
      <w:pPr>
        <w:spacing w:before="179"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13</w:t>
      </w:r>
      <w:r>
        <w:rPr>
          <w:rFonts w:ascii="宋体" w:hAnsi="宋体" w:eastAsia="宋体" w:cs="宋体"/>
          <w:strike/>
          <w:dstrike w:val="0"/>
          <w:color w:val="auto"/>
          <w:spacing w:val="-2"/>
          <w:sz w:val="24"/>
          <w:szCs w:val="24"/>
          <w:highlight w:val="none"/>
        </w:rPr>
        <w:t>）存在法律、法规、规章规定的其他无效投标情况的。</w:t>
      </w:r>
    </w:p>
    <w:p w14:paraId="3501D426">
      <w:pPr>
        <w:spacing w:before="181" w:line="220" w:lineRule="auto"/>
        <w:ind w:left="548"/>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2</w:t>
      </w:r>
      <w:r>
        <w:rPr>
          <w:rFonts w:ascii="Times New Roman" w:hAnsi="Times New Roman" w:eastAsia="Times New Roman" w:cs="Times New Roman"/>
          <w:strike/>
          <w:dstrike w:val="0"/>
          <w:color w:val="auto"/>
          <w:spacing w:val="-15"/>
          <w:sz w:val="24"/>
          <w:szCs w:val="24"/>
          <w:highlight w:val="none"/>
        </w:rPr>
        <w:t xml:space="preserve"> </w:t>
      </w:r>
      <w:r>
        <w:rPr>
          <w:rFonts w:ascii="宋体" w:hAnsi="宋体" w:eastAsia="宋体" w:cs="宋体"/>
          <w:strike/>
          <w:dstrike w:val="0"/>
          <w:color w:val="auto"/>
          <w:spacing w:val="-6"/>
          <w:sz w:val="24"/>
          <w:szCs w:val="24"/>
          <w:highlight w:val="none"/>
        </w:rPr>
        <w:t>．商务标符合性审查未通过的情形：</w:t>
      </w:r>
    </w:p>
    <w:p w14:paraId="4D3AA068">
      <w:pPr>
        <w:spacing w:before="182" w:line="289" w:lineRule="auto"/>
        <w:ind w:left="2" w:right="9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73FD3BB0">
      <w:pPr>
        <w:spacing w:before="183" w:line="289" w:lineRule="auto"/>
        <w:ind w:left="2" w:right="99"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）同一投标人提交两个以上不同的投标报价且未声明哪一个有效的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1D4B792A">
      <w:pPr>
        <w:spacing w:before="182" w:line="289" w:lineRule="auto"/>
        <w:ind w:left="2" w:right="96"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）投标函载明的投标工期和质量不满足招标文件要求的（以投标人须知前附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表第</w:t>
      </w:r>
      <w:r>
        <w:rPr>
          <w:rFonts w:ascii="Times New Roman" w:hAnsi="Times New Roman" w:eastAsia="Times New Roman" w:cs="Times New Roman"/>
          <w:strike/>
          <w:dstrike w:val="0"/>
          <w:color w:val="auto"/>
          <w:spacing w:val="-4"/>
          <w:sz w:val="24"/>
          <w:szCs w:val="24"/>
          <w:highlight w:val="none"/>
        </w:rPr>
        <w:t>1.3.2</w:t>
      </w:r>
      <w:r>
        <w:rPr>
          <w:rFonts w:ascii="Times New Roman" w:hAnsi="Times New Roman" w:eastAsia="Times New Roman" w:cs="Times New Roman"/>
          <w:strike/>
          <w:dstrike w:val="0"/>
          <w:color w:val="auto"/>
          <w:spacing w:val="-26"/>
          <w:sz w:val="24"/>
          <w:szCs w:val="24"/>
          <w:highlight w:val="none"/>
        </w:rPr>
        <w:t xml:space="preserve"> </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1.3.3</w:t>
      </w:r>
      <w:r>
        <w:rPr>
          <w:rFonts w:ascii="宋体" w:hAnsi="宋体" w:eastAsia="宋体" w:cs="宋体"/>
          <w:strike/>
          <w:dstrike w:val="0"/>
          <w:color w:val="auto"/>
          <w:spacing w:val="-4"/>
          <w:sz w:val="24"/>
          <w:szCs w:val="24"/>
          <w:highlight w:val="none"/>
        </w:rPr>
        <w:t>项为准）。</w:t>
      </w:r>
    </w:p>
    <w:p w14:paraId="5463E670">
      <w:pPr>
        <w:spacing w:before="181"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）投标报价高于招标文件设定的最高投标限价或分项限价的。</w:t>
      </w:r>
    </w:p>
    <w:p w14:paraId="6C34030E">
      <w:pPr>
        <w:spacing w:before="182" w:line="313" w:lineRule="auto"/>
        <w:ind w:left="3" w:firstLine="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）改变招标人提供的工程量清单中的项目编码、项目名</w:t>
      </w:r>
      <w:r>
        <w:rPr>
          <w:rFonts w:ascii="宋体" w:hAnsi="宋体" w:eastAsia="宋体" w:cs="宋体"/>
          <w:strike/>
          <w:dstrike w:val="0"/>
          <w:color w:val="auto"/>
          <w:sz w:val="24"/>
          <w:szCs w:val="24"/>
          <w:highlight w:val="none"/>
        </w:rPr>
        <w:t xml:space="preserve">称、项目主要特征、 </w:t>
      </w:r>
      <w:r>
        <w:rPr>
          <w:rFonts w:ascii="宋体" w:hAnsi="宋体" w:eastAsia="宋体" w:cs="宋体"/>
          <w:strike/>
          <w:dstrike w:val="0"/>
          <w:color w:val="auto"/>
          <w:spacing w:val="-3"/>
          <w:sz w:val="24"/>
          <w:szCs w:val="24"/>
          <w:highlight w:val="none"/>
        </w:rPr>
        <w:t>计量单位、工程数量、主要技术条款编码、金额等内容的（但按照国家规范所作的修</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改和招标文件规定的除外）。</w:t>
      </w:r>
    </w:p>
    <w:p w14:paraId="6316104A">
      <w:pPr>
        <w:spacing w:before="181" w:line="220"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）投标人存在投标人须知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项规定情形之一的。</w:t>
      </w:r>
    </w:p>
    <w:p w14:paraId="46A0092A">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7</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2C85008B">
      <w:pPr>
        <w:spacing w:before="178"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）存在法律、法规、规章规定的其他无效投标情况的。</w:t>
      </w:r>
    </w:p>
    <w:p w14:paraId="1296C30E">
      <w:pPr>
        <w:spacing w:before="183"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  </w:t>
      </w:r>
      <w:r>
        <w:rPr>
          <w:rFonts w:ascii="楷体" w:hAnsi="楷体" w:eastAsia="楷体" w:cs="楷体"/>
          <w:b/>
          <w:bCs/>
          <w:strike/>
          <w:dstrike w:val="0"/>
          <w:color w:val="auto"/>
          <w:spacing w:val="-2"/>
          <w:sz w:val="24"/>
          <w:szCs w:val="24"/>
          <w:highlight w:val="none"/>
        </w:rPr>
        <w:t>投标文件的技术评审</w:t>
      </w:r>
    </w:p>
    <w:p w14:paraId="57925F46">
      <w:pPr>
        <w:spacing w:before="179" w:line="289" w:lineRule="auto"/>
        <w:ind w:left="3" w:right="84" w:firstLine="54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4.3.1  </w:t>
      </w:r>
      <w:r>
        <w:rPr>
          <w:rFonts w:ascii="宋体" w:hAnsi="宋体" w:eastAsia="宋体" w:cs="宋体"/>
          <w:strike/>
          <w:dstrike w:val="0"/>
          <w:color w:val="auto"/>
          <w:spacing w:val="-1"/>
          <w:sz w:val="24"/>
          <w:szCs w:val="24"/>
          <w:highlight w:val="none"/>
        </w:rPr>
        <w:t>评标委员会应对通过符合性审查的投标文件进行技术评</w:t>
      </w:r>
      <w:r>
        <w:rPr>
          <w:rFonts w:ascii="宋体" w:hAnsi="宋体" w:eastAsia="宋体" w:cs="宋体"/>
          <w:strike/>
          <w:dstrike w:val="0"/>
          <w:color w:val="auto"/>
          <w:spacing w:val="-2"/>
          <w:sz w:val="24"/>
          <w:szCs w:val="24"/>
          <w:highlight w:val="none"/>
        </w:rPr>
        <w:t>审。专家评审采用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集体评议、记名表决、少数服从多数的方法进行。</w:t>
      </w:r>
    </w:p>
    <w:p w14:paraId="36A88F6D">
      <w:pPr>
        <w:spacing w:before="180" w:line="220" w:lineRule="auto"/>
        <w:ind w:left="54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4.3.2  </w:t>
      </w:r>
      <w:r>
        <w:rPr>
          <w:rFonts w:ascii="宋体" w:hAnsi="宋体" w:eastAsia="宋体" w:cs="宋体"/>
          <w:strike/>
          <w:dstrike w:val="0"/>
          <w:color w:val="auto"/>
          <w:spacing w:val="-2"/>
          <w:sz w:val="24"/>
          <w:szCs w:val="24"/>
          <w:highlight w:val="none"/>
        </w:rPr>
        <w:t>如投标文件有以下情况之一的，按技术评审不通过处理：</w:t>
      </w:r>
    </w:p>
    <w:p w14:paraId="66526809">
      <w:pPr>
        <w:spacing w:before="181"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）项目负责人或技术负责人不明确的。</w:t>
      </w:r>
    </w:p>
    <w:p w14:paraId="62F64A88">
      <w:pPr>
        <w:spacing w:before="181"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）主要的施工技术方案或安全保障措施不可</w:t>
      </w:r>
      <w:r>
        <w:rPr>
          <w:rFonts w:ascii="宋体" w:hAnsi="宋体" w:eastAsia="宋体" w:cs="宋体"/>
          <w:strike/>
          <w:dstrike w:val="0"/>
          <w:color w:val="auto"/>
          <w:spacing w:val="-3"/>
          <w:sz w:val="24"/>
          <w:szCs w:val="24"/>
          <w:highlight w:val="none"/>
        </w:rPr>
        <w:t>行的。</w:t>
      </w:r>
    </w:p>
    <w:p w14:paraId="3C659406">
      <w:pPr>
        <w:spacing w:before="181"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）主要施工机械设备不能满足施工需要的。</w:t>
      </w:r>
    </w:p>
    <w:p w14:paraId="00221579">
      <w:pPr>
        <w:spacing w:line="219" w:lineRule="auto"/>
        <w:rPr>
          <w:rFonts w:ascii="宋体" w:hAnsi="宋体" w:eastAsia="宋体" w:cs="宋体"/>
          <w:strike/>
          <w:dstrike w:val="0"/>
          <w:color w:val="auto"/>
          <w:sz w:val="24"/>
          <w:szCs w:val="24"/>
          <w:highlight w:val="none"/>
        </w:rPr>
        <w:sectPr>
          <w:footerReference r:id="rId34" w:type="default"/>
          <w:pgSz w:w="11905" w:h="16840"/>
          <w:pgMar w:top="1428" w:right="1444" w:bottom="1255" w:left="1593" w:header="0" w:footer="1093" w:gutter="0"/>
          <w:pgNumType w:fmt="decimal"/>
          <w:cols w:space="720" w:num="1"/>
        </w:sectPr>
      </w:pPr>
    </w:p>
    <w:p w14:paraId="03CA7931">
      <w:pPr>
        <w:spacing w:before="47"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）附有工程无法适用的其他技术和管理</w:t>
      </w:r>
      <w:r>
        <w:rPr>
          <w:rFonts w:ascii="宋体" w:hAnsi="宋体" w:eastAsia="宋体" w:cs="宋体"/>
          <w:strike/>
          <w:dstrike w:val="0"/>
          <w:color w:val="auto"/>
          <w:spacing w:val="-3"/>
          <w:sz w:val="24"/>
          <w:szCs w:val="24"/>
          <w:highlight w:val="none"/>
        </w:rPr>
        <w:t>条款的。</w:t>
      </w:r>
    </w:p>
    <w:p w14:paraId="5AB3635E">
      <w:pPr>
        <w:spacing w:before="182"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5</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71"/>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704B4D23">
      <w:pPr>
        <w:spacing w:before="178" w:line="359" w:lineRule="auto"/>
        <w:ind w:left="2" w:right="65" w:firstLine="480"/>
        <w:jc w:val="both"/>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4.3.3  </w:t>
      </w:r>
      <w:r>
        <w:rPr>
          <w:rFonts w:ascii="宋体" w:hAnsi="宋体" w:eastAsia="宋体" w:cs="宋体"/>
          <w:strike/>
          <w:dstrike w:val="0"/>
          <w:color w:val="auto"/>
          <w:sz w:val="24"/>
          <w:szCs w:val="24"/>
          <w:highlight w:val="none"/>
        </w:rPr>
        <w:t>技术评审不通过的投标文件不再进入后续评审。其他投标人按投标报价由</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低到高依次递补满</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家（少于</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家时全部进入评审范围）。第</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家有多个投标人报价</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4"/>
          <w:sz w:val="24"/>
          <w:szCs w:val="24"/>
          <w:highlight w:val="none"/>
        </w:rPr>
        <w:t>相同时，全部进入评审范围。</w:t>
      </w:r>
    </w:p>
    <w:p w14:paraId="79150717">
      <w:pPr>
        <w:spacing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  </w:t>
      </w:r>
      <w:r>
        <w:rPr>
          <w:rFonts w:ascii="楷体" w:hAnsi="楷体" w:eastAsia="楷体" w:cs="楷体"/>
          <w:b/>
          <w:bCs/>
          <w:strike/>
          <w:dstrike w:val="0"/>
          <w:color w:val="auto"/>
          <w:spacing w:val="-2"/>
          <w:sz w:val="24"/>
          <w:szCs w:val="24"/>
          <w:highlight w:val="none"/>
        </w:rPr>
        <w:t>投标文件的商务评审</w:t>
      </w:r>
    </w:p>
    <w:p w14:paraId="685D196B">
      <w:pPr>
        <w:spacing w:before="178" w:line="312" w:lineRule="auto"/>
        <w:ind w:left="2" w:right="65"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4.4.1  </w:t>
      </w:r>
      <w:r>
        <w:rPr>
          <w:rFonts w:ascii="宋体" w:hAnsi="宋体" w:eastAsia="宋体" w:cs="宋体"/>
          <w:strike/>
          <w:dstrike w:val="0"/>
          <w:color w:val="auto"/>
          <w:sz w:val="24"/>
          <w:szCs w:val="24"/>
          <w:highlight w:val="none"/>
        </w:rPr>
        <w:t>评标委员会对通过符合性评审、技术评审的投标文件进行商务评审。评标</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委员会应对商务报价的范围、数量、单价、费用组成和总价等进行全面审阅和对比分</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析，找出报价差异的原因及存在的问题。</w:t>
      </w:r>
    </w:p>
    <w:p w14:paraId="451523DE">
      <w:pPr>
        <w:spacing w:before="183" w:line="312" w:lineRule="auto"/>
        <w:ind w:left="5" w:right="64" w:firstLine="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4.4.2  </w:t>
      </w:r>
      <w:r>
        <w:rPr>
          <w:rFonts w:ascii="宋体" w:hAnsi="宋体" w:eastAsia="宋体" w:cs="宋体"/>
          <w:strike/>
          <w:dstrike w:val="0"/>
          <w:color w:val="auto"/>
          <w:sz w:val="24"/>
          <w:szCs w:val="24"/>
          <w:highlight w:val="none"/>
        </w:rPr>
        <w:t>商务评审应以报价口径范围一致的投标评标价为依据。投标评标价应在最</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终报价的基础上，按照招标文件约定的因素和方法进行计算。凡属招标文件的原因造</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成报价口径范围不一致的，应调整投标报价。其中算术错误的调整原则为：</w:t>
      </w:r>
    </w:p>
    <w:p w14:paraId="6149B380">
      <w:pPr>
        <w:spacing w:before="183"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）用数字表示的金额与文字表示的数额不一致时，以文字数额为准。</w:t>
      </w:r>
    </w:p>
    <w:p w14:paraId="78E143D8">
      <w:pPr>
        <w:spacing w:before="182" w:line="324" w:lineRule="auto"/>
        <w:ind w:left="5" w:firstLine="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）凡属投标人自身失误造成多算、少算、漏算的，</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7"/>
          <w:sz w:val="24"/>
          <w:szCs w:val="24"/>
          <w:highlight w:val="none"/>
        </w:rPr>
        <w:t>不调整投标报价。若有算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术性差错，均在投标报价不变的前提下按招标人要求调整单价及有关费用，调整后的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单价及有关费用对投标人起约束作用，如果投标人不接受修正后的单价及有关</w:t>
      </w:r>
      <w:r>
        <w:rPr>
          <w:rFonts w:ascii="宋体" w:hAnsi="宋体" w:eastAsia="宋体" w:cs="宋体"/>
          <w:strike/>
          <w:dstrike w:val="0"/>
          <w:color w:val="auto"/>
          <w:spacing w:val="-2"/>
          <w:sz w:val="24"/>
          <w:szCs w:val="24"/>
          <w:highlight w:val="none"/>
        </w:rPr>
        <w:t>费用，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则按商务评审不合格处理。</w:t>
      </w:r>
    </w:p>
    <w:p w14:paraId="7C6FC3D6">
      <w:pPr>
        <w:spacing w:before="182" w:line="218" w:lineRule="auto"/>
        <w:ind w:left="54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4.4.3  </w:t>
      </w:r>
      <w:r>
        <w:rPr>
          <w:rFonts w:ascii="宋体" w:hAnsi="宋体" w:eastAsia="宋体" w:cs="宋体"/>
          <w:strike/>
          <w:dstrike w:val="0"/>
          <w:color w:val="auto"/>
          <w:spacing w:val="-2"/>
          <w:sz w:val="24"/>
          <w:szCs w:val="24"/>
          <w:highlight w:val="none"/>
        </w:rPr>
        <w:t>投标报价中，如有以下情况之一的，按商务评审不合格处理：</w:t>
      </w:r>
    </w:p>
    <w:p w14:paraId="5FF52029">
      <w:pPr>
        <w:spacing w:before="183" w:line="218"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）投标人拒绝修正不平衡报价或拒绝提供报价分析说明和证明材料的。</w:t>
      </w:r>
    </w:p>
    <w:p w14:paraId="14DC0BF2">
      <w:pPr>
        <w:spacing w:before="183" w:line="291" w:lineRule="auto"/>
        <w:ind w:left="3" w:right="84"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）因投标人自身多算、少算、错算、漏算而造成的错误金额超过投标总价的</w:t>
      </w:r>
      <w:r>
        <w:rPr>
          <w:rFonts w:ascii="宋体" w:hAnsi="宋体" w:eastAsia="宋体" w:cs="宋体"/>
          <w:strike/>
          <w:dstrike w:val="0"/>
          <w:color w:val="auto"/>
          <w:spacing w:val="2"/>
          <w:sz w:val="24"/>
          <w:szCs w:val="24"/>
          <w:highlight w:val="none"/>
        </w:rPr>
        <w:t xml:space="preserve"> </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的。</w:t>
      </w:r>
    </w:p>
    <w:p w14:paraId="31F2549A">
      <w:pPr>
        <w:spacing w:before="177"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）安全施工费低于招标文件规定的。</w:t>
      </w:r>
    </w:p>
    <w:p w14:paraId="1F408827">
      <w:pPr>
        <w:spacing w:before="183" w:line="312" w:lineRule="auto"/>
        <w:ind w:left="2" w:right="65" w:firstLine="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4</w:t>
      </w:r>
      <w:r>
        <w:rPr>
          <w:rFonts w:ascii="宋体" w:hAnsi="宋体" w:eastAsia="宋体" w:cs="宋体"/>
          <w:strike/>
          <w:dstrike w:val="0"/>
          <w:color w:val="auto"/>
          <w:spacing w:val="-1"/>
          <w:sz w:val="24"/>
          <w:szCs w:val="24"/>
          <w:highlight w:val="none"/>
        </w:rPr>
        <w:t>）通过符合性审查、技术评审的最低投标评</w:t>
      </w:r>
      <w:r>
        <w:rPr>
          <w:rFonts w:ascii="宋体" w:hAnsi="宋体" w:eastAsia="宋体" w:cs="宋体"/>
          <w:strike/>
          <w:dstrike w:val="0"/>
          <w:color w:val="auto"/>
          <w:spacing w:val="-2"/>
          <w:sz w:val="24"/>
          <w:szCs w:val="24"/>
          <w:highlight w:val="none"/>
        </w:rPr>
        <w:t>标价低于通过符合性审查和技术</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评审的次低投标评标价</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，且经询标投标人对</w:t>
      </w:r>
      <w:r>
        <w:rPr>
          <w:rFonts w:ascii="宋体" w:hAnsi="宋体" w:eastAsia="宋体" w:cs="宋体"/>
          <w:strike/>
          <w:dstrike w:val="0"/>
          <w:color w:val="auto"/>
          <w:spacing w:val="1"/>
          <w:sz w:val="24"/>
          <w:szCs w:val="24"/>
          <w:highlight w:val="none"/>
        </w:rPr>
        <w:t>其报价不能充分说明理由，或提供的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相关材料无法证明报价不低于其成本价的。</w:t>
      </w:r>
    </w:p>
    <w:p w14:paraId="343B2CED">
      <w:pPr>
        <w:spacing w:before="183"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）评标委员会认定属投标人自身原因有重大漏项的。</w:t>
      </w:r>
    </w:p>
    <w:p w14:paraId="104DD0C9">
      <w:pPr>
        <w:spacing w:before="182"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6</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64C4ABE2">
      <w:pPr>
        <w:spacing w:before="179" w:line="360" w:lineRule="auto"/>
        <w:ind w:left="4" w:right="65" w:firstLine="478"/>
        <w:jc w:val="both"/>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4.4.4    </w:t>
      </w:r>
      <w:r>
        <w:rPr>
          <w:rFonts w:ascii="宋体" w:hAnsi="宋体" w:eastAsia="宋体" w:cs="宋体"/>
          <w:strike/>
          <w:dstrike w:val="0"/>
          <w:color w:val="auto"/>
          <w:spacing w:val="-2"/>
          <w:sz w:val="24"/>
          <w:szCs w:val="24"/>
          <w:highlight w:val="none"/>
        </w:rPr>
        <w:t>商务标评审不通过的投标文</w:t>
      </w:r>
      <w:r>
        <w:rPr>
          <w:rFonts w:ascii="宋体" w:hAnsi="宋体" w:eastAsia="宋体" w:cs="宋体"/>
          <w:strike/>
          <w:dstrike w:val="0"/>
          <w:color w:val="auto"/>
          <w:spacing w:val="-3"/>
          <w:sz w:val="24"/>
          <w:szCs w:val="24"/>
          <w:highlight w:val="none"/>
        </w:rPr>
        <w:t>件不再进入后续评审。其他投标人按投标报价</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由低到高依次递补满</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家（少于</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家时全部进入评审范围）。第</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家有多个投标人报</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3"/>
          <w:sz w:val="24"/>
          <w:szCs w:val="24"/>
          <w:highlight w:val="none"/>
        </w:rPr>
        <w:t>价相同时，全部进入评审范围。</w:t>
      </w:r>
    </w:p>
    <w:p w14:paraId="39E5BCBC">
      <w:pPr>
        <w:spacing w:line="360" w:lineRule="auto"/>
        <w:rPr>
          <w:rFonts w:ascii="宋体" w:hAnsi="宋体" w:eastAsia="宋体" w:cs="宋体"/>
          <w:strike/>
          <w:dstrike w:val="0"/>
          <w:color w:val="auto"/>
          <w:sz w:val="24"/>
          <w:szCs w:val="24"/>
          <w:highlight w:val="none"/>
        </w:rPr>
        <w:sectPr>
          <w:footerReference r:id="rId35" w:type="default"/>
          <w:pgSz w:w="11905" w:h="16840"/>
          <w:pgMar w:top="1428" w:right="1463" w:bottom="1255" w:left="1593" w:header="0" w:footer="1093" w:gutter="0"/>
          <w:pgNumType w:fmt="decimal"/>
          <w:cols w:space="720" w:num="1"/>
        </w:sectPr>
      </w:pPr>
    </w:p>
    <w:p w14:paraId="0B48672C">
      <w:pPr>
        <w:spacing w:before="47" w:line="211" w:lineRule="auto"/>
        <w:ind w:left="52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9"/>
          <w:sz w:val="24"/>
          <w:szCs w:val="24"/>
          <w:highlight w:val="none"/>
        </w:rPr>
        <w:t xml:space="preserve">4.4.5  </w:t>
      </w:r>
      <w:r>
        <w:rPr>
          <w:rFonts w:ascii="宋体" w:hAnsi="宋体" w:eastAsia="宋体" w:cs="宋体"/>
          <w:strike/>
          <w:dstrike w:val="0"/>
          <w:color w:val="auto"/>
          <w:spacing w:val="-9"/>
          <w:sz w:val="24"/>
          <w:szCs w:val="24"/>
          <w:highlight w:val="none"/>
        </w:rPr>
        <w:t>商务评分计算办法</w:t>
      </w:r>
      <w:r>
        <w:rPr>
          <w:rFonts w:ascii="宋体" w:hAnsi="宋体" w:eastAsia="宋体" w:cs="宋体"/>
          <w:strike/>
          <w:dstrike w:val="0"/>
          <w:color w:val="auto"/>
          <w:spacing w:val="-36"/>
          <w:sz w:val="24"/>
          <w:szCs w:val="24"/>
          <w:highlight w:val="none"/>
        </w:rPr>
        <w:t xml:space="preserve"> </w:t>
      </w:r>
      <w:r>
        <w:rPr>
          <w:rFonts w:ascii="宋体" w:hAnsi="宋体" w:eastAsia="宋体" w:cs="宋体"/>
          <w:i/>
          <w:iCs/>
          <w:strike/>
          <w:dstrike w:val="0"/>
          <w:color w:val="auto"/>
          <w:spacing w:val="-9"/>
          <w:sz w:val="25"/>
          <w:szCs w:val="25"/>
          <w:highlight w:val="none"/>
        </w:rPr>
        <w:t>（以下评分基准价的确定方法仅供参考</w:t>
      </w:r>
      <w:r>
        <w:rPr>
          <w:rFonts w:ascii="宋体" w:hAnsi="宋体" w:eastAsia="宋体" w:cs="宋体"/>
          <w:i/>
          <w:iCs/>
          <w:strike/>
          <w:dstrike w:val="0"/>
          <w:color w:val="auto"/>
          <w:spacing w:val="8"/>
          <w:sz w:val="25"/>
          <w:szCs w:val="25"/>
          <w:highlight w:val="none"/>
        </w:rPr>
        <w:t>）</w:t>
      </w:r>
      <w:r>
        <w:rPr>
          <w:rFonts w:ascii="宋体" w:hAnsi="宋体" w:eastAsia="宋体" w:cs="宋体"/>
          <w:strike/>
          <w:dstrike w:val="0"/>
          <w:color w:val="auto"/>
          <w:spacing w:val="8"/>
          <w:sz w:val="24"/>
          <w:szCs w:val="24"/>
          <w:highlight w:val="none"/>
        </w:rPr>
        <w:t>：</w:t>
      </w:r>
    </w:p>
    <w:p w14:paraId="04F201DD">
      <w:pPr>
        <w:spacing w:before="181" w:line="359" w:lineRule="auto"/>
        <w:ind w:left="10" w:right="235" w:firstLine="49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）评分基准价的确定</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进入评审范围的各投标人评标价的算术平均值为评分基准</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12"/>
          <w:sz w:val="24"/>
          <w:szCs w:val="24"/>
          <w:highlight w:val="none"/>
        </w:rPr>
        <w:t>价。</w:t>
      </w:r>
    </w:p>
    <w:p w14:paraId="0D237792">
      <w:pPr>
        <w:spacing w:line="359" w:lineRule="auto"/>
        <w:ind w:left="10" w:right="235" w:firstLine="53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评分基准价由评标委员会依据上述方法计算，除计算差错外，确认后的评分基准</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4"/>
          <w:sz w:val="24"/>
          <w:szCs w:val="24"/>
          <w:highlight w:val="none"/>
        </w:rPr>
        <w:t>价在本次招标期间保持不变。</w:t>
      </w:r>
    </w:p>
    <w:p w14:paraId="623A2286">
      <w:pPr>
        <w:spacing w:before="1" w:line="359" w:lineRule="auto"/>
        <w:ind w:left="10" w:right="237" w:firstLine="47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计算差错，仅限于以下两种情况</w:t>
      </w:r>
      <w:r>
        <w:rPr>
          <w:rFonts w:ascii="宋体" w:hAnsi="宋体" w:eastAsia="宋体" w:cs="宋体"/>
          <w:strike/>
          <w:dstrike w:val="0"/>
          <w:color w:val="auto"/>
          <w:spacing w:val="-31"/>
          <w:sz w:val="24"/>
          <w:szCs w:val="24"/>
          <w:highlight w:val="none"/>
        </w:rPr>
        <w:t>：（</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）纯算术性</w:t>
      </w:r>
      <w:r>
        <w:rPr>
          <w:rFonts w:ascii="宋体" w:hAnsi="宋体" w:eastAsia="宋体" w:cs="宋体"/>
          <w:strike/>
          <w:dstrike w:val="0"/>
          <w:color w:val="auto"/>
          <w:sz w:val="24"/>
          <w:szCs w:val="24"/>
          <w:highlight w:val="none"/>
        </w:rPr>
        <w:t>四则运算差错</w:t>
      </w:r>
      <w:r>
        <w:rPr>
          <w:rFonts w:ascii="宋体" w:hAnsi="宋体" w:eastAsia="宋体" w:cs="宋体"/>
          <w:strike/>
          <w:dstrike w:val="0"/>
          <w:color w:val="auto"/>
          <w:spacing w:val="-31"/>
          <w:sz w:val="24"/>
          <w:szCs w:val="24"/>
          <w:highlight w:val="none"/>
        </w:rPr>
        <w:t>；（</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 xml:space="preserve">）未按约定 </w:t>
      </w:r>
      <w:r>
        <w:rPr>
          <w:rFonts w:ascii="宋体" w:hAnsi="宋体" w:eastAsia="宋体" w:cs="宋体"/>
          <w:strike/>
          <w:dstrike w:val="0"/>
          <w:color w:val="auto"/>
          <w:spacing w:val="-6"/>
          <w:sz w:val="24"/>
          <w:szCs w:val="24"/>
          <w:highlight w:val="none"/>
        </w:rPr>
        <w:t>的计算方法，多计或者少计投标人报价的。由于评标差错导致否决投标错误， 重新评</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3"/>
          <w:sz w:val="24"/>
          <w:szCs w:val="24"/>
          <w:highlight w:val="none"/>
        </w:rPr>
        <w:t>标纠正等情况，不属于计算差错。</w:t>
      </w:r>
    </w:p>
    <w:p w14:paraId="5D8CF4F9">
      <w:pPr>
        <w:spacing w:line="359" w:lineRule="auto"/>
        <w:ind w:left="10" w:right="247" w:firstLine="47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）报价评分值的计算：以评分基准价为基础，将各投标人的评标价与评分基准</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价比较，计算出偏离基准价的百分数后，再进行计分。即：</w:t>
      </w:r>
    </w:p>
    <w:p w14:paraId="4557749D">
      <w:pPr>
        <w:spacing w:line="218" w:lineRule="auto"/>
        <w:ind w:left="47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a.  </w:t>
      </w:r>
      <w:r>
        <w:rPr>
          <w:rFonts w:ascii="宋体" w:hAnsi="宋体" w:eastAsia="宋体" w:cs="宋体"/>
          <w:strike/>
          <w:dstrike w:val="0"/>
          <w:color w:val="auto"/>
          <w:spacing w:val="-1"/>
          <w:sz w:val="24"/>
          <w:szCs w:val="24"/>
          <w:highlight w:val="none"/>
        </w:rPr>
        <w:t>投标评标价等于评分基准价时，得满分（</w:t>
      </w:r>
      <w:r>
        <w:rPr>
          <w:rFonts w:ascii="Times New Roman" w:hAnsi="Times New Roman" w:eastAsia="Times New Roman" w:cs="Times New Roman"/>
          <w:strike/>
          <w:dstrike w:val="0"/>
          <w:color w:val="auto"/>
          <w:spacing w:val="-1"/>
          <w:sz w:val="24"/>
          <w:szCs w:val="24"/>
          <w:highlight w:val="none"/>
          <w:u w:val="single" w:color="auto"/>
        </w:rPr>
        <w:t xml:space="preserve">  97  </w:t>
      </w:r>
      <w:r>
        <w:rPr>
          <w:rFonts w:ascii="宋体" w:hAnsi="宋体" w:eastAsia="宋体" w:cs="宋体"/>
          <w:strike/>
          <w:dstrike w:val="0"/>
          <w:color w:val="auto"/>
          <w:spacing w:val="-1"/>
          <w:sz w:val="24"/>
          <w:szCs w:val="24"/>
          <w:highlight w:val="none"/>
        </w:rPr>
        <w:t>分）。</w:t>
      </w:r>
    </w:p>
    <w:p w14:paraId="44E982B6">
      <w:pPr>
        <w:spacing w:before="182" w:line="279" w:lineRule="auto"/>
        <w:ind w:left="56" w:right="236" w:firstLine="41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3"/>
          <w:sz w:val="24"/>
          <w:szCs w:val="24"/>
          <w:highlight w:val="none"/>
        </w:rPr>
        <w:t xml:space="preserve">b.  </w:t>
      </w:r>
      <w:r>
        <w:rPr>
          <w:rFonts w:ascii="宋体" w:hAnsi="宋体" w:eastAsia="宋体" w:cs="宋体"/>
          <w:strike/>
          <w:dstrike w:val="0"/>
          <w:color w:val="auto"/>
          <w:spacing w:val="-13"/>
          <w:sz w:val="24"/>
          <w:szCs w:val="24"/>
          <w:highlight w:val="none"/>
        </w:rPr>
        <w:t>投标评标价每低于评分基准价</w:t>
      </w:r>
      <w:r>
        <w:rPr>
          <w:rFonts w:ascii="宋体" w:hAnsi="宋体" w:eastAsia="宋体" w:cs="宋体"/>
          <w:strike/>
          <w:dstrike w:val="0"/>
          <w:color w:val="auto"/>
          <w:spacing w:val="-39"/>
          <w:sz w:val="24"/>
          <w:szCs w:val="24"/>
          <w:highlight w:val="none"/>
        </w:rPr>
        <w:t xml:space="preserve"> </w:t>
      </w:r>
      <w:r>
        <w:rPr>
          <w:rFonts w:ascii="Times New Roman" w:hAnsi="Times New Roman" w:eastAsia="Times New Roman" w:cs="Times New Roman"/>
          <w:strike/>
          <w:dstrike w:val="0"/>
          <w:color w:val="auto"/>
          <w:spacing w:val="-13"/>
          <w:sz w:val="24"/>
          <w:szCs w:val="24"/>
          <w:highlight w:val="none"/>
        </w:rPr>
        <w:t xml:space="preserve">1 </w:t>
      </w:r>
      <w:r>
        <w:rPr>
          <w:rFonts w:ascii="宋体" w:hAnsi="宋体" w:eastAsia="宋体" w:cs="宋体"/>
          <w:strike/>
          <w:dstrike w:val="0"/>
          <w:color w:val="auto"/>
          <w:spacing w:val="-13"/>
          <w:sz w:val="24"/>
          <w:szCs w:val="24"/>
          <w:highlight w:val="none"/>
        </w:rPr>
        <w:t>个百分点，扣</w:t>
      </w:r>
      <w:r>
        <w:rPr>
          <w:rFonts w:ascii="宋体" w:hAnsi="宋体" w:eastAsia="宋体" w:cs="宋体"/>
          <w:strike/>
          <w:dstrike w:val="0"/>
          <w:color w:val="auto"/>
          <w:spacing w:val="-13"/>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3"/>
          <w:sz w:val="24"/>
          <w:szCs w:val="24"/>
          <w:highlight w:val="none"/>
        </w:rPr>
        <w:t>分。（</w:t>
      </w:r>
      <w:r>
        <w:rPr>
          <w:rFonts w:ascii="宋体" w:hAnsi="宋体" w:eastAsia="宋体" w:cs="宋体"/>
          <w:strike/>
          <w:dstrike w:val="0"/>
          <w:color w:val="auto"/>
          <w:spacing w:val="-53"/>
          <w:sz w:val="24"/>
          <w:szCs w:val="24"/>
          <w:highlight w:val="none"/>
        </w:rPr>
        <w:t xml:space="preserve"> </w:t>
      </w:r>
      <w:r>
        <w:rPr>
          <w:rFonts w:ascii="宋体" w:hAnsi="宋体" w:eastAsia="宋体" w:cs="宋体"/>
          <w:i/>
          <w:iCs/>
          <w:strike/>
          <w:dstrike w:val="0"/>
          <w:color w:val="auto"/>
          <w:spacing w:val="-13"/>
          <w:sz w:val="25"/>
          <w:szCs w:val="25"/>
          <w:highlight w:val="none"/>
        </w:rPr>
        <w:t>扣分区间由招标人</w:t>
      </w:r>
      <w:r>
        <w:rPr>
          <w:rFonts w:ascii="宋体" w:hAnsi="宋体" w:eastAsia="宋体" w:cs="宋体"/>
          <w:strike/>
          <w:dstrike w:val="0"/>
          <w:color w:val="auto"/>
          <w:spacing w:val="-67"/>
          <w:sz w:val="25"/>
          <w:szCs w:val="25"/>
          <w:highlight w:val="none"/>
        </w:rPr>
        <w:t xml:space="preserve"> </w:t>
      </w:r>
      <w:r>
        <w:rPr>
          <w:rFonts w:ascii="Times New Roman" w:hAnsi="Times New Roman" w:eastAsia="Times New Roman" w:cs="Times New Roman"/>
          <w:i/>
          <w:iCs/>
          <w:strike/>
          <w:dstrike w:val="0"/>
          <w:color w:val="auto"/>
          <w:spacing w:val="-13"/>
          <w:sz w:val="24"/>
          <w:szCs w:val="24"/>
          <w:highlight w:val="none"/>
        </w:rPr>
        <w:t>0.5~1</w:t>
      </w:r>
      <w:r>
        <w:rPr>
          <w:rFonts w:ascii="Times New Roman" w:hAnsi="Times New Roman" w:eastAsia="Times New Roman" w:cs="Times New Roman"/>
          <w:i/>
          <w:iCs/>
          <w:strike/>
          <w:dstrike w:val="0"/>
          <w:color w:val="auto"/>
          <w:sz w:val="24"/>
          <w:szCs w:val="24"/>
          <w:highlight w:val="none"/>
        </w:rPr>
        <w:t xml:space="preserve"> </w:t>
      </w:r>
      <w:r>
        <w:rPr>
          <w:rFonts w:ascii="宋体" w:hAnsi="宋体" w:eastAsia="宋体" w:cs="宋体"/>
          <w:i/>
          <w:iCs/>
          <w:strike/>
          <w:dstrike w:val="0"/>
          <w:color w:val="auto"/>
          <w:spacing w:val="-15"/>
          <w:sz w:val="25"/>
          <w:szCs w:val="25"/>
          <w:highlight w:val="none"/>
        </w:rPr>
        <w:t>之间自行确定</w:t>
      </w:r>
      <w:r>
        <w:rPr>
          <w:rFonts w:ascii="宋体" w:hAnsi="宋体" w:eastAsia="宋体" w:cs="宋体"/>
          <w:strike/>
          <w:dstrike w:val="0"/>
          <w:color w:val="auto"/>
          <w:spacing w:val="-15"/>
          <w:sz w:val="24"/>
          <w:szCs w:val="24"/>
          <w:highlight w:val="none"/>
        </w:rPr>
        <w:t>）</w:t>
      </w:r>
    </w:p>
    <w:p w14:paraId="3A039442">
      <w:pPr>
        <w:spacing w:before="180" w:line="278" w:lineRule="auto"/>
        <w:ind w:left="81" w:right="235" w:firstLine="39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3"/>
          <w:sz w:val="24"/>
          <w:szCs w:val="24"/>
          <w:highlight w:val="none"/>
        </w:rPr>
        <w:t xml:space="preserve">c.  </w:t>
      </w:r>
      <w:r>
        <w:rPr>
          <w:rFonts w:ascii="宋体" w:hAnsi="宋体" w:eastAsia="宋体" w:cs="宋体"/>
          <w:strike/>
          <w:dstrike w:val="0"/>
          <w:color w:val="auto"/>
          <w:spacing w:val="-13"/>
          <w:sz w:val="24"/>
          <w:szCs w:val="24"/>
          <w:highlight w:val="none"/>
        </w:rPr>
        <w:t>投标评标价每高于评分基准价</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strike/>
          <w:dstrike w:val="0"/>
          <w:color w:val="auto"/>
          <w:spacing w:val="-13"/>
          <w:sz w:val="24"/>
          <w:szCs w:val="24"/>
          <w:highlight w:val="none"/>
        </w:rPr>
        <w:t xml:space="preserve">1 </w:t>
      </w:r>
      <w:r>
        <w:rPr>
          <w:rFonts w:ascii="宋体" w:hAnsi="宋体" w:eastAsia="宋体" w:cs="宋体"/>
          <w:strike/>
          <w:dstrike w:val="0"/>
          <w:color w:val="auto"/>
          <w:spacing w:val="-13"/>
          <w:sz w:val="24"/>
          <w:szCs w:val="24"/>
          <w:highlight w:val="none"/>
        </w:rPr>
        <w:t>个百分点，扣</w:t>
      </w:r>
      <w:r>
        <w:rPr>
          <w:rFonts w:ascii="宋体" w:hAnsi="宋体" w:eastAsia="宋体" w:cs="宋体"/>
          <w:strike/>
          <w:dstrike w:val="0"/>
          <w:color w:val="auto"/>
          <w:spacing w:val="-13"/>
          <w:sz w:val="24"/>
          <w:szCs w:val="24"/>
          <w:highlight w:val="none"/>
          <w:u w:val="single" w:color="auto"/>
        </w:rPr>
        <w:t xml:space="preserve">   </w:t>
      </w:r>
      <w:r>
        <w:rPr>
          <w:rFonts w:ascii="宋体" w:hAnsi="宋体" w:eastAsia="宋体" w:cs="宋体"/>
          <w:strike/>
          <w:dstrike w:val="0"/>
          <w:color w:val="auto"/>
          <w:spacing w:val="-107"/>
          <w:sz w:val="24"/>
          <w:szCs w:val="24"/>
          <w:highlight w:val="none"/>
        </w:rPr>
        <w:t xml:space="preserve"> </w:t>
      </w:r>
      <w:r>
        <w:rPr>
          <w:rFonts w:ascii="宋体" w:hAnsi="宋体" w:eastAsia="宋体" w:cs="宋体"/>
          <w:strike/>
          <w:dstrike w:val="0"/>
          <w:color w:val="auto"/>
          <w:spacing w:val="-13"/>
          <w:sz w:val="24"/>
          <w:szCs w:val="24"/>
          <w:highlight w:val="none"/>
        </w:rPr>
        <w:t>分。（</w:t>
      </w:r>
      <w:r>
        <w:rPr>
          <w:rFonts w:ascii="宋体" w:hAnsi="宋体" w:eastAsia="宋体" w:cs="宋体"/>
          <w:strike/>
          <w:dstrike w:val="0"/>
          <w:color w:val="auto"/>
          <w:spacing w:val="-54"/>
          <w:sz w:val="24"/>
          <w:szCs w:val="24"/>
          <w:highlight w:val="none"/>
        </w:rPr>
        <w:t xml:space="preserve"> </w:t>
      </w:r>
      <w:r>
        <w:rPr>
          <w:rFonts w:ascii="宋体" w:hAnsi="宋体" w:eastAsia="宋体" w:cs="宋体"/>
          <w:i/>
          <w:iCs/>
          <w:strike/>
          <w:dstrike w:val="0"/>
          <w:color w:val="auto"/>
          <w:spacing w:val="-13"/>
          <w:sz w:val="25"/>
          <w:szCs w:val="25"/>
          <w:highlight w:val="none"/>
        </w:rPr>
        <w:t>扣分区间由招标人</w:t>
      </w:r>
      <w:r>
        <w:rPr>
          <w:rFonts w:ascii="宋体" w:hAnsi="宋体" w:eastAsia="宋体" w:cs="宋体"/>
          <w:strike/>
          <w:dstrike w:val="0"/>
          <w:color w:val="auto"/>
          <w:spacing w:val="-62"/>
          <w:sz w:val="25"/>
          <w:szCs w:val="25"/>
          <w:highlight w:val="none"/>
        </w:rPr>
        <w:t xml:space="preserve"> </w:t>
      </w:r>
      <w:r>
        <w:rPr>
          <w:rFonts w:ascii="Times New Roman" w:hAnsi="Times New Roman" w:eastAsia="Times New Roman" w:cs="Times New Roman"/>
          <w:i/>
          <w:iCs/>
          <w:strike/>
          <w:dstrike w:val="0"/>
          <w:color w:val="auto"/>
          <w:spacing w:val="-13"/>
          <w:sz w:val="24"/>
          <w:szCs w:val="24"/>
          <w:highlight w:val="none"/>
        </w:rPr>
        <w:t>1~1.5</w:t>
      </w:r>
      <w:r>
        <w:rPr>
          <w:rFonts w:ascii="Times New Roman" w:hAnsi="Times New Roman" w:eastAsia="Times New Roman" w:cs="Times New Roman"/>
          <w:i/>
          <w:iCs/>
          <w:strike/>
          <w:dstrike w:val="0"/>
          <w:color w:val="auto"/>
          <w:sz w:val="24"/>
          <w:szCs w:val="24"/>
          <w:highlight w:val="none"/>
        </w:rPr>
        <w:t xml:space="preserve"> </w:t>
      </w:r>
      <w:r>
        <w:rPr>
          <w:rFonts w:ascii="宋体" w:hAnsi="宋体" w:eastAsia="宋体" w:cs="宋体"/>
          <w:i/>
          <w:iCs/>
          <w:strike/>
          <w:dstrike w:val="0"/>
          <w:color w:val="auto"/>
          <w:spacing w:val="-15"/>
          <w:sz w:val="25"/>
          <w:szCs w:val="25"/>
          <w:highlight w:val="none"/>
        </w:rPr>
        <w:t>之间自行确定，且大于等于</w:t>
      </w:r>
      <w:r>
        <w:rPr>
          <w:rFonts w:ascii="宋体" w:hAnsi="宋体" w:eastAsia="宋体" w:cs="宋体"/>
          <w:strike/>
          <w:dstrike w:val="0"/>
          <w:color w:val="auto"/>
          <w:spacing w:val="-32"/>
          <w:sz w:val="25"/>
          <w:szCs w:val="25"/>
          <w:highlight w:val="none"/>
        </w:rPr>
        <w:t xml:space="preserve"> </w:t>
      </w:r>
      <w:r>
        <w:rPr>
          <w:rFonts w:ascii="Times New Roman" w:hAnsi="Times New Roman" w:eastAsia="Times New Roman" w:cs="Times New Roman"/>
          <w:i/>
          <w:iCs/>
          <w:strike/>
          <w:dstrike w:val="0"/>
          <w:color w:val="auto"/>
          <w:spacing w:val="-15"/>
          <w:sz w:val="24"/>
          <w:szCs w:val="24"/>
          <w:highlight w:val="none"/>
        </w:rPr>
        <w:t>b</w:t>
      </w:r>
      <w:r>
        <w:rPr>
          <w:rFonts w:ascii="Times New Roman" w:hAnsi="Times New Roman" w:eastAsia="Times New Roman" w:cs="Times New Roman"/>
          <w:i/>
          <w:iCs/>
          <w:strike/>
          <w:dstrike w:val="0"/>
          <w:color w:val="auto"/>
          <w:spacing w:val="47"/>
          <w:sz w:val="24"/>
          <w:szCs w:val="24"/>
          <w:highlight w:val="none"/>
        </w:rPr>
        <w:t xml:space="preserve"> </w:t>
      </w:r>
      <w:r>
        <w:rPr>
          <w:rFonts w:ascii="宋体" w:hAnsi="宋体" w:eastAsia="宋体" w:cs="宋体"/>
          <w:i/>
          <w:iCs/>
          <w:strike/>
          <w:dstrike w:val="0"/>
          <w:color w:val="auto"/>
          <w:spacing w:val="-15"/>
          <w:sz w:val="25"/>
          <w:szCs w:val="25"/>
          <w:highlight w:val="none"/>
        </w:rPr>
        <w:t>款扣分值</w:t>
      </w:r>
      <w:r>
        <w:rPr>
          <w:rFonts w:ascii="宋体" w:hAnsi="宋体" w:eastAsia="宋体" w:cs="宋体"/>
          <w:strike/>
          <w:dstrike w:val="0"/>
          <w:color w:val="auto"/>
          <w:spacing w:val="-73"/>
          <w:sz w:val="25"/>
          <w:szCs w:val="25"/>
          <w:highlight w:val="none"/>
        </w:rPr>
        <w:t xml:space="preserve"> </w:t>
      </w:r>
      <w:r>
        <w:rPr>
          <w:rFonts w:ascii="Times New Roman" w:hAnsi="Times New Roman" w:eastAsia="Times New Roman" w:cs="Times New Roman"/>
          <w:i/>
          <w:iCs/>
          <w:strike/>
          <w:dstrike w:val="0"/>
          <w:color w:val="auto"/>
          <w:spacing w:val="-15"/>
          <w:sz w:val="24"/>
          <w:szCs w:val="24"/>
          <w:highlight w:val="none"/>
        </w:rPr>
        <w:t>0.5</w:t>
      </w:r>
      <w:r>
        <w:rPr>
          <w:rFonts w:ascii="宋体" w:hAnsi="宋体" w:eastAsia="宋体" w:cs="宋体"/>
          <w:strike/>
          <w:dstrike w:val="0"/>
          <w:color w:val="auto"/>
          <w:spacing w:val="-15"/>
          <w:sz w:val="24"/>
          <w:szCs w:val="24"/>
          <w:highlight w:val="none"/>
        </w:rPr>
        <w:t>）</w:t>
      </w:r>
    </w:p>
    <w:p w14:paraId="22302DD5">
      <w:pPr>
        <w:spacing w:before="180" w:line="354" w:lineRule="auto"/>
        <w:ind w:left="31" w:right="235" w:firstLine="54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以上评分计算过程保留小数</w:t>
      </w:r>
      <w:r>
        <w:rPr>
          <w:rFonts w:ascii="Times New Roman" w:hAnsi="Times New Roman" w:eastAsia="Times New Roman" w:cs="Times New Roman"/>
          <w:strike/>
          <w:dstrike w:val="0"/>
          <w:color w:val="auto"/>
          <w:spacing w:val="-5"/>
          <w:sz w:val="24"/>
          <w:szCs w:val="24"/>
          <w:highlight w:val="none"/>
        </w:rPr>
        <w:t>3</w:t>
      </w:r>
      <w:r>
        <w:rPr>
          <w:rFonts w:ascii="宋体" w:hAnsi="宋体" w:eastAsia="宋体" w:cs="宋体"/>
          <w:strike/>
          <w:dstrike w:val="0"/>
          <w:color w:val="auto"/>
          <w:spacing w:val="-5"/>
          <w:sz w:val="24"/>
          <w:szCs w:val="24"/>
          <w:highlight w:val="none"/>
        </w:rPr>
        <w:t>位，第</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位四舍五入，最终结果保留小数</w:t>
      </w:r>
      <w:r>
        <w:rPr>
          <w:rFonts w:ascii="Times New Roman" w:hAnsi="Times New Roman" w:eastAsia="Times New Roman" w:cs="Times New Roman"/>
          <w:strike/>
          <w:dstrike w:val="0"/>
          <w:color w:val="auto"/>
          <w:spacing w:val="-5"/>
          <w:sz w:val="24"/>
          <w:szCs w:val="24"/>
          <w:highlight w:val="none"/>
        </w:rPr>
        <w:t>2</w:t>
      </w:r>
      <w:r>
        <w:rPr>
          <w:rFonts w:ascii="宋体" w:hAnsi="宋体" w:eastAsia="宋体" w:cs="宋体"/>
          <w:strike/>
          <w:dstrike w:val="0"/>
          <w:color w:val="auto"/>
          <w:spacing w:val="-5"/>
          <w:sz w:val="24"/>
          <w:szCs w:val="24"/>
          <w:highlight w:val="none"/>
        </w:rPr>
        <w:t>位</w:t>
      </w:r>
      <w:r>
        <w:rPr>
          <w:rFonts w:ascii="宋体" w:hAnsi="宋体" w:eastAsia="宋体" w:cs="宋体"/>
          <w:strike/>
          <w:dstrike w:val="0"/>
          <w:color w:val="auto"/>
          <w:spacing w:val="-6"/>
          <w:sz w:val="24"/>
          <w:szCs w:val="24"/>
          <w:highlight w:val="none"/>
        </w:rPr>
        <w:t>，第</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四舍五入，评分不足一个百分点时，使用直线插入法</w:t>
      </w:r>
      <w:r>
        <w:rPr>
          <w:rFonts w:ascii="宋体" w:hAnsi="宋体" w:eastAsia="宋体" w:cs="宋体"/>
          <w:strike/>
          <w:dstrike w:val="0"/>
          <w:color w:val="auto"/>
          <w:spacing w:val="-10"/>
          <w:sz w:val="24"/>
          <w:szCs w:val="24"/>
          <w:highlight w:val="none"/>
        </w:rPr>
        <w:t>计算。商务报价评分最低分</w:t>
      </w:r>
      <w:r>
        <w:rPr>
          <w:rFonts w:ascii="宋体" w:hAnsi="宋体" w:eastAsia="宋体" w:cs="宋体"/>
          <w:strike/>
          <w:dstrike w:val="0"/>
          <w:color w:val="auto"/>
          <w:spacing w:val="-10"/>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0"/>
          <w:sz w:val="24"/>
          <w:szCs w:val="24"/>
          <w:highlight w:val="none"/>
        </w:rPr>
        <w:t>分</w:t>
      </w:r>
      <w:r>
        <w:rPr>
          <w:rFonts w:ascii="宋体" w:hAnsi="宋体" w:eastAsia="宋体" w:cs="宋体"/>
          <w:strike/>
          <w:dstrike w:val="0"/>
          <w:color w:val="auto"/>
          <w:sz w:val="24"/>
          <w:szCs w:val="24"/>
          <w:highlight w:val="none"/>
        </w:rPr>
        <w:t xml:space="preserve"> </w:t>
      </w:r>
      <w:r>
        <w:rPr>
          <w:rFonts w:ascii="宋体" w:hAnsi="宋体" w:eastAsia="宋体" w:cs="宋体"/>
          <w:i/>
          <w:iCs/>
          <w:strike/>
          <w:dstrike w:val="0"/>
          <w:color w:val="auto"/>
          <w:spacing w:val="-7"/>
          <w:sz w:val="25"/>
          <w:szCs w:val="25"/>
          <w:highlight w:val="none"/>
        </w:rPr>
        <w:t>（不得低于</w:t>
      </w:r>
      <w:r>
        <w:rPr>
          <w:rFonts w:ascii="Times New Roman" w:hAnsi="Times New Roman" w:eastAsia="Times New Roman" w:cs="Times New Roman"/>
          <w:i/>
          <w:iCs/>
          <w:strike/>
          <w:dstrike w:val="0"/>
          <w:color w:val="auto"/>
          <w:spacing w:val="-7"/>
          <w:sz w:val="24"/>
          <w:szCs w:val="24"/>
          <w:highlight w:val="none"/>
        </w:rPr>
        <w:t>50</w:t>
      </w:r>
      <w:r>
        <w:rPr>
          <w:rFonts w:ascii="宋体" w:hAnsi="宋体" w:eastAsia="宋体" w:cs="宋体"/>
          <w:i/>
          <w:iCs/>
          <w:strike/>
          <w:dstrike w:val="0"/>
          <w:color w:val="auto"/>
          <w:spacing w:val="-7"/>
          <w:sz w:val="25"/>
          <w:szCs w:val="25"/>
          <w:highlight w:val="none"/>
        </w:rPr>
        <w:t>分）</w:t>
      </w:r>
      <w:r>
        <w:rPr>
          <w:rFonts w:ascii="宋体" w:hAnsi="宋体" w:eastAsia="宋体" w:cs="宋体"/>
          <w:strike/>
          <w:dstrike w:val="0"/>
          <w:color w:val="auto"/>
          <w:spacing w:val="-7"/>
          <w:sz w:val="24"/>
          <w:szCs w:val="24"/>
          <w:highlight w:val="none"/>
        </w:rPr>
        <w:t>。</w:t>
      </w:r>
    </w:p>
    <w:p w14:paraId="507EE494">
      <w:pPr>
        <w:spacing w:before="1" w:line="223"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  </w:t>
      </w:r>
      <w:r>
        <w:rPr>
          <w:rFonts w:ascii="楷体" w:hAnsi="楷体" w:eastAsia="楷体" w:cs="楷体"/>
          <w:b/>
          <w:bCs/>
          <w:strike/>
          <w:dstrike w:val="0"/>
          <w:color w:val="auto"/>
          <w:spacing w:val="-2"/>
          <w:sz w:val="24"/>
          <w:szCs w:val="24"/>
          <w:highlight w:val="none"/>
        </w:rPr>
        <w:t>投标文件的资信评审</w:t>
      </w:r>
    </w:p>
    <w:p w14:paraId="73D9DE5F">
      <w:pPr>
        <w:spacing w:before="176" w:line="359" w:lineRule="auto"/>
        <w:ind w:left="18" w:right="236" w:firstLine="48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投标文件的资信评审包括投标人的诚信评分、企业信用等</w:t>
      </w:r>
      <w:r>
        <w:rPr>
          <w:rFonts w:ascii="宋体" w:hAnsi="宋体" w:eastAsia="宋体" w:cs="宋体"/>
          <w:strike/>
          <w:dstrike w:val="0"/>
          <w:color w:val="auto"/>
          <w:spacing w:val="-4"/>
          <w:sz w:val="24"/>
          <w:szCs w:val="24"/>
          <w:highlight w:val="none"/>
        </w:rPr>
        <w:t>级。评标委员会全体成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员查阅投标文件及相关证明材料并进行集体讨论后统一评分。</w:t>
      </w:r>
    </w:p>
    <w:p w14:paraId="6CA4520F">
      <w:pPr>
        <w:spacing w:before="1" w:line="218" w:lineRule="auto"/>
        <w:ind w:left="57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 投标人诚信评分（采用扣分法，扣分不设分值限定，以实际次数扣分</w:t>
      </w:r>
      <w:r>
        <w:rPr>
          <w:rFonts w:ascii="宋体" w:hAnsi="宋体" w:eastAsia="宋体" w:cs="宋体"/>
          <w:strike/>
          <w:dstrike w:val="0"/>
          <w:color w:val="auto"/>
          <w:spacing w:val="6"/>
          <w:sz w:val="24"/>
          <w:szCs w:val="24"/>
          <w:highlight w:val="none"/>
        </w:rPr>
        <w:t>）：</w:t>
      </w:r>
    </w:p>
    <w:p w14:paraId="16AD9BCE">
      <w:pPr>
        <w:spacing w:before="184" w:line="359" w:lineRule="auto"/>
        <w:ind w:left="9" w:right="161" w:firstLine="482"/>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投标人在投标截止时间前被省发展改革委作出行政处罚决定且在公告期限内的，</w:t>
      </w:r>
      <w:r>
        <w:rPr>
          <w:rFonts w:ascii="宋体" w:hAnsi="宋体" w:eastAsia="宋体" w:cs="宋体"/>
          <w:strike/>
          <w:dstrike w:val="0"/>
          <w:color w:val="auto"/>
          <w:spacing w:val="4"/>
          <w:sz w:val="24"/>
          <w:szCs w:val="24"/>
          <w:highlight w:val="none"/>
        </w:rPr>
        <w:t xml:space="preserve"> </w:t>
      </w:r>
      <w:r>
        <w:rPr>
          <w:rFonts w:ascii="宋体" w:hAnsi="宋体" w:eastAsia="宋体" w:cs="宋体"/>
          <w:strike/>
          <w:dstrike w:val="0"/>
          <w:color w:val="auto"/>
          <w:spacing w:val="-17"/>
          <w:sz w:val="24"/>
          <w:szCs w:val="24"/>
          <w:highlight w:val="none"/>
        </w:rPr>
        <w:t xml:space="preserve">每次扣 </w:t>
      </w:r>
      <w:r>
        <w:rPr>
          <w:rFonts w:ascii="Times New Roman" w:hAnsi="Times New Roman" w:eastAsia="Times New Roman" w:cs="Times New Roman"/>
          <w:strike/>
          <w:dstrike w:val="0"/>
          <w:color w:val="auto"/>
          <w:spacing w:val="-17"/>
          <w:sz w:val="24"/>
          <w:szCs w:val="24"/>
          <w:highlight w:val="none"/>
        </w:rPr>
        <w:t xml:space="preserve">1  </w:t>
      </w:r>
      <w:r>
        <w:rPr>
          <w:rFonts w:ascii="宋体" w:hAnsi="宋体" w:eastAsia="宋体" w:cs="宋体"/>
          <w:strike/>
          <w:dstrike w:val="0"/>
          <w:color w:val="auto"/>
          <w:spacing w:val="-17"/>
          <w:sz w:val="24"/>
          <w:szCs w:val="24"/>
          <w:highlight w:val="none"/>
        </w:rPr>
        <w:t>分；以浙江政务服务网行政处罚结果信息公开内容为准，时间以省发展改革委作</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4"/>
          <w:sz w:val="24"/>
          <w:szCs w:val="24"/>
          <w:highlight w:val="none"/>
        </w:rPr>
        <w:t>出处理决定的时间为准。</w:t>
      </w:r>
    </w:p>
    <w:p w14:paraId="141BB7B0">
      <w:pPr>
        <w:spacing w:before="1" w:line="219" w:lineRule="auto"/>
        <w:ind w:left="48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、企业信用等级最高评分为</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分，具体分值见下表：</w:t>
      </w:r>
    </w:p>
    <w:p w14:paraId="1AE64538">
      <w:pPr>
        <w:spacing w:before="38"/>
        <w:rPr>
          <w:strike/>
          <w:dstrike w:val="0"/>
          <w:color w:val="auto"/>
          <w:highlight w:val="none"/>
        </w:rPr>
      </w:pPr>
    </w:p>
    <w:p w14:paraId="2D4D8DE5">
      <w:pPr>
        <w:spacing w:before="38"/>
        <w:rPr>
          <w:strike/>
          <w:dstrike w:val="0"/>
          <w:color w:val="auto"/>
          <w:highlight w:val="none"/>
        </w:rPr>
      </w:pPr>
    </w:p>
    <w:tbl>
      <w:tblPr>
        <w:tblStyle w:val="16"/>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7217"/>
        <w:gridCol w:w="967"/>
      </w:tblGrid>
      <w:tr w14:paraId="45CDA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top w:val="single" w:color="000000" w:sz="6" w:space="0"/>
              <w:left w:val="single" w:color="000000" w:sz="6" w:space="0"/>
            </w:tcBorders>
            <w:vAlign w:val="top"/>
          </w:tcPr>
          <w:p w14:paraId="62A800C7">
            <w:pPr>
              <w:pStyle w:val="17"/>
              <w:spacing w:before="126" w:line="221" w:lineRule="auto"/>
              <w:ind w:left="201"/>
              <w:rPr>
                <w:strike/>
                <w:dstrike w:val="0"/>
                <w:color w:val="auto"/>
                <w:sz w:val="21"/>
                <w:szCs w:val="21"/>
                <w:highlight w:val="none"/>
              </w:rPr>
            </w:pPr>
            <w:r>
              <w:rPr>
                <w:strike/>
                <w:dstrike w:val="0"/>
                <w:color w:val="auto"/>
                <w:spacing w:val="-2"/>
                <w:sz w:val="21"/>
                <w:szCs w:val="21"/>
                <w:highlight w:val="none"/>
              </w:rPr>
              <w:t>序号</w:t>
            </w:r>
          </w:p>
        </w:tc>
        <w:tc>
          <w:tcPr>
            <w:tcW w:w="7217" w:type="dxa"/>
            <w:tcBorders>
              <w:top w:val="single" w:color="000000" w:sz="6" w:space="0"/>
            </w:tcBorders>
            <w:vAlign w:val="top"/>
          </w:tcPr>
          <w:p w14:paraId="3444F6E1">
            <w:pPr>
              <w:pStyle w:val="17"/>
              <w:spacing w:before="125" w:line="220" w:lineRule="auto"/>
              <w:ind w:left="3219"/>
              <w:rPr>
                <w:strike/>
                <w:dstrike w:val="0"/>
                <w:color w:val="auto"/>
                <w:sz w:val="21"/>
                <w:szCs w:val="21"/>
                <w:highlight w:val="none"/>
              </w:rPr>
            </w:pPr>
            <w:r>
              <w:rPr>
                <w:strike/>
                <w:dstrike w:val="0"/>
                <w:color w:val="auto"/>
                <w:spacing w:val="-17"/>
                <w:sz w:val="21"/>
                <w:szCs w:val="21"/>
                <w:highlight w:val="none"/>
              </w:rPr>
              <w:t>内</w:t>
            </w:r>
            <w:r>
              <w:rPr>
                <w:strike/>
                <w:dstrike w:val="0"/>
                <w:color w:val="auto"/>
                <w:spacing w:val="2"/>
                <w:sz w:val="21"/>
                <w:szCs w:val="21"/>
                <w:highlight w:val="none"/>
              </w:rPr>
              <w:t xml:space="preserve">    </w:t>
            </w:r>
            <w:r>
              <w:rPr>
                <w:strike/>
                <w:dstrike w:val="0"/>
                <w:color w:val="auto"/>
                <w:spacing w:val="-17"/>
                <w:sz w:val="21"/>
                <w:szCs w:val="21"/>
                <w:highlight w:val="none"/>
              </w:rPr>
              <w:t>容</w:t>
            </w:r>
          </w:p>
        </w:tc>
        <w:tc>
          <w:tcPr>
            <w:tcW w:w="967" w:type="dxa"/>
            <w:tcBorders>
              <w:top w:val="single" w:color="000000" w:sz="6" w:space="0"/>
              <w:right w:val="single" w:color="000000" w:sz="6" w:space="0"/>
            </w:tcBorders>
            <w:vAlign w:val="top"/>
          </w:tcPr>
          <w:p w14:paraId="3DDE9D2D">
            <w:pPr>
              <w:pStyle w:val="17"/>
              <w:spacing w:before="125" w:line="220" w:lineRule="auto"/>
              <w:ind w:left="282"/>
              <w:rPr>
                <w:strike/>
                <w:dstrike w:val="0"/>
                <w:color w:val="auto"/>
                <w:sz w:val="21"/>
                <w:szCs w:val="21"/>
                <w:highlight w:val="none"/>
              </w:rPr>
            </w:pPr>
            <w:r>
              <w:rPr>
                <w:strike/>
                <w:dstrike w:val="0"/>
                <w:color w:val="auto"/>
                <w:spacing w:val="-3"/>
                <w:sz w:val="21"/>
                <w:szCs w:val="21"/>
                <w:highlight w:val="none"/>
              </w:rPr>
              <w:t>得分</w:t>
            </w:r>
          </w:p>
        </w:tc>
      </w:tr>
      <w:tr w14:paraId="3F1FE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825" w:type="dxa"/>
            <w:tcBorders>
              <w:left w:val="single" w:color="000000" w:sz="6" w:space="0"/>
              <w:bottom w:val="single" w:color="000000" w:sz="6" w:space="0"/>
            </w:tcBorders>
            <w:vAlign w:val="top"/>
          </w:tcPr>
          <w:p w14:paraId="1C5152A2">
            <w:pPr>
              <w:spacing w:line="283" w:lineRule="auto"/>
              <w:rPr>
                <w:rFonts w:ascii="Arial"/>
                <w:strike/>
                <w:dstrike w:val="0"/>
                <w:color w:val="auto"/>
                <w:sz w:val="21"/>
                <w:highlight w:val="none"/>
              </w:rPr>
            </w:pPr>
          </w:p>
          <w:p w14:paraId="4F84E4E3">
            <w:pPr>
              <w:spacing w:before="60" w:line="188" w:lineRule="auto"/>
              <w:ind w:left="37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7217" w:type="dxa"/>
            <w:tcBorders>
              <w:bottom w:val="single" w:color="000000" w:sz="6" w:space="0"/>
            </w:tcBorders>
            <w:vAlign w:val="top"/>
          </w:tcPr>
          <w:p w14:paraId="42B1ADDB">
            <w:pPr>
              <w:pStyle w:val="17"/>
              <w:spacing w:before="35" w:line="229" w:lineRule="auto"/>
              <w:ind w:left="235" w:right="241" w:hanging="124"/>
              <w:rPr>
                <w:strike/>
                <w:dstrike w:val="0"/>
                <w:color w:val="auto"/>
                <w:sz w:val="22"/>
                <w:szCs w:val="22"/>
                <w:highlight w:val="none"/>
              </w:rPr>
            </w:pPr>
            <w:r>
              <w:rPr>
                <w:strike/>
                <w:dstrike w:val="0"/>
                <w:color w:val="auto"/>
                <w:spacing w:val="-15"/>
                <w:sz w:val="21"/>
                <w:szCs w:val="21"/>
                <w:highlight w:val="none"/>
              </w:rPr>
              <w:t>企业信用等级（</w:t>
            </w:r>
            <w:r>
              <w:rPr>
                <w:strike/>
                <w:dstrike w:val="0"/>
                <w:color w:val="auto"/>
                <w:spacing w:val="58"/>
                <w:sz w:val="21"/>
                <w:szCs w:val="21"/>
                <w:highlight w:val="none"/>
              </w:rPr>
              <w:t xml:space="preserve"> </w:t>
            </w:r>
            <w:r>
              <w:rPr>
                <w:i/>
                <w:iCs/>
                <w:strike/>
                <w:dstrike w:val="0"/>
                <w:color w:val="auto"/>
                <w:spacing w:val="-15"/>
                <w:sz w:val="22"/>
                <w:szCs w:val="22"/>
                <w:highlight w:val="none"/>
              </w:rPr>
              <w:t>由招标人自主选用全国水利建设市场监管服务平台公布的企</w:t>
            </w:r>
            <w:r>
              <w:rPr>
                <w:strike/>
                <w:dstrike w:val="0"/>
                <w:color w:val="auto"/>
                <w:sz w:val="22"/>
                <w:szCs w:val="22"/>
                <w:highlight w:val="none"/>
              </w:rPr>
              <w:t xml:space="preserve"> </w:t>
            </w:r>
            <w:r>
              <w:rPr>
                <w:i/>
                <w:iCs/>
                <w:strike/>
                <w:dstrike w:val="0"/>
                <w:color w:val="auto"/>
                <w:spacing w:val="-16"/>
                <w:sz w:val="22"/>
                <w:szCs w:val="22"/>
                <w:highlight w:val="none"/>
              </w:rPr>
              <w:t>业信用评价等级（施工类）或浙江省水利</w:t>
            </w:r>
            <w:r>
              <w:rPr>
                <w:i/>
                <w:iCs/>
                <w:strike/>
                <w:dstrike w:val="0"/>
                <w:color w:val="auto"/>
                <w:spacing w:val="-17"/>
                <w:sz w:val="22"/>
                <w:szCs w:val="22"/>
                <w:highlight w:val="none"/>
              </w:rPr>
              <w:t>建设市场信用评价等级（施工</w:t>
            </w:r>
          </w:p>
          <w:p w14:paraId="13721D3A">
            <w:pPr>
              <w:pStyle w:val="17"/>
              <w:spacing w:line="196" w:lineRule="auto"/>
              <w:ind w:left="183"/>
              <w:rPr>
                <w:strike/>
                <w:dstrike w:val="0"/>
                <w:color w:val="auto"/>
                <w:sz w:val="21"/>
                <w:szCs w:val="21"/>
                <w:highlight w:val="none"/>
              </w:rPr>
            </w:pPr>
            <w:r>
              <w:rPr>
                <w:i/>
                <w:iCs/>
                <w:strike/>
                <w:dstrike w:val="0"/>
                <w:color w:val="auto"/>
                <w:spacing w:val="-12"/>
                <w:sz w:val="22"/>
                <w:szCs w:val="22"/>
                <w:highlight w:val="none"/>
              </w:rPr>
              <w:t>类</w:t>
            </w:r>
            <w:r>
              <w:rPr>
                <w:i/>
                <w:iCs/>
                <w:strike/>
                <w:dstrike w:val="0"/>
                <w:color w:val="auto"/>
                <w:spacing w:val="-9"/>
                <w:sz w:val="22"/>
                <w:szCs w:val="22"/>
                <w:highlight w:val="none"/>
              </w:rPr>
              <w:t>），</w:t>
            </w:r>
            <w:r>
              <w:rPr>
                <w:i/>
                <w:iCs/>
                <w:strike/>
                <w:dstrike w:val="0"/>
                <w:color w:val="auto"/>
                <w:spacing w:val="-12"/>
                <w:sz w:val="22"/>
                <w:szCs w:val="22"/>
                <w:highlight w:val="none"/>
              </w:rPr>
              <w:t>并在此予以明确，本项最高得</w:t>
            </w:r>
            <w:r>
              <w:rPr>
                <w:rFonts w:ascii="Times New Roman" w:hAnsi="Times New Roman" w:eastAsia="Times New Roman" w:cs="Times New Roman"/>
                <w:i/>
                <w:iCs/>
                <w:strike/>
                <w:dstrike w:val="0"/>
                <w:color w:val="auto"/>
                <w:spacing w:val="-12"/>
                <w:sz w:val="21"/>
                <w:szCs w:val="21"/>
                <w:highlight w:val="none"/>
              </w:rPr>
              <w:t>3</w:t>
            </w:r>
            <w:r>
              <w:rPr>
                <w:i/>
                <w:iCs/>
                <w:strike/>
                <w:dstrike w:val="0"/>
                <w:color w:val="auto"/>
                <w:spacing w:val="-12"/>
                <w:sz w:val="22"/>
                <w:szCs w:val="22"/>
                <w:highlight w:val="none"/>
              </w:rPr>
              <w:t>分。</w:t>
            </w:r>
            <w:r>
              <w:rPr>
                <w:strike/>
                <w:dstrike w:val="0"/>
                <w:color w:val="auto"/>
                <w:spacing w:val="-12"/>
                <w:sz w:val="21"/>
                <w:szCs w:val="21"/>
                <w:highlight w:val="none"/>
              </w:rPr>
              <w:t>）</w:t>
            </w:r>
          </w:p>
        </w:tc>
        <w:tc>
          <w:tcPr>
            <w:tcW w:w="967" w:type="dxa"/>
            <w:tcBorders>
              <w:bottom w:val="single" w:color="000000" w:sz="6" w:space="0"/>
              <w:right w:val="single" w:color="000000" w:sz="6" w:space="0"/>
            </w:tcBorders>
            <w:vAlign w:val="top"/>
          </w:tcPr>
          <w:p w14:paraId="672143EA">
            <w:pPr>
              <w:spacing w:line="283" w:lineRule="auto"/>
              <w:rPr>
                <w:rFonts w:ascii="Arial"/>
                <w:strike/>
                <w:dstrike w:val="0"/>
                <w:color w:val="auto"/>
                <w:sz w:val="21"/>
                <w:highlight w:val="none"/>
              </w:rPr>
            </w:pPr>
          </w:p>
          <w:p w14:paraId="10417C49">
            <w:pPr>
              <w:spacing w:before="60" w:line="188" w:lineRule="auto"/>
              <w:ind w:left="36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3.0</w:t>
            </w:r>
          </w:p>
        </w:tc>
      </w:tr>
    </w:tbl>
    <w:p w14:paraId="19571CDA">
      <w:pPr>
        <w:pStyle w:val="8"/>
        <w:rPr>
          <w:strike/>
          <w:dstrike w:val="0"/>
          <w:color w:val="auto"/>
          <w:highlight w:val="none"/>
        </w:rPr>
      </w:pPr>
    </w:p>
    <w:p w14:paraId="13A92DC2">
      <w:pPr>
        <w:rPr>
          <w:strike/>
          <w:dstrike w:val="0"/>
          <w:color w:val="auto"/>
          <w:highlight w:val="none"/>
        </w:rPr>
        <w:sectPr>
          <w:footerReference r:id="rId36" w:type="default"/>
          <w:pgSz w:w="11905" w:h="16840"/>
          <w:pgMar w:top="1428" w:right="1292" w:bottom="1255" w:left="1587" w:header="0" w:footer="1093" w:gutter="0"/>
          <w:pgNumType w:fmt="decimal"/>
          <w:cols w:space="720" w:num="1"/>
        </w:sectPr>
      </w:pPr>
    </w:p>
    <w:p w14:paraId="7ACF2C4C">
      <w:pPr>
        <w:spacing w:line="89" w:lineRule="auto"/>
        <w:rPr>
          <w:rFonts w:ascii="Arial"/>
          <w:strike/>
          <w:dstrike w:val="0"/>
          <w:color w:val="auto"/>
          <w:sz w:val="2"/>
          <w:highlight w:val="none"/>
        </w:rPr>
      </w:pPr>
    </w:p>
    <w:tbl>
      <w:tblPr>
        <w:tblStyle w:val="16"/>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7217"/>
        <w:gridCol w:w="967"/>
      </w:tblGrid>
      <w:tr w14:paraId="7E37A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825" w:type="dxa"/>
            <w:tcBorders>
              <w:top w:val="single" w:color="000000" w:sz="6" w:space="0"/>
              <w:left w:val="single" w:color="000000" w:sz="6" w:space="0"/>
            </w:tcBorders>
            <w:vAlign w:val="top"/>
          </w:tcPr>
          <w:p w14:paraId="4EF212A0">
            <w:pPr>
              <w:pStyle w:val="17"/>
              <w:spacing w:before="125" w:line="232" w:lineRule="auto"/>
              <w:ind w:left="156"/>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1</w:t>
            </w:r>
            <w:r>
              <w:rPr>
                <w:strike/>
                <w:dstrike w:val="0"/>
                <w:color w:val="auto"/>
                <w:spacing w:val="-5"/>
                <w:sz w:val="21"/>
                <w:szCs w:val="21"/>
                <w:highlight w:val="none"/>
              </w:rPr>
              <w:t>）</w:t>
            </w:r>
          </w:p>
        </w:tc>
        <w:tc>
          <w:tcPr>
            <w:tcW w:w="7217" w:type="dxa"/>
            <w:tcBorders>
              <w:top w:val="single" w:color="000000" w:sz="6" w:space="0"/>
            </w:tcBorders>
            <w:vAlign w:val="top"/>
          </w:tcPr>
          <w:p w14:paraId="456B16BF">
            <w:pPr>
              <w:pStyle w:val="17"/>
              <w:spacing w:before="125"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967" w:type="dxa"/>
            <w:tcBorders>
              <w:top w:val="single" w:color="000000" w:sz="6" w:space="0"/>
              <w:right w:val="single" w:color="000000" w:sz="6" w:space="0"/>
            </w:tcBorders>
            <w:vAlign w:val="top"/>
          </w:tcPr>
          <w:p w14:paraId="41850B18">
            <w:pPr>
              <w:rPr>
                <w:rFonts w:ascii="Arial"/>
                <w:strike/>
                <w:dstrike w:val="0"/>
                <w:color w:val="auto"/>
                <w:sz w:val="21"/>
                <w:highlight w:val="none"/>
              </w:rPr>
            </w:pPr>
          </w:p>
        </w:tc>
      </w:tr>
      <w:tr w14:paraId="04967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094781C8">
            <w:pPr>
              <w:rPr>
                <w:rFonts w:ascii="Arial"/>
                <w:strike/>
                <w:dstrike w:val="0"/>
                <w:color w:val="auto"/>
                <w:sz w:val="21"/>
                <w:highlight w:val="none"/>
              </w:rPr>
            </w:pPr>
          </w:p>
        </w:tc>
        <w:tc>
          <w:tcPr>
            <w:tcW w:w="7217" w:type="dxa"/>
            <w:vAlign w:val="top"/>
          </w:tcPr>
          <w:p w14:paraId="31D49F02">
            <w:pPr>
              <w:pStyle w:val="17"/>
              <w:spacing w:before="123"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967" w:type="dxa"/>
            <w:tcBorders>
              <w:right w:val="single" w:color="000000" w:sz="6" w:space="0"/>
            </w:tcBorders>
            <w:vAlign w:val="top"/>
          </w:tcPr>
          <w:p w14:paraId="334B1D9C">
            <w:pPr>
              <w:spacing w:before="160" w:line="188" w:lineRule="auto"/>
              <w:ind w:left="36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3.0</w:t>
            </w:r>
          </w:p>
        </w:tc>
      </w:tr>
      <w:tr w14:paraId="34581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25" w:type="dxa"/>
            <w:tcBorders>
              <w:left w:val="single" w:color="000000" w:sz="6" w:space="0"/>
            </w:tcBorders>
            <w:vAlign w:val="top"/>
          </w:tcPr>
          <w:p w14:paraId="0FDD6E48">
            <w:pPr>
              <w:rPr>
                <w:rFonts w:ascii="Arial"/>
                <w:strike/>
                <w:dstrike w:val="0"/>
                <w:color w:val="auto"/>
                <w:sz w:val="21"/>
                <w:highlight w:val="none"/>
              </w:rPr>
            </w:pPr>
          </w:p>
        </w:tc>
        <w:tc>
          <w:tcPr>
            <w:tcW w:w="7217" w:type="dxa"/>
            <w:vAlign w:val="top"/>
          </w:tcPr>
          <w:p w14:paraId="1872D8F1">
            <w:pPr>
              <w:pStyle w:val="17"/>
              <w:spacing w:before="124"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967" w:type="dxa"/>
            <w:tcBorders>
              <w:right w:val="single" w:color="000000" w:sz="6" w:space="0"/>
            </w:tcBorders>
            <w:vAlign w:val="top"/>
          </w:tcPr>
          <w:p w14:paraId="33C45010">
            <w:pPr>
              <w:spacing w:before="161" w:line="188" w:lineRule="auto"/>
              <w:ind w:left="35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2.5</w:t>
            </w:r>
          </w:p>
        </w:tc>
      </w:tr>
      <w:tr w14:paraId="6D7B1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1B3EDD5C">
            <w:pPr>
              <w:rPr>
                <w:rFonts w:ascii="Arial"/>
                <w:strike/>
                <w:dstrike w:val="0"/>
                <w:color w:val="auto"/>
                <w:sz w:val="21"/>
                <w:highlight w:val="none"/>
              </w:rPr>
            </w:pPr>
          </w:p>
        </w:tc>
        <w:tc>
          <w:tcPr>
            <w:tcW w:w="7217" w:type="dxa"/>
            <w:vAlign w:val="top"/>
          </w:tcPr>
          <w:p w14:paraId="664FB938">
            <w:pPr>
              <w:pStyle w:val="17"/>
              <w:spacing w:before="126"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967" w:type="dxa"/>
            <w:tcBorders>
              <w:right w:val="single" w:color="000000" w:sz="6" w:space="0"/>
            </w:tcBorders>
            <w:vAlign w:val="top"/>
          </w:tcPr>
          <w:p w14:paraId="64B7084A">
            <w:pPr>
              <w:spacing w:before="163" w:line="188" w:lineRule="auto"/>
              <w:ind w:left="37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8"/>
                <w:sz w:val="21"/>
                <w:szCs w:val="21"/>
                <w:highlight w:val="none"/>
              </w:rPr>
              <w:t>1.0</w:t>
            </w:r>
          </w:p>
        </w:tc>
      </w:tr>
      <w:tr w14:paraId="77FBB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0FFD6E12">
            <w:pPr>
              <w:rPr>
                <w:rFonts w:ascii="Arial"/>
                <w:strike/>
                <w:dstrike w:val="0"/>
                <w:color w:val="auto"/>
                <w:sz w:val="21"/>
                <w:highlight w:val="none"/>
              </w:rPr>
            </w:pPr>
          </w:p>
        </w:tc>
        <w:tc>
          <w:tcPr>
            <w:tcW w:w="7217" w:type="dxa"/>
            <w:vAlign w:val="top"/>
          </w:tcPr>
          <w:p w14:paraId="3BCA5138">
            <w:pPr>
              <w:pStyle w:val="17"/>
              <w:spacing w:before="128"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967" w:type="dxa"/>
            <w:tcBorders>
              <w:right w:val="single" w:color="000000" w:sz="6" w:space="0"/>
            </w:tcBorders>
            <w:vAlign w:val="top"/>
          </w:tcPr>
          <w:p w14:paraId="3517D4F0">
            <w:pPr>
              <w:spacing w:before="165" w:line="188" w:lineRule="auto"/>
              <w:ind w:left="43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r w14:paraId="2E632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5" w:type="dxa"/>
            <w:tcBorders>
              <w:left w:val="single" w:color="000000" w:sz="6" w:space="0"/>
            </w:tcBorders>
            <w:vAlign w:val="top"/>
          </w:tcPr>
          <w:p w14:paraId="05EB6E49">
            <w:pPr>
              <w:pStyle w:val="17"/>
              <w:spacing w:before="129" w:line="232" w:lineRule="auto"/>
              <w:ind w:left="156"/>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2</w:t>
            </w:r>
            <w:r>
              <w:rPr>
                <w:strike/>
                <w:dstrike w:val="0"/>
                <w:color w:val="auto"/>
                <w:spacing w:val="-5"/>
                <w:sz w:val="21"/>
                <w:szCs w:val="21"/>
                <w:highlight w:val="none"/>
              </w:rPr>
              <w:t>）</w:t>
            </w:r>
          </w:p>
        </w:tc>
        <w:tc>
          <w:tcPr>
            <w:tcW w:w="7217" w:type="dxa"/>
            <w:vAlign w:val="top"/>
          </w:tcPr>
          <w:p w14:paraId="6A5FFE80">
            <w:pPr>
              <w:pStyle w:val="17"/>
              <w:spacing w:before="129"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967" w:type="dxa"/>
            <w:tcBorders>
              <w:right w:val="single" w:color="000000" w:sz="6" w:space="0"/>
            </w:tcBorders>
            <w:vAlign w:val="top"/>
          </w:tcPr>
          <w:p w14:paraId="140DA4A6">
            <w:pPr>
              <w:rPr>
                <w:rFonts w:ascii="Arial"/>
                <w:strike/>
                <w:dstrike w:val="0"/>
                <w:color w:val="auto"/>
                <w:sz w:val="21"/>
                <w:highlight w:val="none"/>
              </w:rPr>
            </w:pPr>
          </w:p>
        </w:tc>
      </w:tr>
      <w:tr w14:paraId="7AACB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632672AA">
            <w:pPr>
              <w:rPr>
                <w:rFonts w:ascii="Arial"/>
                <w:strike/>
                <w:dstrike w:val="0"/>
                <w:color w:val="auto"/>
                <w:sz w:val="21"/>
                <w:highlight w:val="none"/>
              </w:rPr>
            </w:pPr>
          </w:p>
        </w:tc>
        <w:tc>
          <w:tcPr>
            <w:tcW w:w="7217" w:type="dxa"/>
            <w:vAlign w:val="top"/>
          </w:tcPr>
          <w:p w14:paraId="4A4099BA">
            <w:pPr>
              <w:pStyle w:val="17"/>
              <w:spacing w:before="130"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967" w:type="dxa"/>
            <w:tcBorders>
              <w:right w:val="single" w:color="000000" w:sz="6" w:space="0"/>
            </w:tcBorders>
            <w:vAlign w:val="top"/>
          </w:tcPr>
          <w:p w14:paraId="2B256E65">
            <w:pPr>
              <w:spacing w:before="167" w:line="188" w:lineRule="auto"/>
              <w:ind w:left="36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3.0</w:t>
            </w:r>
          </w:p>
        </w:tc>
      </w:tr>
      <w:tr w14:paraId="79F75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5" w:type="dxa"/>
            <w:tcBorders>
              <w:left w:val="single" w:color="000000" w:sz="6" w:space="0"/>
            </w:tcBorders>
            <w:vAlign w:val="top"/>
          </w:tcPr>
          <w:p w14:paraId="53181124">
            <w:pPr>
              <w:rPr>
                <w:rFonts w:ascii="Arial"/>
                <w:strike/>
                <w:dstrike w:val="0"/>
                <w:color w:val="auto"/>
                <w:sz w:val="21"/>
                <w:highlight w:val="none"/>
              </w:rPr>
            </w:pPr>
          </w:p>
        </w:tc>
        <w:tc>
          <w:tcPr>
            <w:tcW w:w="7217" w:type="dxa"/>
            <w:vAlign w:val="top"/>
          </w:tcPr>
          <w:p w14:paraId="420C789C">
            <w:pPr>
              <w:pStyle w:val="17"/>
              <w:spacing w:before="132"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967" w:type="dxa"/>
            <w:tcBorders>
              <w:right w:val="single" w:color="000000" w:sz="6" w:space="0"/>
            </w:tcBorders>
            <w:vAlign w:val="top"/>
          </w:tcPr>
          <w:p w14:paraId="2E7F21D3">
            <w:pPr>
              <w:spacing w:before="169" w:line="188" w:lineRule="auto"/>
              <w:ind w:left="35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1"/>
                <w:sz w:val="21"/>
                <w:szCs w:val="21"/>
                <w:highlight w:val="none"/>
              </w:rPr>
              <w:t>2.0</w:t>
            </w:r>
          </w:p>
        </w:tc>
      </w:tr>
      <w:tr w14:paraId="4523E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5" w:type="dxa"/>
            <w:tcBorders>
              <w:left w:val="single" w:color="000000" w:sz="6" w:space="0"/>
            </w:tcBorders>
            <w:vAlign w:val="top"/>
          </w:tcPr>
          <w:p w14:paraId="6CD815C2">
            <w:pPr>
              <w:rPr>
                <w:rFonts w:ascii="Arial"/>
                <w:strike/>
                <w:dstrike w:val="0"/>
                <w:color w:val="auto"/>
                <w:sz w:val="21"/>
                <w:highlight w:val="none"/>
              </w:rPr>
            </w:pPr>
          </w:p>
        </w:tc>
        <w:tc>
          <w:tcPr>
            <w:tcW w:w="7217" w:type="dxa"/>
            <w:vAlign w:val="top"/>
          </w:tcPr>
          <w:p w14:paraId="25E6922B">
            <w:pPr>
              <w:pStyle w:val="17"/>
              <w:spacing w:before="133"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967" w:type="dxa"/>
            <w:tcBorders>
              <w:right w:val="single" w:color="000000" w:sz="6" w:space="0"/>
            </w:tcBorders>
            <w:vAlign w:val="top"/>
          </w:tcPr>
          <w:p w14:paraId="1DE9F236">
            <w:pPr>
              <w:spacing w:before="170" w:line="188" w:lineRule="auto"/>
              <w:ind w:left="37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5"/>
                <w:sz w:val="21"/>
                <w:szCs w:val="21"/>
                <w:highlight w:val="none"/>
              </w:rPr>
              <w:t>1.0</w:t>
            </w:r>
          </w:p>
        </w:tc>
      </w:tr>
      <w:tr w14:paraId="1C310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25" w:type="dxa"/>
            <w:tcBorders>
              <w:left w:val="single" w:color="000000" w:sz="6" w:space="0"/>
              <w:bottom w:val="single" w:color="000000" w:sz="6" w:space="0"/>
            </w:tcBorders>
            <w:vAlign w:val="top"/>
          </w:tcPr>
          <w:p w14:paraId="20A3A700">
            <w:pPr>
              <w:rPr>
                <w:rFonts w:ascii="Arial"/>
                <w:strike/>
                <w:dstrike w:val="0"/>
                <w:color w:val="auto"/>
                <w:sz w:val="21"/>
                <w:highlight w:val="none"/>
              </w:rPr>
            </w:pPr>
          </w:p>
        </w:tc>
        <w:tc>
          <w:tcPr>
            <w:tcW w:w="7217" w:type="dxa"/>
            <w:tcBorders>
              <w:bottom w:val="single" w:color="000000" w:sz="6" w:space="0"/>
            </w:tcBorders>
            <w:vAlign w:val="top"/>
          </w:tcPr>
          <w:p w14:paraId="599A6114">
            <w:pPr>
              <w:pStyle w:val="17"/>
              <w:spacing w:before="135"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967" w:type="dxa"/>
            <w:tcBorders>
              <w:bottom w:val="single" w:color="000000" w:sz="6" w:space="0"/>
              <w:right w:val="single" w:color="000000" w:sz="6" w:space="0"/>
            </w:tcBorders>
            <w:vAlign w:val="top"/>
          </w:tcPr>
          <w:p w14:paraId="740D1D1A">
            <w:pPr>
              <w:spacing w:before="171" w:line="188" w:lineRule="auto"/>
              <w:ind w:left="43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bl>
    <w:p w14:paraId="6A2BD5D5">
      <w:pPr>
        <w:pStyle w:val="8"/>
        <w:spacing w:line="371" w:lineRule="auto"/>
        <w:rPr>
          <w:strike/>
          <w:dstrike w:val="0"/>
          <w:color w:val="auto"/>
          <w:highlight w:val="none"/>
        </w:rPr>
      </w:pPr>
    </w:p>
    <w:p w14:paraId="70497E42">
      <w:pPr>
        <w:spacing w:before="78" w:line="359" w:lineRule="auto"/>
        <w:ind w:left="9" w:right="236" w:firstLine="48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企业信用等级证明材料指：选用全国水利建设市场监管服务平台企业信用评</w:t>
      </w:r>
      <w:r>
        <w:rPr>
          <w:rFonts w:ascii="宋体" w:hAnsi="宋体" w:eastAsia="宋体" w:cs="宋体"/>
          <w:strike/>
          <w:dstrike w:val="0"/>
          <w:color w:val="auto"/>
          <w:spacing w:val="-4"/>
          <w:sz w:val="24"/>
          <w:szCs w:val="24"/>
          <w:highlight w:val="none"/>
        </w:rPr>
        <w:t>价等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级的提供显示颁发日期及有效期的网页打印件；选用浙江省水利建设市场信用评价等</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4"/>
          <w:sz w:val="24"/>
          <w:szCs w:val="24"/>
          <w:highlight w:val="none"/>
        </w:rPr>
        <w:t>级（施工类）的提供投标截止日前最新一期信用评价等级打印件（信用评价等级每周</w:t>
      </w:r>
      <w:r>
        <w:rPr>
          <w:rFonts w:ascii="宋体" w:hAnsi="宋体" w:eastAsia="宋体" w:cs="宋体"/>
          <w:strike/>
          <w:dstrike w:val="0"/>
          <w:color w:val="auto"/>
          <w:spacing w:val="15"/>
          <w:sz w:val="24"/>
          <w:szCs w:val="24"/>
          <w:highlight w:val="none"/>
        </w:rPr>
        <w:t xml:space="preserve"> </w:t>
      </w:r>
      <w:r>
        <w:rPr>
          <w:rFonts w:ascii="宋体" w:hAnsi="宋体" w:eastAsia="宋体" w:cs="宋体"/>
          <w:strike/>
          <w:dstrike w:val="0"/>
          <w:color w:val="auto"/>
          <w:spacing w:val="-1"/>
          <w:sz w:val="24"/>
          <w:szCs w:val="24"/>
          <w:highlight w:val="none"/>
        </w:rPr>
        <w:t xml:space="preserve">三下午 </w:t>
      </w:r>
      <w:r>
        <w:rPr>
          <w:rFonts w:ascii="Times New Roman" w:hAnsi="Times New Roman" w:eastAsia="Times New Roman" w:cs="Times New Roman"/>
          <w:strike/>
          <w:dstrike w:val="0"/>
          <w:color w:val="auto"/>
          <w:spacing w:val="-1"/>
          <w:sz w:val="24"/>
          <w:szCs w:val="24"/>
          <w:highlight w:val="none"/>
        </w:rPr>
        <w:t>17:00-18:00</w:t>
      </w:r>
      <w:r>
        <w:rPr>
          <w:rFonts w:ascii="宋体" w:hAnsi="宋体" w:eastAsia="宋体" w:cs="宋体"/>
          <w:strike/>
          <w:dstrike w:val="0"/>
          <w:color w:val="auto"/>
          <w:spacing w:val="-1"/>
          <w:sz w:val="24"/>
          <w:szCs w:val="24"/>
          <w:highlight w:val="none"/>
        </w:rPr>
        <w:t>更新</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打印件应含有“浙江水利透明工</w:t>
      </w:r>
      <w:r>
        <w:rPr>
          <w:rFonts w:ascii="宋体" w:hAnsi="宋体" w:eastAsia="宋体" w:cs="宋体"/>
          <w:strike/>
          <w:dstrike w:val="0"/>
          <w:color w:val="auto"/>
          <w:spacing w:val="-2"/>
          <w:sz w:val="24"/>
          <w:szCs w:val="24"/>
          <w:highlight w:val="none"/>
        </w:rPr>
        <w:t>程”水印。</w:t>
      </w:r>
    </w:p>
    <w:p w14:paraId="276B1D2F">
      <w:pPr>
        <w:spacing w:line="227"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4.6  </w:t>
      </w:r>
      <w:r>
        <w:rPr>
          <w:rFonts w:ascii="楷体" w:hAnsi="楷体" w:eastAsia="楷体" w:cs="楷体"/>
          <w:b/>
          <w:bCs/>
          <w:strike/>
          <w:dstrike w:val="0"/>
          <w:color w:val="auto"/>
          <w:spacing w:val="-2"/>
          <w:sz w:val="24"/>
          <w:szCs w:val="24"/>
          <w:highlight w:val="none"/>
        </w:rPr>
        <w:t>询标</w:t>
      </w:r>
    </w:p>
    <w:p w14:paraId="6C289ACA">
      <w:pPr>
        <w:spacing w:before="171" w:line="324" w:lineRule="auto"/>
        <w:ind w:left="11" w:right="222" w:firstLine="49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1.</w:t>
      </w:r>
      <w:r>
        <w:rPr>
          <w:rFonts w:ascii="Times New Roman" w:hAnsi="Times New Roman" w:eastAsia="Times New Roman" w:cs="Times New Roman"/>
          <w:strike/>
          <w:dstrike w:val="0"/>
          <w:color w:val="auto"/>
          <w:spacing w:val="20"/>
          <w:sz w:val="24"/>
          <w:szCs w:val="24"/>
          <w:highlight w:val="none"/>
        </w:rPr>
        <w:t xml:space="preserve"> </w:t>
      </w:r>
      <w:r>
        <w:rPr>
          <w:rFonts w:ascii="宋体" w:hAnsi="宋体" w:eastAsia="宋体" w:cs="宋体"/>
          <w:strike/>
          <w:dstrike w:val="0"/>
          <w:color w:val="auto"/>
          <w:spacing w:val="-3"/>
          <w:sz w:val="24"/>
          <w:szCs w:val="24"/>
          <w:highlight w:val="none"/>
        </w:rPr>
        <w:t>凡评标委员会拟作出否决投标决定的，应</w:t>
      </w:r>
      <w:r>
        <w:rPr>
          <w:rFonts w:ascii="宋体" w:hAnsi="宋体" w:eastAsia="宋体" w:cs="宋体"/>
          <w:strike/>
          <w:dstrike w:val="0"/>
          <w:color w:val="auto"/>
          <w:spacing w:val="-4"/>
          <w:sz w:val="24"/>
          <w:szCs w:val="24"/>
          <w:highlight w:val="none"/>
        </w:rPr>
        <w:t>先向投标人进行书面询问核实。未进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5"/>
          <w:sz w:val="24"/>
          <w:szCs w:val="24"/>
          <w:highlight w:val="none"/>
        </w:rPr>
        <w:t>行询问核实程序的，不得做出否决投标决定，投标人放弃接受询问核实机会的除外。投标</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22"/>
          <w:sz w:val="24"/>
          <w:szCs w:val="24"/>
          <w:highlight w:val="none"/>
        </w:rPr>
        <w:t>人应自行关注系统中评标委员会发出的澄清并及时答复，在规定的时限内投标人不参加核实</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3"/>
          <w:sz w:val="24"/>
          <w:szCs w:val="24"/>
          <w:highlight w:val="none"/>
        </w:rPr>
        <w:t>或不予答复的，视为放弃接受询问核实机会。</w:t>
      </w:r>
    </w:p>
    <w:p w14:paraId="28F88410">
      <w:pPr>
        <w:spacing w:before="182" w:line="289" w:lineRule="auto"/>
        <w:ind w:left="8" w:right="447" w:firstLine="44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5"/>
          <w:sz w:val="24"/>
          <w:szCs w:val="24"/>
          <w:highlight w:val="none"/>
        </w:rPr>
        <w:t>2.</w:t>
      </w:r>
      <w:r>
        <w:rPr>
          <w:rFonts w:ascii="Times New Roman" w:hAnsi="Times New Roman" w:eastAsia="Times New Roman" w:cs="Times New Roman"/>
          <w:strike/>
          <w:dstrike w:val="0"/>
          <w:color w:val="auto"/>
          <w:spacing w:val="37"/>
          <w:w w:val="101"/>
          <w:sz w:val="24"/>
          <w:szCs w:val="24"/>
          <w:highlight w:val="none"/>
        </w:rPr>
        <w:t xml:space="preserve"> </w:t>
      </w:r>
      <w:r>
        <w:rPr>
          <w:rFonts w:ascii="宋体" w:hAnsi="宋体" w:eastAsia="宋体" w:cs="宋体"/>
          <w:strike/>
          <w:dstrike w:val="0"/>
          <w:color w:val="auto"/>
          <w:spacing w:val="-15"/>
          <w:sz w:val="24"/>
          <w:szCs w:val="24"/>
          <w:highlight w:val="none"/>
        </w:rPr>
        <w:t>除本评标办法规定的否决情形以外，招标文件中其他条款均不得作为否决投标文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件的依据。</w:t>
      </w:r>
    </w:p>
    <w:p w14:paraId="4879AE46">
      <w:pPr>
        <w:spacing w:before="182" w:line="223" w:lineRule="auto"/>
        <w:ind w:left="5"/>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4.7  </w:t>
      </w:r>
      <w:r>
        <w:rPr>
          <w:rFonts w:ascii="楷体" w:hAnsi="楷体" w:eastAsia="楷体" w:cs="楷体"/>
          <w:b/>
          <w:bCs/>
          <w:strike/>
          <w:dstrike w:val="0"/>
          <w:color w:val="auto"/>
          <w:spacing w:val="-2"/>
          <w:sz w:val="24"/>
          <w:szCs w:val="24"/>
          <w:highlight w:val="none"/>
        </w:rPr>
        <w:t>投标文件的综合评分</w:t>
      </w:r>
    </w:p>
    <w:p w14:paraId="33C36965">
      <w:pPr>
        <w:spacing w:before="175" w:line="360" w:lineRule="auto"/>
        <w:ind w:left="12" w:right="237" w:firstLine="53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投标文件的综合评分为投标文件的资信评分与投标文件的商务评分之和，满分</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5"/>
          <w:sz w:val="24"/>
          <w:szCs w:val="24"/>
          <w:highlight w:val="none"/>
        </w:rPr>
        <w:t>为</w:t>
      </w:r>
      <w:r>
        <w:rPr>
          <w:rFonts w:ascii="Times New Roman" w:hAnsi="Times New Roman" w:eastAsia="Times New Roman" w:cs="Times New Roman"/>
          <w:strike/>
          <w:dstrike w:val="0"/>
          <w:color w:val="auto"/>
          <w:spacing w:val="-5"/>
          <w:sz w:val="24"/>
          <w:szCs w:val="24"/>
          <w:highlight w:val="none"/>
        </w:rPr>
        <w:t>100</w:t>
      </w:r>
      <w:r>
        <w:rPr>
          <w:rFonts w:ascii="宋体" w:hAnsi="宋体" w:eastAsia="宋体" w:cs="宋体"/>
          <w:strike/>
          <w:dstrike w:val="0"/>
          <w:color w:val="auto"/>
          <w:spacing w:val="-5"/>
          <w:sz w:val="24"/>
          <w:szCs w:val="24"/>
          <w:highlight w:val="none"/>
        </w:rPr>
        <w:t>分。</w:t>
      </w:r>
    </w:p>
    <w:p w14:paraId="0AB974EE">
      <w:pPr>
        <w:spacing w:line="225"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4.8  </w:t>
      </w:r>
      <w:r>
        <w:rPr>
          <w:rFonts w:ascii="楷体" w:hAnsi="楷体" w:eastAsia="楷体" w:cs="楷体"/>
          <w:b/>
          <w:bCs/>
          <w:strike/>
          <w:dstrike w:val="0"/>
          <w:color w:val="auto"/>
          <w:spacing w:val="-2"/>
          <w:sz w:val="24"/>
          <w:szCs w:val="24"/>
          <w:highlight w:val="none"/>
        </w:rPr>
        <w:t>推荐中标候选人</w:t>
      </w:r>
    </w:p>
    <w:p w14:paraId="3F251F12">
      <w:pPr>
        <w:spacing w:before="175" w:line="359" w:lineRule="auto"/>
        <w:ind w:left="8" w:right="150"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评标委员会根据综合评分对通过商务评审的投标文件按照由高到低的顺序进行</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13"/>
          <w:sz w:val="24"/>
          <w:szCs w:val="24"/>
          <w:highlight w:val="none"/>
        </w:rPr>
        <w:t>排序，推荐中标候选人。综合评分相同时，</w:t>
      </w:r>
      <w:r>
        <w:rPr>
          <w:rFonts w:ascii="宋体" w:hAnsi="宋体" w:eastAsia="宋体" w:cs="宋体"/>
          <w:strike/>
          <w:dstrike w:val="0"/>
          <w:color w:val="auto"/>
          <w:spacing w:val="61"/>
          <w:sz w:val="24"/>
          <w:szCs w:val="24"/>
          <w:highlight w:val="none"/>
        </w:rPr>
        <w:t xml:space="preserve"> </w:t>
      </w:r>
      <w:r>
        <w:rPr>
          <w:rFonts w:ascii="宋体" w:hAnsi="宋体" w:eastAsia="宋体" w:cs="宋体"/>
          <w:strike/>
          <w:dstrike w:val="0"/>
          <w:color w:val="auto"/>
          <w:spacing w:val="-13"/>
          <w:sz w:val="24"/>
          <w:szCs w:val="24"/>
          <w:highlight w:val="none"/>
        </w:rPr>
        <w:t>报价低者优先。评分、报价均相同时，</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13"/>
          <w:sz w:val="24"/>
          <w:szCs w:val="24"/>
          <w:highlight w:val="none"/>
        </w:rPr>
        <w:t>由</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评标委员会全体成员按照少数服从多数的原则记名投票（不得弃权）决定中标候选人。</w:t>
      </w:r>
    </w:p>
    <w:p w14:paraId="640DFAEE">
      <w:pPr>
        <w:spacing w:before="1" w:line="218" w:lineRule="auto"/>
        <w:ind w:left="55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本评标办法未尽事宜由评标委员会集体讨论决定。</w:t>
      </w:r>
    </w:p>
    <w:p w14:paraId="2C9E66E2">
      <w:pPr>
        <w:spacing w:line="218" w:lineRule="auto"/>
        <w:rPr>
          <w:rFonts w:ascii="宋体" w:hAnsi="宋体" w:eastAsia="宋体" w:cs="宋体"/>
          <w:strike/>
          <w:dstrike w:val="0"/>
          <w:color w:val="auto"/>
          <w:sz w:val="24"/>
          <w:szCs w:val="24"/>
          <w:highlight w:val="none"/>
        </w:rPr>
        <w:sectPr>
          <w:footerReference r:id="rId37" w:type="default"/>
          <w:pgSz w:w="11905" w:h="16840"/>
          <w:pgMar w:top="1431" w:right="1292" w:bottom="1255" w:left="1587" w:header="0" w:footer="1093" w:gutter="0"/>
          <w:pgNumType w:fmt="decimal"/>
          <w:cols w:space="720" w:num="1"/>
        </w:sectPr>
      </w:pPr>
    </w:p>
    <w:p w14:paraId="15F635C1">
      <w:pPr>
        <w:spacing w:before="50"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4.9  </w:t>
      </w:r>
      <w:r>
        <w:rPr>
          <w:rFonts w:ascii="楷体" w:hAnsi="楷体" w:eastAsia="楷体" w:cs="楷体"/>
          <w:b/>
          <w:bCs/>
          <w:strike/>
          <w:dstrike w:val="0"/>
          <w:color w:val="auto"/>
          <w:spacing w:val="-2"/>
          <w:sz w:val="24"/>
          <w:szCs w:val="24"/>
          <w:highlight w:val="none"/>
        </w:rPr>
        <w:t>评标报告</w:t>
      </w:r>
    </w:p>
    <w:p w14:paraId="23E1542D">
      <w:pPr>
        <w:spacing w:before="177" w:line="289" w:lineRule="auto"/>
        <w:ind w:left="4" w:right="19" w:firstLine="47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4.9.1  </w:t>
      </w:r>
      <w:r>
        <w:rPr>
          <w:rFonts w:ascii="宋体" w:hAnsi="宋体" w:eastAsia="宋体" w:cs="宋体"/>
          <w:strike/>
          <w:dstrike w:val="0"/>
          <w:color w:val="auto"/>
          <w:sz w:val="24"/>
          <w:szCs w:val="24"/>
          <w:highlight w:val="none"/>
        </w:rPr>
        <w:t>评标委员会对投标文件作出的评审结论，应当符合有关法律、法规、规章</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5"/>
          <w:sz w:val="24"/>
          <w:szCs w:val="24"/>
          <w:highlight w:val="none"/>
        </w:rPr>
        <w:t>和招标文件的规定。</w:t>
      </w:r>
    </w:p>
    <w:p w14:paraId="62C1DB38">
      <w:pPr>
        <w:spacing w:before="181" w:line="324" w:lineRule="auto"/>
        <w:ind w:left="2"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5"/>
          <w:sz w:val="24"/>
          <w:szCs w:val="24"/>
          <w:highlight w:val="none"/>
        </w:rPr>
        <w:t xml:space="preserve">4.9.2  </w:t>
      </w:r>
      <w:r>
        <w:rPr>
          <w:rFonts w:ascii="宋体" w:hAnsi="宋体" w:eastAsia="宋体" w:cs="宋体"/>
          <w:strike/>
          <w:dstrike w:val="0"/>
          <w:color w:val="auto"/>
          <w:spacing w:val="-5"/>
          <w:sz w:val="24"/>
          <w:szCs w:val="24"/>
          <w:highlight w:val="none"/>
        </w:rPr>
        <w:t>评标委员会应根据评标情况</w:t>
      </w:r>
      <w:r>
        <w:rPr>
          <w:rFonts w:ascii="宋体" w:hAnsi="宋体" w:eastAsia="宋体" w:cs="宋体"/>
          <w:strike/>
          <w:dstrike w:val="0"/>
          <w:color w:val="auto"/>
          <w:spacing w:val="-6"/>
          <w:sz w:val="24"/>
          <w:szCs w:val="24"/>
          <w:highlight w:val="none"/>
        </w:rPr>
        <w:t>，推荐中标候选人，并向招标人提交评标报告。</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评标报告由评标委员会成员起草，评标委员会全体成员应在评标报告上签字确认，评</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标专家如有保留意见可以在评标报告中阐明。评标委员会成员拒绝在评标报告上签字</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2"/>
          <w:sz w:val="24"/>
          <w:szCs w:val="24"/>
          <w:highlight w:val="none"/>
        </w:rPr>
        <w:t>又不书面说明其不同意见和理由的，视为同意评标结果。</w:t>
      </w:r>
    </w:p>
    <w:p w14:paraId="7A46AEED">
      <w:pPr>
        <w:spacing w:before="182" w:line="218" w:lineRule="auto"/>
        <w:ind w:left="48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 xml:space="preserve">4.9.3  </w:t>
      </w:r>
      <w:r>
        <w:rPr>
          <w:rFonts w:ascii="宋体" w:hAnsi="宋体" w:eastAsia="宋体" w:cs="宋体"/>
          <w:strike/>
          <w:dstrike w:val="0"/>
          <w:color w:val="auto"/>
          <w:spacing w:val="-3"/>
          <w:sz w:val="24"/>
          <w:szCs w:val="24"/>
          <w:highlight w:val="none"/>
        </w:rPr>
        <w:t>评标报告应包括以下内容：</w:t>
      </w:r>
    </w:p>
    <w:p w14:paraId="14DFC33D">
      <w:pPr>
        <w:spacing w:before="184"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）开标记录。</w:t>
      </w:r>
    </w:p>
    <w:p w14:paraId="549DFCA0">
      <w:pPr>
        <w:spacing w:before="180"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）评标内容、过程和结果。</w:t>
      </w:r>
    </w:p>
    <w:p w14:paraId="02549241">
      <w:pPr>
        <w:spacing w:before="181"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）被否决情况说明及依据。</w:t>
      </w:r>
    </w:p>
    <w:p w14:paraId="2403689A">
      <w:pPr>
        <w:spacing w:before="183"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）询标澄清纪要。</w:t>
      </w:r>
    </w:p>
    <w:p w14:paraId="1B112B6C">
      <w:pPr>
        <w:spacing w:before="180"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5</w:t>
      </w:r>
      <w:r>
        <w:rPr>
          <w:rFonts w:ascii="宋体" w:hAnsi="宋体" w:eastAsia="宋体" w:cs="宋体"/>
          <w:strike/>
          <w:dstrike w:val="0"/>
          <w:color w:val="auto"/>
          <w:spacing w:val="-3"/>
          <w:sz w:val="24"/>
          <w:szCs w:val="24"/>
          <w:highlight w:val="none"/>
        </w:rPr>
        <w:t>）中标侯选人的优劣对比和存在问题。</w:t>
      </w:r>
    </w:p>
    <w:p w14:paraId="3CE3FF22">
      <w:pPr>
        <w:spacing w:before="182"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）中标候选人投标业绩。</w:t>
      </w:r>
    </w:p>
    <w:p w14:paraId="6F1C371B">
      <w:pPr>
        <w:spacing w:before="181"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7</w:t>
      </w:r>
      <w:r>
        <w:rPr>
          <w:rFonts w:ascii="宋体" w:hAnsi="宋体" w:eastAsia="宋体" w:cs="宋体"/>
          <w:strike/>
          <w:dstrike w:val="0"/>
          <w:color w:val="auto"/>
          <w:spacing w:val="-6"/>
          <w:sz w:val="24"/>
          <w:szCs w:val="24"/>
          <w:highlight w:val="none"/>
        </w:rPr>
        <w:t>）其他建议。</w:t>
      </w:r>
    </w:p>
    <w:p w14:paraId="4416E2D3">
      <w:pPr>
        <w:spacing w:line="220" w:lineRule="auto"/>
        <w:rPr>
          <w:rFonts w:ascii="宋体" w:hAnsi="宋体" w:eastAsia="宋体" w:cs="宋体"/>
          <w:strike/>
          <w:dstrike w:val="0"/>
          <w:color w:val="auto"/>
          <w:sz w:val="24"/>
          <w:szCs w:val="24"/>
          <w:highlight w:val="none"/>
        </w:rPr>
        <w:sectPr>
          <w:footerReference r:id="rId38" w:type="default"/>
          <w:pgSz w:w="11905" w:h="16840"/>
          <w:pgMar w:top="1426" w:right="1527" w:bottom="1255" w:left="1593" w:header="0" w:footer="1093" w:gutter="0"/>
          <w:pgNumType w:fmt="decimal"/>
          <w:cols w:space="720" w:num="1"/>
        </w:sectPr>
      </w:pPr>
    </w:p>
    <w:p w14:paraId="296BC69C">
      <w:pPr>
        <w:spacing w:before="55" w:line="225" w:lineRule="auto"/>
        <w:ind w:left="2010"/>
        <w:rPr>
          <w:rFonts w:ascii="宋体" w:hAnsi="宋体" w:eastAsia="宋体" w:cs="宋体"/>
          <w:strike/>
          <w:dstrike w:val="0"/>
          <w:color w:val="auto"/>
          <w:sz w:val="27"/>
          <w:szCs w:val="27"/>
          <w:highlight w:val="none"/>
        </w:rPr>
      </w:pPr>
      <w:r>
        <w:rPr>
          <w:rFonts w:ascii="宋体" w:hAnsi="宋体" w:eastAsia="宋体" w:cs="宋体"/>
          <w:b/>
          <w:bCs/>
          <w:strike/>
          <w:dstrike w:val="0"/>
          <w:color w:val="auto"/>
          <w:spacing w:val="6"/>
          <w:sz w:val="27"/>
          <w:szCs w:val="27"/>
          <w:highlight w:val="none"/>
        </w:rPr>
        <w:t>方法三：（有限数量制的综合评估法）</w:t>
      </w:r>
    </w:p>
    <w:p w14:paraId="2553DF89">
      <w:pPr>
        <w:pStyle w:val="8"/>
        <w:spacing w:line="250" w:lineRule="auto"/>
        <w:rPr>
          <w:strike/>
          <w:dstrike w:val="0"/>
          <w:color w:val="auto"/>
          <w:highlight w:val="none"/>
        </w:rPr>
      </w:pPr>
    </w:p>
    <w:p w14:paraId="171DB9A3">
      <w:pPr>
        <w:spacing w:before="78"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4.2  </w:t>
      </w:r>
      <w:r>
        <w:rPr>
          <w:rFonts w:ascii="楷体" w:hAnsi="楷体" w:eastAsia="楷体" w:cs="楷体"/>
          <w:b/>
          <w:bCs/>
          <w:strike/>
          <w:dstrike w:val="0"/>
          <w:color w:val="auto"/>
          <w:spacing w:val="-2"/>
          <w:sz w:val="24"/>
          <w:szCs w:val="24"/>
          <w:highlight w:val="none"/>
        </w:rPr>
        <w:t>入评单位选择</w:t>
      </w:r>
    </w:p>
    <w:p w14:paraId="072DA6D5">
      <w:pPr>
        <w:spacing w:before="176" w:line="218" w:lineRule="auto"/>
        <w:ind w:left="54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4.2.1  </w:t>
      </w:r>
      <w:r>
        <w:rPr>
          <w:rFonts w:ascii="宋体" w:hAnsi="宋体" w:eastAsia="宋体" w:cs="宋体"/>
          <w:strike/>
          <w:dstrike w:val="0"/>
          <w:color w:val="auto"/>
          <w:spacing w:val="-1"/>
          <w:sz w:val="24"/>
          <w:szCs w:val="24"/>
          <w:highlight w:val="none"/>
        </w:rPr>
        <w:t>入评基准价的确定</w:t>
      </w:r>
    </w:p>
    <w:p w14:paraId="56142A78">
      <w:pPr>
        <w:spacing w:before="181" w:line="356" w:lineRule="auto"/>
        <w:ind w:left="1" w:firstLine="54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 xml:space="preserve">若投标报价在最高投标限价以下投标人在 </w:t>
      </w:r>
      <w:r>
        <w:rPr>
          <w:rFonts w:ascii="Times New Roman" w:hAnsi="Times New Roman" w:eastAsia="Times New Roman" w:cs="Times New Roman"/>
          <w:strike/>
          <w:dstrike w:val="0"/>
          <w:color w:val="auto"/>
          <w:spacing w:val="2"/>
          <w:sz w:val="24"/>
          <w:szCs w:val="24"/>
          <w:highlight w:val="none"/>
        </w:rPr>
        <w:t>100</w:t>
      </w:r>
      <w:r>
        <w:rPr>
          <w:rFonts w:ascii="宋体" w:hAnsi="宋体" w:eastAsia="宋体" w:cs="宋体"/>
          <w:strike/>
          <w:dstrike w:val="0"/>
          <w:color w:val="auto"/>
          <w:spacing w:val="2"/>
          <w:sz w:val="24"/>
          <w:szCs w:val="24"/>
          <w:highlight w:val="none"/>
        </w:rPr>
        <w:t xml:space="preserve">家及以上时，入评基准价为最高 </w:t>
      </w:r>
      <w:r>
        <w:rPr>
          <w:rFonts w:ascii="宋体" w:hAnsi="宋体" w:eastAsia="宋体" w:cs="宋体"/>
          <w:strike/>
          <w:dstrike w:val="0"/>
          <w:color w:val="auto"/>
          <w:spacing w:val="6"/>
          <w:sz w:val="24"/>
          <w:szCs w:val="24"/>
          <w:highlight w:val="none"/>
        </w:rPr>
        <w:t>投标限价以下</w:t>
      </w:r>
      <w:r>
        <w:rPr>
          <w:rFonts w:ascii="宋体" w:hAnsi="宋体" w:eastAsia="宋体" w:cs="宋体"/>
          <w:b/>
          <w:bCs/>
          <w:strike/>
          <w:dstrike w:val="0"/>
          <w:color w:val="auto"/>
          <w:spacing w:val="6"/>
          <w:sz w:val="24"/>
          <w:szCs w:val="24"/>
          <w:highlight w:val="none"/>
        </w:rPr>
        <w:t>所有</w:t>
      </w:r>
      <w:r>
        <w:rPr>
          <w:rFonts w:ascii="宋体" w:hAnsi="宋体" w:eastAsia="宋体" w:cs="宋体"/>
          <w:strike/>
          <w:dstrike w:val="0"/>
          <w:color w:val="auto"/>
          <w:spacing w:val="6"/>
          <w:sz w:val="24"/>
          <w:szCs w:val="24"/>
          <w:highlight w:val="none"/>
        </w:rPr>
        <w:t>投标人的投标报价中剔除</w:t>
      </w:r>
      <w:r>
        <w:rPr>
          <w:rFonts w:ascii="宋体" w:hAnsi="宋体" w:eastAsia="宋体" w:cs="宋体"/>
          <w:strike/>
          <w:dstrike w:val="0"/>
          <w:color w:val="auto"/>
          <w:spacing w:val="5"/>
          <w:sz w:val="24"/>
          <w:szCs w:val="24"/>
          <w:highlight w:val="none"/>
        </w:rPr>
        <w:t>投标报价由高到低排序前</w:t>
      </w:r>
      <w:r>
        <w:rPr>
          <w:rFonts w:ascii="Times New Roman" w:hAnsi="Times New Roman" w:eastAsia="Times New Roman" w:cs="Times New Roman"/>
          <w:strike/>
          <w:dstrike w:val="0"/>
          <w:color w:val="auto"/>
          <w:spacing w:val="5"/>
          <w:sz w:val="24"/>
          <w:szCs w:val="24"/>
          <w:highlight w:val="none"/>
        </w:rPr>
        <w:t>A</w:t>
      </w:r>
      <w:r>
        <w:rPr>
          <w:rFonts w:ascii="宋体" w:hAnsi="宋体" w:eastAsia="宋体" w:cs="宋体"/>
          <w:strike/>
          <w:dstrike w:val="0"/>
          <w:color w:val="auto"/>
          <w:spacing w:val="5"/>
          <w:sz w:val="24"/>
          <w:szCs w:val="24"/>
          <w:highlight w:val="none"/>
        </w:rPr>
        <w:t>个投标报价</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和投标报价由低到高排序前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个投标报价后的算术平均值［</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为最高投标限</w:t>
      </w:r>
      <w:r>
        <w:rPr>
          <w:rFonts w:ascii="宋体" w:hAnsi="宋体" w:eastAsia="宋体" w:cs="宋体"/>
          <w:strike/>
          <w:dstrike w:val="0"/>
          <w:color w:val="auto"/>
          <w:sz w:val="24"/>
          <w:szCs w:val="24"/>
          <w:highlight w:val="none"/>
        </w:rPr>
        <w:t xml:space="preserve">价以下投 </w:t>
      </w:r>
      <w:r>
        <w:rPr>
          <w:rFonts w:ascii="宋体" w:hAnsi="宋体" w:eastAsia="宋体" w:cs="宋体"/>
          <w:strike/>
          <w:dstrike w:val="0"/>
          <w:color w:val="auto"/>
          <w:spacing w:val="-3"/>
          <w:sz w:val="24"/>
          <w:szCs w:val="24"/>
          <w:highlight w:val="none"/>
        </w:rPr>
        <w:t>标人个数的</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20%</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 xml:space="preserve">30% </w:t>
      </w:r>
      <w:r>
        <w:rPr>
          <w:rFonts w:ascii="宋体" w:hAnsi="宋体" w:eastAsia="宋体" w:cs="宋体"/>
          <w:i/>
          <w:iCs/>
          <w:strike/>
          <w:dstrike w:val="0"/>
          <w:color w:val="auto"/>
          <w:spacing w:val="-3"/>
          <w:sz w:val="25"/>
          <w:szCs w:val="25"/>
          <w:highlight w:val="none"/>
          <w:u w:val="single" w:color="auto"/>
        </w:rPr>
        <w:t>，由招标人自主</w:t>
      </w:r>
      <w:r>
        <w:rPr>
          <w:rFonts w:ascii="宋体" w:hAnsi="宋体" w:eastAsia="宋体" w:cs="宋体"/>
          <w:i/>
          <w:iCs/>
          <w:strike/>
          <w:dstrike w:val="0"/>
          <w:color w:val="auto"/>
          <w:spacing w:val="-4"/>
          <w:sz w:val="25"/>
          <w:szCs w:val="25"/>
          <w:highlight w:val="none"/>
          <w:u w:val="single" w:color="auto"/>
        </w:rPr>
        <w:t>确定）</w:t>
      </w:r>
      <w:r>
        <w:rPr>
          <w:rFonts w:ascii="宋体" w:hAnsi="宋体" w:eastAsia="宋体" w:cs="宋体"/>
          <w:strike/>
          <w:dstrike w:val="0"/>
          <w:color w:val="auto"/>
          <w:spacing w:val="-4"/>
          <w:sz w:val="24"/>
          <w:szCs w:val="24"/>
          <w:highlight w:val="none"/>
        </w:rPr>
        <w:t>，并取整数，小数点后四舍五入］；</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z w:val="24"/>
          <w:szCs w:val="24"/>
          <w:highlight w:val="none"/>
        </w:rPr>
        <w:t>若投标报价在最高投标限价以下投标人大于等于</w:t>
      </w:r>
      <w:r>
        <w:rPr>
          <w:rFonts w:ascii="Times New Roman" w:hAnsi="Times New Roman" w:eastAsia="Times New Roman" w:cs="Times New Roman"/>
          <w:strike/>
          <w:dstrike w:val="0"/>
          <w:color w:val="auto"/>
          <w:sz w:val="24"/>
          <w:szCs w:val="24"/>
          <w:highlight w:val="none"/>
        </w:rPr>
        <w:t>50</w:t>
      </w:r>
      <w:r>
        <w:rPr>
          <w:rFonts w:ascii="宋体" w:hAnsi="宋体" w:eastAsia="宋体" w:cs="宋体"/>
          <w:strike/>
          <w:dstrike w:val="0"/>
          <w:color w:val="auto"/>
          <w:sz w:val="24"/>
          <w:szCs w:val="24"/>
          <w:highlight w:val="none"/>
        </w:rPr>
        <w:t>家但少于</w:t>
      </w:r>
      <w:r>
        <w:rPr>
          <w:rFonts w:ascii="Times New Roman" w:hAnsi="Times New Roman" w:eastAsia="Times New Roman" w:cs="Times New Roman"/>
          <w:strike/>
          <w:dstrike w:val="0"/>
          <w:color w:val="auto"/>
          <w:sz w:val="24"/>
          <w:szCs w:val="24"/>
          <w:highlight w:val="none"/>
        </w:rPr>
        <w:t>100</w:t>
      </w:r>
      <w:r>
        <w:rPr>
          <w:rFonts w:ascii="宋体" w:hAnsi="宋体" w:eastAsia="宋体" w:cs="宋体"/>
          <w:strike/>
          <w:dstrike w:val="0"/>
          <w:color w:val="auto"/>
          <w:sz w:val="24"/>
          <w:szCs w:val="24"/>
          <w:highlight w:val="none"/>
        </w:rPr>
        <w:t>家时，入评基准价为</w:t>
      </w:r>
      <w:r>
        <w:rPr>
          <w:rFonts w:ascii="宋体" w:hAnsi="宋体" w:eastAsia="宋体" w:cs="宋体"/>
          <w:strike/>
          <w:dstrike w:val="0"/>
          <w:color w:val="auto"/>
          <w:spacing w:val="17"/>
          <w:sz w:val="24"/>
          <w:szCs w:val="24"/>
          <w:highlight w:val="none"/>
        </w:rPr>
        <w:t xml:space="preserve"> </w:t>
      </w:r>
      <w:r>
        <w:rPr>
          <w:rFonts w:ascii="宋体" w:hAnsi="宋体" w:eastAsia="宋体" w:cs="宋体"/>
          <w:strike/>
          <w:dstrike w:val="0"/>
          <w:color w:val="auto"/>
          <w:spacing w:val="6"/>
          <w:sz w:val="24"/>
          <w:szCs w:val="24"/>
          <w:highlight w:val="none"/>
        </w:rPr>
        <w:t>最高投标限价以下所有投标人的投标报价中剔除投标报</w:t>
      </w:r>
      <w:r>
        <w:rPr>
          <w:rFonts w:ascii="宋体" w:hAnsi="宋体" w:eastAsia="宋体" w:cs="宋体"/>
          <w:strike/>
          <w:dstrike w:val="0"/>
          <w:color w:val="auto"/>
          <w:spacing w:val="5"/>
          <w:sz w:val="24"/>
          <w:szCs w:val="24"/>
          <w:highlight w:val="none"/>
        </w:rPr>
        <w:t>价由高到低排序前</w:t>
      </w:r>
      <w:r>
        <w:rPr>
          <w:rFonts w:ascii="Times New Roman" w:hAnsi="Times New Roman" w:eastAsia="Times New Roman" w:cs="Times New Roman"/>
          <w:strike/>
          <w:dstrike w:val="0"/>
          <w:color w:val="auto"/>
          <w:spacing w:val="5"/>
          <w:sz w:val="24"/>
          <w:szCs w:val="24"/>
          <w:highlight w:val="none"/>
        </w:rPr>
        <w:t>A</w:t>
      </w:r>
      <w:r>
        <w:rPr>
          <w:rFonts w:ascii="宋体" w:hAnsi="宋体" w:eastAsia="宋体" w:cs="宋体"/>
          <w:strike/>
          <w:dstrike w:val="0"/>
          <w:color w:val="auto"/>
          <w:spacing w:val="5"/>
          <w:sz w:val="24"/>
          <w:szCs w:val="24"/>
          <w:highlight w:val="none"/>
        </w:rPr>
        <w:t>个投标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报价和投标报价由低到高排序前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个投标报价后的算术平均值［</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为最高投</w:t>
      </w:r>
      <w:r>
        <w:rPr>
          <w:rFonts w:ascii="宋体" w:hAnsi="宋体" w:eastAsia="宋体" w:cs="宋体"/>
          <w:strike/>
          <w:dstrike w:val="0"/>
          <w:color w:val="auto"/>
          <w:sz w:val="24"/>
          <w:szCs w:val="24"/>
          <w:highlight w:val="none"/>
        </w:rPr>
        <w:t xml:space="preserve">标限价以 </w:t>
      </w:r>
      <w:r>
        <w:rPr>
          <w:rFonts w:ascii="宋体" w:hAnsi="宋体" w:eastAsia="宋体" w:cs="宋体"/>
          <w:strike/>
          <w:dstrike w:val="0"/>
          <w:color w:val="auto"/>
          <w:spacing w:val="-11"/>
          <w:sz w:val="24"/>
          <w:szCs w:val="24"/>
          <w:highlight w:val="none"/>
        </w:rPr>
        <w:t>下投标人个数的</w:t>
      </w:r>
      <w:r>
        <w:rPr>
          <w:rFonts w:ascii="宋体" w:hAnsi="宋体" w:eastAsia="宋体" w:cs="宋体"/>
          <w:i/>
          <w:iCs/>
          <w:strike/>
          <w:dstrike w:val="0"/>
          <w:color w:val="auto"/>
          <w:spacing w:val="-11"/>
          <w:sz w:val="25"/>
          <w:szCs w:val="25"/>
          <w:highlight w:val="none"/>
          <w:u w:val="single" w:color="auto"/>
        </w:rPr>
        <w:t>（</w:t>
      </w:r>
      <w:r>
        <w:rPr>
          <w:rFonts w:ascii="Times New Roman" w:hAnsi="Times New Roman" w:eastAsia="Times New Roman" w:cs="Times New Roman"/>
          <w:i/>
          <w:iCs/>
          <w:strike/>
          <w:dstrike w:val="0"/>
          <w:color w:val="auto"/>
          <w:spacing w:val="-11"/>
          <w:sz w:val="24"/>
          <w:szCs w:val="24"/>
          <w:highlight w:val="none"/>
          <w:u w:val="single" w:color="auto"/>
        </w:rPr>
        <w:t>5%</w:t>
      </w:r>
      <w:r>
        <w:rPr>
          <w:rFonts w:ascii="宋体" w:hAnsi="宋体" w:eastAsia="宋体" w:cs="宋体"/>
          <w:i/>
          <w:iCs/>
          <w:strike/>
          <w:dstrike w:val="0"/>
          <w:color w:val="auto"/>
          <w:spacing w:val="-11"/>
          <w:sz w:val="25"/>
          <w:szCs w:val="25"/>
          <w:highlight w:val="none"/>
          <w:u w:val="single" w:color="auto"/>
        </w:rPr>
        <w:t>～</w:t>
      </w:r>
      <w:r>
        <w:rPr>
          <w:rFonts w:ascii="Times New Roman" w:hAnsi="Times New Roman" w:eastAsia="Times New Roman" w:cs="Times New Roman"/>
          <w:i/>
          <w:iCs/>
          <w:strike/>
          <w:dstrike w:val="0"/>
          <w:color w:val="auto"/>
          <w:spacing w:val="-11"/>
          <w:sz w:val="24"/>
          <w:szCs w:val="24"/>
          <w:highlight w:val="none"/>
          <w:u w:val="single" w:color="auto"/>
        </w:rPr>
        <w:t>10%</w:t>
      </w:r>
      <w:r>
        <w:rPr>
          <w:rFonts w:ascii="Times New Roman" w:hAnsi="Times New Roman" w:eastAsia="Times New Roman" w:cs="Times New Roman"/>
          <w:i/>
          <w:iCs/>
          <w:strike/>
          <w:dstrike w:val="0"/>
          <w:color w:val="auto"/>
          <w:spacing w:val="-24"/>
          <w:sz w:val="24"/>
          <w:szCs w:val="24"/>
          <w:highlight w:val="none"/>
          <w:u w:val="single" w:color="auto"/>
        </w:rPr>
        <w:t xml:space="preserve"> </w:t>
      </w:r>
      <w:r>
        <w:rPr>
          <w:rFonts w:ascii="宋体" w:hAnsi="宋体" w:eastAsia="宋体" w:cs="宋体"/>
          <w:i/>
          <w:iCs/>
          <w:strike/>
          <w:dstrike w:val="0"/>
          <w:color w:val="auto"/>
          <w:spacing w:val="-11"/>
          <w:sz w:val="25"/>
          <w:szCs w:val="25"/>
          <w:highlight w:val="none"/>
          <w:u w:val="single" w:color="auto"/>
        </w:rPr>
        <w:t>，由招标人自主确定</w:t>
      </w:r>
      <w:r>
        <w:rPr>
          <w:rFonts w:ascii="宋体" w:hAnsi="宋体" w:eastAsia="宋体" w:cs="宋体"/>
          <w:i/>
          <w:iCs/>
          <w:strike/>
          <w:dstrike w:val="0"/>
          <w:color w:val="auto"/>
          <w:spacing w:val="-43"/>
          <w:sz w:val="25"/>
          <w:szCs w:val="25"/>
          <w:highlight w:val="none"/>
          <w:u w:val="single" w:color="auto"/>
        </w:rPr>
        <w:t>）</w:t>
      </w:r>
      <w:r>
        <w:rPr>
          <w:rFonts w:ascii="宋体" w:hAnsi="宋体" w:eastAsia="宋体" w:cs="宋体"/>
          <w:strike/>
          <w:dstrike w:val="0"/>
          <w:color w:val="auto"/>
          <w:spacing w:val="-43"/>
          <w:sz w:val="24"/>
          <w:szCs w:val="24"/>
          <w:highlight w:val="none"/>
        </w:rPr>
        <w:t>，</w:t>
      </w:r>
      <w:r>
        <w:rPr>
          <w:rFonts w:ascii="宋体" w:hAnsi="宋体" w:eastAsia="宋体" w:cs="宋体"/>
          <w:strike/>
          <w:dstrike w:val="0"/>
          <w:color w:val="auto"/>
          <w:spacing w:val="-11"/>
          <w:sz w:val="24"/>
          <w:szCs w:val="24"/>
          <w:highlight w:val="none"/>
        </w:rPr>
        <w:t>并取整数，小数点后四舍五入］。</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 xml:space="preserve">若投标报价在最高投标限价以下投标人少于 </w:t>
      </w:r>
      <w:r>
        <w:rPr>
          <w:rFonts w:ascii="Times New Roman" w:hAnsi="Times New Roman" w:eastAsia="Times New Roman" w:cs="Times New Roman"/>
          <w:strike/>
          <w:dstrike w:val="0"/>
          <w:color w:val="auto"/>
          <w:spacing w:val="-2"/>
          <w:sz w:val="24"/>
          <w:szCs w:val="24"/>
          <w:highlight w:val="none"/>
        </w:rPr>
        <w:t xml:space="preserve">50  </w:t>
      </w:r>
      <w:r>
        <w:rPr>
          <w:rFonts w:ascii="宋体" w:hAnsi="宋体" w:eastAsia="宋体" w:cs="宋体"/>
          <w:strike/>
          <w:dstrike w:val="0"/>
          <w:color w:val="auto"/>
          <w:spacing w:val="-2"/>
          <w:sz w:val="24"/>
          <w:szCs w:val="24"/>
          <w:highlight w:val="none"/>
        </w:rPr>
        <w:t>家时，不计算入评基准价。</w:t>
      </w:r>
    </w:p>
    <w:p w14:paraId="4894DFBD">
      <w:pPr>
        <w:spacing w:line="359" w:lineRule="auto"/>
        <w:ind w:left="4" w:right="62" w:firstLine="53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入评基准价由评标委员会依据上述方法计算，除计算差错外，确认后的入评基准</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4"/>
          <w:sz w:val="24"/>
          <w:szCs w:val="24"/>
          <w:highlight w:val="none"/>
        </w:rPr>
        <w:t>价在招标期间保持不变。</w:t>
      </w:r>
    </w:p>
    <w:p w14:paraId="57CC0C2E">
      <w:pPr>
        <w:spacing w:line="359" w:lineRule="auto"/>
        <w:ind w:left="23" w:right="78" w:firstLine="52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计算差错，仅限于以下两种情况</w:t>
      </w:r>
      <w:r>
        <w:rPr>
          <w:rFonts w:ascii="宋体" w:hAnsi="宋体" w:eastAsia="宋体" w:cs="宋体"/>
          <w:strike/>
          <w:dstrike w:val="0"/>
          <w:color w:val="auto"/>
          <w:spacing w:val="-37"/>
          <w:sz w:val="24"/>
          <w:szCs w:val="24"/>
          <w:highlight w:val="none"/>
        </w:rPr>
        <w:t>：（</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）纯算术性四则运算差错</w:t>
      </w:r>
      <w:r>
        <w:rPr>
          <w:rFonts w:ascii="宋体" w:hAnsi="宋体" w:eastAsia="宋体" w:cs="宋体"/>
          <w:strike/>
          <w:dstrike w:val="0"/>
          <w:color w:val="auto"/>
          <w:spacing w:val="-37"/>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）未按约定</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4"/>
          <w:sz w:val="24"/>
          <w:szCs w:val="24"/>
          <w:highlight w:val="none"/>
        </w:rPr>
        <w:t>的计算方法，多计或者少计投标人报价的。</w:t>
      </w:r>
    </w:p>
    <w:p w14:paraId="0E220B9F">
      <w:pPr>
        <w:spacing w:before="1" w:line="219" w:lineRule="auto"/>
        <w:ind w:left="54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4.2.2  </w:t>
      </w:r>
      <w:r>
        <w:rPr>
          <w:rFonts w:ascii="宋体" w:hAnsi="宋体" w:eastAsia="宋体" w:cs="宋体"/>
          <w:strike/>
          <w:dstrike w:val="0"/>
          <w:color w:val="auto"/>
          <w:spacing w:val="-1"/>
          <w:sz w:val="24"/>
          <w:szCs w:val="24"/>
          <w:highlight w:val="none"/>
        </w:rPr>
        <w:t>入评得分计算</w:t>
      </w:r>
    </w:p>
    <w:p w14:paraId="24EA02FD">
      <w:pPr>
        <w:spacing w:before="181" w:line="359" w:lineRule="auto"/>
        <w:ind w:left="5" w:right="62" w:firstLine="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以入评基准价为基础，将各投标人的投标报价与</w:t>
      </w:r>
      <w:r>
        <w:rPr>
          <w:rFonts w:ascii="宋体" w:hAnsi="宋体" w:eastAsia="宋体" w:cs="宋体"/>
          <w:strike/>
          <w:dstrike w:val="0"/>
          <w:color w:val="auto"/>
          <w:spacing w:val="-6"/>
          <w:sz w:val="24"/>
          <w:szCs w:val="24"/>
          <w:highlight w:val="none"/>
        </w:rPr>
        <w:t>入评基准价比较，计算出偏离基</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准价的百分数后，再进行计分。即：</w:t>
      </w:r>
    </w:p>
    <w:p w14:paraId="0B6AB7A8">
      <w:pPr>
        <w:spacing w:before="1" w:line="218" w:lineRule="auto"/>
        <w:ind w:left="47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2"/>
          <w:sz w:val="24"/>
          <w:szCs w:val="24"/>
          <w:highlight w:val="none"/>
        </w:rPr>
        <w:t xml:space="preserve">a.  </w:t>
      </w:r>
      <w:r>
        <w:rPr>
          <w:rFonts w:ascii="宋体" w:hAnsi="宋体" w:eastAsia="宋体" w:cs="宋体"/>
          <w:strike/>
          <w:dstrike w:val="0"/>
          <w:color w:val="auto"/>
          <w:spacing w:val="-2"/>
          <w:sz w:val="24"/>
          <w:szCs w:val="24"/>
          <w:highlight w:val="none"/>
        </w:rPr>
        <w:t>投标报价等于入评基准价时，得满分（</w:t>
      </w:r>
      <w:r>
        <w:rPr>
          <w:rFonts w:ascii="Times New Roman" w:hAnsi="Times New Roman" w:eastAsia="Times New Roman" w:cs="Times New Roman"/>
          <w:strike/>
          <w:dstrike w:val="0"/>
          <w:color w:val="auto"/>
          <w:spacing w:val="-2"/>
          <w:sz w:val="24"/>
          <w:szCs w:val="24"/>
          <w:highlight w:val="none"/>
          <w:u w:val="single" w:color="auto"/>
        </w:rPr>
        <w:t xml:space="preserve">  100</w:t>
      </w:r>
      <w:r>
        <w:rPr>
          <w:rFonts w:ascii="Times New Roman" w:hAnsi="Times New Roman" w:eastAsia="Times New Roman" w:cs="Times New Roman"/>
          <w:strike/>
          <w:dstrike w:val="0"/>
          <w:color w:val="auto"/>
          <w:spacing w:val="14"/>
          <w:sz w:val="24"/>
          <w:szCs w:val="24"/>
          <w:highlight w:val="none"/>
          <w:u w:val="single" w:color="auto"/>
        </w:rPr>
        <w:t xml:space="preserve">  </w:t>
      </w:r>
      <w:r>
        <w:rPr>
          <w:rFonts w:ascii="宋体" w:hAnsi="宋体" w:eastAsia="宋体" w:cs="宋体"/>
          <w:strike/>
          <w:dstrike w:val="0"/>
          <w:color w:val="auto"/>
          <w:spacing w:val="-2"/>
          <w:sz w:val="24"/>
          <w:szCs w:val="24"/>
          <w:highlight w:val="none"/>
        </w:rPr>
        <w:t>分）。</w:t>
      </w:r>
    </w:p>
    <w:p w14:paraId="71D0BBD2">
      <w:pPr>
        <w:spacing w:before="183" w:line="218" w:lineRule="auto"/>
        <w:ind w:left="46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b.  </w:t>
      </w:r>
      <w:r>
        <w:rPr>
          <w:rFonts w:ascii="宋体" w:hAnsi="宋体" w:eastAsia="宋体" w:cs="宋体"/>
          <w:strike/>
          <w:dstrike w:val="0"/>
          <w:color w:val="auto"/>
          <w:spacing w:val="-1"/>
          <w:sz w:val="24"/>
          <w:szCs w:val="24"/>
          <w:highlight w:val="none"/>
        </w:rPr>
        <w:t>投标报价每低于入评基准价</w:t>
      </w:r>
      <w:r>
        <w:rPr>
          <w:rFonts w:ascii="宋体" w:hAnsi="宋体" w:eastAsia="宋体" w:cs="宋体"/>
          <w:strike/>
          <w:dstrike w:val="0"/>
          <w:color w:val="auto"/>
          <w:spacing w:val="-32"/>
          <w:sz w:val="24"/>
          <w:szCs w:val="24"/>
          <w:highlight w:val="none"/>
        </w:rPr>
        <w:t xml:space="preserve"> </w:t>
      </w:r>
      <w:r>
        <w:rPr>
          <w:rFonts w:ascii="Times New Roman" w:hAnsi="Times New Roman" w:eastAsia="Times New Roman" w:cs="Times New Roman"/>
          <w:strike/>
          <w:dstrike w:val="0"/>
          <w:color w:val="auto"/>
          <w:spacing w:val="-1"/>
          <w:sz w:val="24"/>
          <w:szCs w:val="24"/>
          <w:highlight w:val="none"/>
        </w:rPr>
        <w:t xml:space="preserve">1 </w:t>
      </w:r>
      <w:r>
        <w:rPr>
          <w:rFonts w:ascii="宋体" w:hAnsi="宋体" w:eastAsia="宋体" w:cs="宋体"/>
          <w:strike/>
          <w:dstrike w:val="0"/>
          <w:color w:val="auto"/>
          <w:spacing w:val="-1"/>
          <w:sz w:val="24"/>
          <w:szCs w:val="24"/>
          <w:highlight w:val="none"/>
        </w:rPr>
        <w:t>个百分</w:t>
      </w:r>
      <w:r>
        <w:rPr>
          <w:rFonts w:ascii="宋体" w:hAnsi="宋体" w:eastAsia="宋体" w:cs="宋体"/>
          <w:strike/>
          <w:dstrike w:val="0"/>
          <w:color w:val="auto"/>
          <w:spacing w:val="-2"/>
          <w:sz w:val="24"/>
          <w:szCs w:val="24"/>
          <w:highlight w:val="none"/>
        </w:rPr>
        <w:t>点，扣</w:t>
      </w:r>
      <w:r>
        <w:rPr>
          <w:rFonts w:ascii="Times New Roman" w:hAnsi="Times New Roman" w:eastAsia="Times New Roman" w:cs="Times New Roman"/>
          <w:strike/>
          <w:dstrike w:val="0"/>
          <w:color w:val="auto"/>
          <w:spacing w:val="-2"/>
          <w:sz w:val="24"/>
          <w:szCs w:val="24"/>
          <w:highlight w:val="none"/>
          <w:u w:val="single" w:color="auto"/>
        </w:rPr>
        <w:t xml:space="preserve">  2  </w:t>
      </w:r>
      <w:r>
        <w:rPr>
          <w:rFonts w:ascii="宋体" w:hAnsi="宋体" w:eastAsia="宋体" w:cs="宋体"/>
          <w:strike/>
          <w:dstrike w:val="0"/>
          <w:color w:val="auto"/>
          <w:spacing w:val="-2"/>
          <w:sz w:val="24"/>
          <w:szCs w:val="24"/>
          <w:highlight w:val="none"/>
        </w:rPr>
        <w:t>分。</w:t>
      </w:r>
    </w:p>
    <w:p w14:paraId="34865581">
      <w:pPr>
        <w:spacing w:before="183" w:line="218" w:lineRule="auto"/>
        <w:ind w:left="47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2"/>
          <w:sz w:val="24"/>
          <w:szCs w:val="24"/>
          <w:highlight w:val="none"/>
        </w:rPr>
        <w:t xml:space="preserve">c.  </w:t>
      </w:r>
      <w:r>
        <w:rPr>
          <w:rFonts w:ascii="宋体" w:hAnsi="宋体" w:eastAsia="宋体" w:cs="宋体"/>
          <w:strike/>
          <w:dstrike w:val="0"/>
          <w:color w:val="auto"/>
          <w:spacing w:val="-2"/>
          <w:sz w:val="24"/>
          <w:szCs w:val="24"/>
          <w:highlight w:val="none"/>
        </w:rPr>
        <w:t>投标报价每高于入评基准价</w:t>
      </w:r>
      <w:r>
        <w:rPr>
          <w:rFonts w:ascii="宋体" w:hAnsi="宋体" w:eastAsia="宋体" w:cs="宋体"/>
          <w:strike/>
          <w:dstrike w:val="0"/>
          <w:color w:val="auto"/>
          <w:spacing w:val="-19"/>
          <w:sz w:val="24"/>
          <w:szCs w:val="24"/>
          <w:highlight w:val="none"/>
        </w:rPr>
        <w:t xml:space="preserve"> </w:t>
      </w:r>
      <w:r>
        <w:rPr>
          <w:rFonts w:ascii="Times New Roman" w:hAnsi="Times New Roman" w:eastAsia="Times New Roman" w:cs="Times New Roman"/>
          <w:strike/>
          <w:dstrike w:val="0"/>
          <w:color w:val="auto"/>
          <w:spacing w:val="-2"/>
          <w:sz w:val="24"/>
          <w:szCs w:val="24"/>
          <w:highlight w:val="none"/>
        </w:rPr>
        <w:t xml:space="preserve">1 </w:t>
      </w:r>
      <w:r>
        <w:rPr>
          <w:rFonts w:ascii="宋体" w:hAnsi="宋体" w:eastAsia="宋体" w:cs="宋体"/>
          <w:strike/>
          <w:dstrike w:val="0"/>
          <w:color w:val="auto"/>
          <w:spacing w:val="-2"/>
          <w:sz w:val="24"/>
          <w:szCs w:val="24"/>
          <w:highlight w:val="none"/>
        </w:rPr>
        <w:t>个百分点，扣</w:t>
      </w:r>
      <w:r>
        <w:rPr>
          <w:rFonts w:ascii="Times New Roman" w:hAnsi="Times New Roman" w:eastAsia="Times New Roman" w:cs="Times New Roman"/>
          <w:strike/>
          <w:dstrike w:val="0"/>
          <w:color w:val="auto"/>
          <w:spacing w:val="-2"/>
          <w:sz w:val="24"/>
          <w:szCs w:val="24"/>
          <w:highlight w:val="none"/>
          <w:u w:val="single" w:color="auto"/>
        </w:rPr>
        <w:t xml:space="preserve">  4  </w:t>
      </w:r>
      <w:r>
        <w:rPr>
          <w:rFonts w:ascii="宋体" w:hAnsi="宋体" w:eastAsia="宋体" w:cs="宋体"/>
          <w:strike/>
          <w:dstrike w:val="0"/>
          <w:color w:val="auto"/>
          <w:spacing w:val="-2"/>
          <w:sz w:val="24"/>
          <w:szCs w:val="24"/>
          <w:highlight w:val="none"/>
        </w:rPr>
        <w:t>分。</w:t>
      </w:r>
    </w:p>
    <w:p w14:paraId="7E9E4046">
      <w:pPr>
        <w:spacing w:before="184" w:line="359" w:lineRule="auto"/>
        <w:ind w:left="25" w:right="62" w:firstLine="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以上评分计算过程保留小数</w:t>
      </w:r>
      <w:r>
        <w:rPr>
          <w:rFonts w:ascii="Times New Roman" w:hAnsi="Times New Roman" w:eastAsia="Times New Roman" w:cs="Times New Roman"/>
          <w:strike/>
          <w:dstrike w:val="0"/>
          <w:color w:val="auto"/>
          <w:spacing w:val="-5"/>
          <w:sz w:val="24"/>
          <w:szCs w:val="24"/>
          <w:highlight w:val="none"/>
        </w:rPr>
        <w:t>3</w:t>
      </w:r>
      <w:r>
        <w:rPr>
          <w:rFonts w:ascii="宋体" w:hAnsi="宋体" w:eastAsia="宋体" w:cs="宋体"/>
          <w:strike/>
          <w:dstrike w:val="0"/>
          <w:color w:val="auto"/>
          <w:spacing w:val="-5"/>
          <w:sz w:val="24"/>
          <w:szCs w:val="24"/>
          <w:highlight w:val="none"/>
        </w:rPr>
        <w:t>位，第</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位四舍五入，最终结果保留小数</w:t>
      </w:r>
      <w:r>
        <w:rPr>
          <w:rFonts w:ascii="Times New Roman" w:hAnsi="Times New Roman" w:eastAsia="Times New Roman" w:cs="Times New Roman"/>
          <w:strike/>
          <w:dstrike w:val="0"/>
          <w:color w:val="auto"/>
          <w:spacing w:val="-5"/>
          <w:sz w:val="24"/>
          <w:szCs w:val="24"/>
          <w:highlight w:val="none"/>
        </w:rPr>
        <w:t>2</w:t>
      </w:r>
      <w:r>
        <w:rPr>
          <w:rFonts w:ascii="宋体" w:hAnsi="宋体" w:eastAsia="宋体" w:cs="宋体"/>
          <w:strike/>
          <w:dstrike w:val="0"/>
          <w:color w:val="auto"/>
          <w:spacing w:val="-5"/>
          <w:sz w:val="24"/>
          <w:szCs w:val="24"/>
          <w:highlight w:val="none"/>
        </w:rPr>
        <w:t>位</w:t>
      </w:r>
      <w:r>
        <w:rPr>
          <w:rFonts w:ascii="宋体" w:hAnsi="宋体" w:eastAsia="宋体" w:cs="宋体"/>
          <w:strike/>
          <w:dstrike w:val="0"/>
          <w:color w:val="auto"/>
          <w:spacing w:val="-6"/>
          <w:sz w:val="24"/>
          <w:szCs w:val="24"/>
          <w:highlight w:val="none"/>
        </w:rPr>
        <w:t>，第</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四舍五入，评分不足一个百分点时，使用直线插入法计算。</w:t>
      </w:r>
    </w:p>
    <w:p w14:paraId="6292EBA0">
      <w:pPr>
        <w:spacing w:line="220" w:lineRule="auto"/>
        <w:ind w:left="54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4.2.3  </w:t>
      </w:r>
      <w:r>
        <w:rPr>
          <w:rFonts w:ascii="宋体" w:hAnsi="宋体" w:eastAsia="宋体" w:cs="宋体"/>
          <w:strike/>
          <w:dstrike w:val="0"/>
          <w:color w:val="auto"/>
          <w:spacing w:val="-1"/>
          <w:sz w:val="24"/>
          <w:szCs w:val="24"/>
          <w:highlight w:val="none"/>
        </w:rPr>
        <w:t>入评投标人选择</w:t>
      </w:r>
    </w:p>
    <w:p w14:paraId="3EFDF03A">
      <w:pPr>
        <w:spacing w:before="182" w:line="360" w:lineRule="auto"/>
        <w:ind w:left="3" w:right="62" w:firstLine="54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 xml:space="preserve">投标报价在最高投标限价以下的投标人在 </w:t>
      </w:r>
      <w:r>
        <w:rPr>
          <w:rFonts w:ascii="Times New Roman" w:hAnsi="Times New Roman" w:eastAsia="Times New Roman" w:cs="Times New Roman"/>
          <w:strike/>
          <w:dstrike w:val="0"/>
          <w:color w:val="auto"/>
          <w:spacing w:val="2"/>
          <w:sz w:val="24"/>
          <w:szCs w:val="24"/>
          <w:highlight w:val="none"/>
        </w:rPr>
        <w:t xml:space="preserve">50  </w:t>
      </w:r>
      <w:r>
        <w:rPr>
          <w:rFonts w:ascii="宋体" w:hAnsi="宋体" w:eastAsia="宋体" w:cs="宋体"/>
          <w:strike/>
          <w:dstrike w:val="0"/>
          <w:color w:val="auto"/>
          <w:spacing w:val="2"/>
          <w:sz w:val="24"/>
          <w:szCs w:val="24"/>
          <w:highlight w:val="none"/>
        </w:rPr>
        <w:t>家及以上时，评标委员会按投标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人的入评得分由高到低的顺序（入评得分相同时，按投标报价由低到高的顺序）取</w:t>
      </w:r>
      <w:r>
        <w:rPr>
          <w:rFonts w:ascii="Times New Roman" w:hAnsi="Times New Roman" w:eastAsia="Times New Roman" w:cs="Times New Roman"/>
          <w:strike/>
          <w:dstrike w:val="0"/>
          <w:color w:val="auto"/>
          <w:spacing w:val="-3"/>
          <w:sz w:val="24"/>
          <w:szCs w:val="24"/>
          <w:highlight w:val="none"/>
        </w:rPr>
        <w:t>10</w:t>
      </w:r>
      <w:r>
        <w:rPr>
          <w:rFonts w:ascii="Times New Roman" w:hAnsi="Times New Roman" w:eastAsia="Times New Roman" w:cs="Times New Roman"/>
          <w:strike/>
          <w:dstrike w:val="0"/>
          <w:color w:val="auto"/>
          <w:spacing w:val="10"/>
          <w:sz w:val="24"/>
          <w:szCs w:val="24"/>
          <w:highlight w:val="none"/>
        </w:rPr>
        <w:t xml:space="preserve"> </w:t>
      </w:r>
      <w:r>
        <w:rPr>
          <w:rFonts w:ascii="宋体" w:hAnsi="宋体" w:eastAsia="宋体" w:cs="宋体"/>
          <w:strike/>
          <w:dstrike w:val="0"/>
          <w:color w:val="auto"/>
          <w:spacing w:val="-5"/>
          <w:sz w:val="24"/>
          <w:szCs w:val="24"/>
          <w:highlight w:val="none"/>
        </w:rPr>
        <w:t>名投标人作为入评投标人进入后续评审。在后续评审过程中出现否决投标情况的，</w:t>
      </w:r>
      <w:r>
        <w:rPr>
          <w:rFonts w:ascii="宋体" w:hAnsi="宋体" w:eastAsia="宋体" w:cs="宋体"/>
          <w:strike/>
          <w:dstrike w:val="0"/>
          <w:color w:val="auto"/>
          <w:spacing w:val="-37"/>
          <w:sz w:val="24"/>
          <w:szCs w:val="24"/>
          <w:highlight w:val="none"/>
        </w:rPr>
        <w:t xml:space="preserve"> </w:t>
      </w:r>
      <w:r>
        <w:rPr>
          <w:rFonts w:ascii="宋体" w:hAnsi="宋体" w:eastAsia="宋体" w:cs="宋体"/>
          <w:strike/>
          <w:dstrike w:val="0"/>
          <w:color w:val="auto"/>
          <w:spacing w:val="-5"/>
          <w:sz w:val="24"/>
          <w:szCs w:val="24"/>
          <w:highlight w:val="none"/>
        </w:rPr>
        <w:t>其</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他投标人按入评得分由高到低的顺序依次递补满</w:t>
      </w:r>
      <w:r>
        <w:rPr>
          <w:rFonts w:ascii="Times New Roman" w:hAnsi="Times New Roman" w:eastAsia="Times New Roman" w:cs="Times New Roman"/>
          <w:strike/>
          <w:dstrike w:val="0"/>
          <w:color w:val="auto"/>
          <w:spacing w:val="4"/>
          <w:sz w:val="24"/>
          <w:szCs w:val="24"/>
          <w:highlight w:val="none"/>
        </w:rPr>
        <w:t>10</w:t>
      </w:r>
      <w:r>
        <w:rPr>
          <w:rFonts w:ascii="宋体" w:hAnsi="宋体" w:eastAsia="宋体" w:cs="宋体"/>
          <w:strike/>
          <w:dstrike w:val="0"/>
          <w:color w:val="auto"/>
          <w:spacing w:val="4"/>
          <w:sz w:val="24"/>
          <w:szCs w:val="24"/>
          <w:highlight w:val="none"/>
        </w:rPr>
        <w:t>家</w:t>
      </w:r>
      <w:r>
        <w:rPr>
          <w:rFonts w:ascii="宋体" w:hAnsi="宋体" w:eastAsia="宋体" w:cs="宋体"/>
          <w:strike/>
          <w:dstrike w:val="0"/>
          <w:color w:val="auto"/>
          <w:spacing w:val="3"/>
          <w:sz w:val="24"/>
          <w:szCs w:val="24"/>
          <w:highlight w:val="none"/>
        </w:rPr>
        <w:t>（少于</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家时全部进入评审范</w:t>
      </w:r>
    </w:p>
    <w:p w14:paraId="0B81C73D">
      <w:pPr>
        <w:spacing w:line="360" w:lineRule="auto"/>
        <w:rPr>
          <w:rFonts w:ascii="宋体" w:hAnsi="宋体" w:eastAsia="宋体" w:cs="宋体"/>
          <w:strike/>
          <w:dstrike w:val="0"/>
          <w:color w:val="auto"/>
          <w:sz w:val="24"/>
          <w:szCs w:val="24"/>
          <w:highlight w:val="none"/>
        </w:rPr>
        <w:sectPr>
          <w:footerReference r:id="rId39" w:type="default"/>
          <w:pgSz w:w="11905" w:h="16840"/>
          <w:pgMar w:top="1427" w:right="1465" w:bottom="1255" w:left="1593" w:header="0" w:footer="1093" w:gutter="0"/>
          <w:pgNumType w:fmt="decimal"/>
          <w:cols w:space="720" w:num="1"/>
        </w:sectPr>
      </w:pPr>
    </w:p>
    <w:p w14:paraId="1CBEC025">
      <w:pPr>
        <w:spacing w:before="48" w:line="359" w:lineRule="auto"/>
        <w:ind w:left="10" w:firstLine="1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围）。第</w:t>
      </w:r>
      <w:r>
        <w:rPr>
          <w:rFonts w:ascii="Times New Roman" w:hAnsi="Times New Roman" w:eastAsia="Times New Roman" w:cs="Times New Roman"/>
          <w:strike/>
          <w:dstrike w:val="0"/>
          <w:color w:val="auto"/>
          <w:spacing w:val="-3"/>
          <w:sz w:val="24"/>
          <w:szCs w:val="24"/>
          <w:highlight w:val="none"/>
        </w:rPr>
        <w:t>10</w:t>
      </w:r>
      <w:r>
        <w:rPr>
          <w:rFonts w:ascii="宋体" w:hAnsi="宋体" w:eastAsia="宋体" w:cs="宋体"/>
          <w:strike/>
          <w:dstrike w:val="0"/>
          <w:color w:val="auto"/>
          <w:spacing w:val="-3"/>
          <w:sz w:val="24"/>
          <w:szCs w:val="24"/>
          <w:highlight w:val="none"/>
        </w:rPr>
        <w:t>家有多个报价相同时，全部进入评审范围。若投标</w:t>
      </w:r>
      <w:r>
        <w:rPr>
          <w:rFonts w:ascii="宋体" w:hAnsi="宋体" w:eastAsia="宋体" w:cs="宋体"/>
          <w:strike/>
          <w:dstrike w:val="0"/>
          <w:color w:val="auto"/>
          <w:spacing w:val="-4"/>
          <w:sz w:val="24"/>
          <w:szCs w:val="24"/>
          <w:highlight w:val="none"/>
        </w:rPr>
        <w:t>报价在最高投标限价以</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 xml:space="preserve">下的投标人少于 </w:t>
      </w:r>
      <w:r>
        <w:rPr>
          <w:rFonts w:ascii="Times New Roman" w:hAnsi="Times New Roman" w:eastAsia="Times New Roman" w:cs="Times New Roman"/>
          <w:strike/>
          <w:dstrike w:val="0"/>
          <w:color w:val="auto"/>
          <w:spacing w:val="-2"/>
          <w:sz w:val="24"/>
          <w:szCs w:val="24"/>
          <w:highlight w:val="none"/>
        </w:rPr>
        <w:t xml:space="preserve">50  </w:t>
      </w:r>
      <w:r>
        <w:rPr>
          <w:rFonts w:ascii="宋体" w:hAnsi="宋体" w:eastAsia="宋体" w:cs="宋体"/>
          <w:strike/>
          <w:dstrike w:val="0"/>
          <w:color w:val="auto"/>
          <w:spacing w:val="-2"/>
          <w:sz w:val="24"/>
          <w:szCs w:val="24"/>
          <w:highlight w:val="none"/>
        </w:rPr>
        <w:t>家时，所有投标人均作为入评投标人进入</w:t>
      </w:r>
      <w:r>
        <w:rPr>
          <w:rFonts w:ascii="宋体" w:hAnsi="宋体" w:eastAsia="宋体" w:cs="宋体"/>
          <w:strike/>
          <w:dstrike w:val="0"/>
          <w:color w:val="auto"/>
          <w:spacing w:val="-3"/>
          <w:sz w:val="24"/>
          <w:szCs w:val="24"/>
          <w:highlight w:val="none"/>
        </w:rPr>
        <w:t>评审范围。</w:t>
      </w:r>
    </w:p>
    <w:p w14:paraId="0A105AB1">
      <w:pPr>
        <w:spacing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  </w:t>
      </w:r>
      <w:r>
        <w:rPr>
          <w:rFonts w:ascii="楷体" w:hAnsi="楷体" w:eastAsia="楷体" w:cs="楷体"/>
          <w:b/>
          <w:bCs/>
          <w:strike/>
          <w:dstrike w:val="0"/>
          <w:color w:val="auto"/>
          <w:spacing w:val="-2"/>
          <w:sz w:val="24"/>
          <w:szCs w:val="24"/>
          <w:highlight w:val="none"/>
        </w:rPr>
        <w:t>投标文件的符合性审查</w:t>
      </w:r>
    </w:p>
    <w:p w14:paraId="5F10D3B8">
      <w:pPr>
        <w:spacing w:before="177" w:line="324" w:lineRule="auto"/>
        <w:ind w:left="4" w:firstLine="47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4.3.1  </w:t>
      </w:r>
      <w:r>
        <w:rPr>
          <w:rFonts w:ascii="宋体" w:hAnsi="宋体" w:eastAsia="宋体" w:cs="宋体"/>
          <w:strike/>
          <w:dstrike w:val="0"/>
          <w:color w:val="auto"/>
          <w:sz w:val="24"/>
          <w:szCs w:val="24"/>
          <w:highlight w:val="none"/>
        </w:rPr>
        <w:t>评标委员会应依照招标文件的要求和规定，首先对入评投标人的投标资格</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6"/>
          <w:sz w:val="24"/>
          <w:szCs w:val="24"/>
          <w:highlight w:val="none"/>
        </w:rPr>
        <w:t>和投标文件进行符合性审查。符合性审查应包括三个方面内容： 投标人资格审查、投</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3"/>
          <w:sz w:val="24"/>
          <w:szCs w:val="24"/>
          <w:highlight w:val="none"/>
        </w:rPr>
        <w:t>标文件实质性格式要求响应性审查、投标文件实质性内容要求响应性审查。符合性审</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查未通过的投标文件不再进入后续评审。</w:t>
      </w:r>
    </w:p>
    <w:p w14:paraId="5A6B7665">
      <w:pPr>
        <w:spacing w:before="182" w:line="289" w:lineRule="auto"/>
        <w:ind w:left="23" w:right="1" w:firstLine="52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4.3.2  </w:t>
      </w:r>
      <w:r>
        <w:rPr>
          <w:rFonts w:ascii="宋体" w:hAnsi="宋体" w:eastAsia="宋体" w:cs="宋体"/>
          <w:strike/>
          <w:dstrike w:val="0"/>
          <w:color w:val="auto"/>
          <w:spacing w:val="-1"/>
          <w:sz w:val="24"/>
          <w:szCs w:val="24"/>
          <w:highlight w:val="none"/>
        </w:rPr>
        <w:t>投标人不得通过补充、修改或撤销投标文件</w:t>
      </w:r>
      <w:r>
        <w:rPr>
          <w:rFonts w:ascii="宋体" w:hAnsi="宋体" w:eastAsia="宋体" w:cs="宋体"/>
          <w:strike/>
          <w:dstrike w:val="0"/>
          <w:color w:val="auto"/>
          <w:spacing w:val="-2"/>
          <w:sz w:val="24"/>
          <w:szCs w:val="24"/>
          <w:highlight w:val="none"/>
        </w:rPr>
        <w:t>中的内容使其成为实质性响应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0BF1460F">
      <w:pPr>
        <w:spacing w:before="180" w:line="313" w:lineRule="auto"/>
        <w:ind w:left="1" w:firstLine="53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4.3.3  </w:t>
      </w:r>
      <w:r>
        <w:rPr>
          <w:rFonts w:ascii="宋体" w:hAnsi="宋体" w:eastAsia="宋体" w:cs="宋体"/>
          <w:strike/>
          <w:dstrike w:val="0"/>
          <w:color w:val="auto"/>
          <w:spacing w:val="-1"/>
          <w:sz w:val="24"/>
          <w:szCs w:val="24"/>
          <w:highlight w:val="none"/>
        </w:rPr>
        <w:t>投标文件如存在以下情况之一的，由评标委员会全体成员按照少数服从多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数的原则记名投票（不得弃权）认定，作为符合性审查未通过予以否决其投标，不再</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6"/>
          <w:sz w:val="24"/>
          <w:szCs w:val="24"/>
          <w:highlight w:val="none"/>
        </w:rPr>
        <w:t>进行技术和商务的评审：</w:t>
      </w:r>
    </w:p>
    <w:p w14:paraId="2023BC1C">
      <w:pPr>
        <w:spacing w:before="180" w:line="220" w:lineRule="auto"/>
        <w:ind w:left="57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21"/>
          <w:sz w:val="24"/>
          <w:szCs w:val="24"/>
          <w:highlight w:val="none"/>
        </w:rPr>
        <w:t xml:space="preserve"> </w:t>
      </w:r>
      <w:r>
        <w:rPr>
          <w:rFonts w:ascii="宋体" w:hAnsi="宋体" w:eastAsia="宋体" w:cs="宋体"/>
          <w:strike/>
          <w:dstrike w:val="0"/>
          <w:color w:val="auto"/>
          <w:spacing w:val="-7"/>
          <w:sz w:val="24"/>
          <w:szCs w:val="24"/>
          <w:highlight w:val="none"/>
        </w:rPr>
        <w:t>．技术标符合性审查未通过的情形：</w:t>
      </w:r>
    </w:p>
    <w:p w14:paraId="65FF551D">
      <w:pPr>
        <w:spacing w:before="182" w:line="289" w:lineRule="auto"/>
        <w:ind w:left="2" w:right="11"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04C99D2C">
      <w:pPr>
        <w:spacing w:before="182" w:line="289" w:lineRule="auto"/>
        <w:ind w:left="23" w:right="18" w:firstLine="53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）投标人法定代表人授权委托代理人签署投标文件，未提供有</w:t>
      </w:r>
      <w:r>
        <w:rPr>
          <w:rFonts w:ascii="宋体" w:hAnsi="宋体" w:eastAsia="宋体" w:cs="宋体"/>
          <w:strike/>
          <w:dstrike w:val="0"/>
          <w:color w:val="auto"/>
          <w:spacing w:val="-3"/>
          <w:sz w:val="24"/>
          <w:szCs w:val="24"/>
          <w:highlight w:val="none"/>
        </w:rPr>
        <w:t>效授权委托书</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的或投标人法定代表人亲自签署投标文件，未提供法定代表人身份证明的。</w:t>
      </w:r>
    </w:p>
    <w:p w14:paraId="16C121F6">
      <w:pPr>
        <w:spacing w:before="182"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6DCBC100">
      <w:pPr>
        <w:spacing w:before="182" w:line="289" w:lineRule="auto"/>
        <w:ind w:left="22" w:right="14" w:firstLine="53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）投标人的投标资格不满足招标文件载明的强制性要求的（以投标人</w:t>
      </w:r>
      <w:r>
        <w:rPr>
          <w:rFonts w:ascii="宋体" w:hAnsi="宋体" w:eastAsia="宋体" w:cs="宋体"/>
          <w:strike/>
          <w:dstrike w:val="0"/>
          <w:color w:val="auto"/>
          <w:spacing w:val="-3"/>
          <w:sz w:val="24"/>
          <w:szCs w:val="24"/>
          <w:highlight w:val="none"/>
        </w:rPr>
        <w:t>须知前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款实质性响应招标文件资料为准</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或不满足国家有关规定的。</w:t>
      </w:r>
    </w:p>
    <w:p w14:paraId="5D6344FC">
      <w:pPr>
        <w:spacing w:before="182" w:line="289" w:lineRule="auto"/>
        <w:ind w:left="4" w:right="12"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230B80CC">
      <w:pPr>
        <w:spacing w:before="184" w:line="289" w:lineRule="auto"/>
        <w:ind w:left="2" w:right="1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）同一投标人提交两个以上不同的投标文件且未声明哪一个有效的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3D9E742A">
      <w:pPr>
        <w:spacing w:before="181" w:line="290" w:lineRule="auto"/>
        <w:ind w:left="4" w:right="10"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7</w:t>
      </w:r>
      <w:r>
        <w:rPr>
          <w:rFonts w:ascii="宋体" w:hAnsi="宋体" w:eastAsia="宋体" w:cs="宋体"/>
          <w:strike/>
          <w:dstrike w:val="0"/>
          <w:color w:val="auto"/>
          <w:spacing w:val="-2"/>
          <w:sz w:val="24"/>
          <w:szCs w:val="24"/>
          <w:highlight w:val="none"/>
        </w:rPr>
        <w:t>）投标人不以自己的名义或未按招标文件要求提供投标保证金或提供的投标</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保证金有缺陷而不能接受的。</w:t>
      </w:r>
    </w:p>
    <w:p w14:paraId="2C654919">
      <w:pPr>
        <w:spacing w:before="181" w:line="219" w:lineRule="auto"/>
        <w:ind w:right="17"/>
        <w:jc w:val="right"/>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8</w:t>
      </w:r>
      <w:r>
        <w:rPr>
          <w:rFonts w:ascii="宋体" w:hAnsi="宋体" w:eastAsia="宋体" w:cs="宋体"/>
          <w:strike/>
          <w:dstrike w:val="0"/>
          <w:color w:val="auto"/>
          <w:spacing w:val="5"/>
          <w:sz w:val="24"/>
          <w:szCs w:val="24"/>
          <w:highlight w:val="none"/>
        </w:rPr>
        <w:t>）载明的投标工期和质量不满足招标文件要求的（以投标人须</w:t>
      </w:r>
      <w:r>
        <w:rPr>
          <w:rFonts w:ascii="宋体" w:hAnsi="宋体" w:eastAsia="宋体" w:cs="宋体"/>
          <w:strike/>
          <w:dstrike w:val="0"/>
          <w:color w:val="auto"/>
          <w:spacing w:val="4"/>
          <w:sz w:val="24"/>
          <w:szCs w:val="24"/>
          <w:highlight w:val="none"/>
        </w:rPr>
        <w:t>知前附表第</w:t>
      </w:r>
    </w:p>
    <w:p w14:paraId="664B04E5">
      <w:pPr>
        <w:spacing w:before="182" w:line="220" w:lineRule="auto"/>
        <w:ind w:left="2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1.3.2</w:t>
      </w:r>
      <w:r>
        <w:rPr>
          <w:rFonts w:ascii="Times New Roman" w:hAnsi="Times New Roman" w:eastAsia="Times New Roman" w:cs="Times New Roman"/>
          <w:strike/>
          <w:dstrike w:val="0"/>
          <w:color w:val="auto"/>
          <w:spacing w:val="-21"/>
          <w:sz w:val="24"/>
          <w:szCs w:val="24"/>
          <w:highlight w:val="none"/>
        </w:rPr>
        <w:t xml:space="preserve"> </w:t>
      </w: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1.3.3</w:t>
      </w:r>
      <w:r>
        <w:rPr>
          <w:rFonts w:ascii="宋体" w:hAnsi="宋体" w:eastAsia="宋体" w:cs="宋体"/>
          <w:strike/>
          <w:dstrike w:val="0"/>
          <w:color w:val="auto"/>
          <w:spacing w:val="-6"/>
          <w:sz w:val="24"/>
          <w:szCs w:val="24"/>
          <w:highlight w:val="none"/>
        </w:rPr>
        <w:t>项为准）。</w:t>
      </w:r>
    </w:p>
    <w:p w14:paraId="497E12AD">
      <w:pPr>
        <w:spacing w:before="179" w:line="362" w:lineRule="auto"/>
        <w:ind w:left="4" w:right="1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9</w:t>
      </w:r>
      <w:r>
        <w:rPr>
          <w:rFonts w:ascii="宋体" w:hAnsi="宋体" w:eastAsia="宋体" w:cs="宋体"/>
          <w:strike/>
          <w:dstrike w:val="0"/>
          <w:color w:val="auto"/>
          <w:spacing w:val="-2"/>
          <w:sz w:val="24"/>
          <w:szCs w:val="24"/>
          <w:highlight w:val="none"/>
        </w:rPr>
        <w:t>）采用的验收标准或主要技术指标达不到国家强制性标准或招标文件以下条</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1"/>
          <w:sz w:val="24"/>
          <w:szCs w:val="24"/>
          <w:highlight w:val="none"/>
        </w:rPr>
        <w:t>款规定的：</w:t>
      </w:r>
    </w:p>
    <w:p w14:paraId="1C28CE97">
      <w:pPr>
        <w:spacing w:line="362" w:lineRule="auto"/>
        <w:rPr>
          <w:rFonts w:ascii="宋体" w:hAnsi="宋体" w:eastAsia="宋体" w:cs="宋体"/>
          <w:strike/>
          <w:dstrike w:val="0"/>
          <w:color w:val="auto"/>
          <w:sz w:val="24"/>
          <w:szCs w:val="24"/>
          <w:highlight w:val="none"/>
        </w:rPr>
        <w:sectPr>
          <w:footerReference r:id="rId40" w:type="default"/>
          <w:pgSz w:w="11905" w:h="16840"/>
          <w:pgMar w:top="1428" w:right="1527" w:bottom="1255" w:left="1593" w:header="0" w:footer="1093" w:gutter="0"/>
          <w:pgNumType w:fmt="decimal"/>
          <w:cols w:space="720" w:num="1"/>
        </w:sectPr>
      </w:pPr>
    </w:p>
    <w:p w14:paraId="6BA415D9">
      <w:pPr>
        <w:spacing w:before="47" w:line="213" w:lineRule="auto"/>
        <w:ind w:left="592"/>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17"/>
          <w:sz w:val="25"/>
          <w:szCs w:val="25"/>
          <w:highlight w:val="none"/>
        </w:rPr>
        <w:t>……</w:t>
      </w:r>
      <w:r>
        <w:rPr>
          <w:rFonts w:ascii="宋体" w:hAnsi="宋体" w:eastAsia="宋体" w:cs="宋体"/>
          <w:strike/>
          <w:dstrike w:val="0"/>
          <w:color w:val="auto"/>
          <w:spacing w:val="-57"/>
          <w:sz w:val="25"/>
          <w:szCs w:val="25"/>
          <w:highlight w:val="none"/>
        </w:rPr>
        <w:t xml:space="preserve"> </w:t>
      </w:r>
      <w:r>
        <w:rPr>
          <w:rFonts w:ascii="宋体" w:hAnsi="宋体" w:eastAsia="宋体" w:cs="宋体"/>
          <w:i/>
          <w:iCs/>
          <w:strike/>
          <w:dstrike w:val="0"/>
          <w:color w:val="auto"/>
          <w:spacing w:val="-17"/>
          <w:sz w:val="25"/>
          <w:szCs w:val="25"/>
          <w:highlight w:val="none"/>
        </w:rPr>
        <w:t>（由招标人自行扩充，如无，请填“无”）</w:t>
      </w:r>
    </w:p>
    <w:p w14:paraId="4B2CDBCD">
      <w:pPr>
        <w:spacing w:before="178" w:line="290" w:lineRule="auto"/>
        <w:ind w:left="4" w:right="95"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10</w:t>
      </w:r>
      <w:r>
        <w:rPr>
          <w:rFonts w:ascii="宋体" w:hAnsi="宋体" w:eastAsia="宋体" w:cs="宋体"/>
          <w:strike/>
          <w:dstrike w:val="0"/>
          <w:color w:val="auto"/>
          <w:spacing w:val="1"/>
          <w:sz w:val="24"/>
          <w:szCs w:val="24"/>
          <w:highlight w:val="none"/>
        </w:rPr>
        <w:t>）采用的施工工艺、方法或质量安全管理措施不能满足国家强制性标准或</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9"/>
          <w:sz w:val="24"/>
          <w:szCs w:val="24"/>
          <w:highlight w:val="none"/>
        </w:rPr>
        <w:t>要求的。</w:t>
      </w:r>
    </w:p>
    <w:p w14:paraId="625BB331">
      <w:pPr>
        <w:spacing w:before="180" w:line="289" w:lineRule="auto"/>
        <w:ind w:left="5" w:right="84"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11</w:t>
      </w:r>
      <w:r>
        <w:rPr>
          <w:rFonts w:ascii="宋体" w:hAnsi="宋体" w:eastAsia="宋体" w:cs="宋体"/>
          <w:strike/>
          <w:dstrike w:val="0"/>
          <w:color w:val="auto"/>
          <w:spacing w:val="-4"/>
          <w:sz w:val="24"/>
          <w:szCs w:val="24"/>
          <w:highlight w:val="none"/>
        </w:rPr>
        <w:t>）投标人存在投标人须知第“</w:t>
      </w:r>
      <w:r>
        <w:rPr>
          <w:rFonts w:ascii="Times New Roman" w:hAnsi="Times New Roman" w:eastAsia="Times New Roman" w:cs="Times New Roman"/>
          <w:strike/>
          <w:dstrike w:val="0"/>
          <w:color w:val="auto"/>
          <w:spacing w:val="-4"/>
          <w:sz w:val="24"/>
          <w:szCs w:val="24"/>
          <w:highlight w:val="none"/>
        </w:rPr>
        <w:t xml:space="preserve">1.4.3  </w:t>
      </w:r>
      <w:r>
        <w:rPr>
          <w:rFonts w:ascii="宋体" w:hAnsi="宋体" w:eastAsia="宋体" w:cs="宋体"/>
          <w:strike/>
          <w:dstrike w:val="0"/>
          <w:color w:val="auto"/>
          <w:spacing w:val="-4"/>
          <w:sz w:val="24"/>
          <w:szCs w:val="24"/>
          <w:highlight w:val="none"/>
        </w:rPr>
        <w:t>投标人不得存在下列情形之一</w:t>
      </w:r>
      <w:r>
        <w:rPr>
          <w:rFonts w:ascii="Times New Roman" w:hAnsi="Times New Roman" w:eastAsia="Times New Roman" w:cs="Times New Roman"/>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项或</w:t>
      </w:r>
      <w:r>
        <w:rPr>
          <w:rFonts w:ascii="宋体" w:hAnsi="宋体" w:eastAsia="宋体" w:cs="宋体"/>
          <w:strike/>
          <w:dstrike w:val="0"/>
          <w:color w:val="auto"/>
          <w:spacing w:val="-5"/>
          <w:sz w:val="24"/>
          <w:szCs w:val="24"/>
          <w:highlight w:val="none"/>
        </w:rPr>
        <w:t>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w:t>
      </w:r>
      <w:r>
        <w:rPr>
          <w:rFonts w:ascii="宋体" w:hAnsi="宋体" w:eastAsia="宋体" w:cs="宋体"/>
          <w:strike/>
          <w:dstrike w:val="0"/>
          <w:color w:val="auto"/>
          <w:spacing w:val="-2"/>
          <w:sz w:val="24"/>
          <w:szCs w:val="24"/>
          <w:highlight w:val="none"/>
        </w:rPr>
        <w:t>的。</w:t>
      </w:r>
    </w:p>
    <w:p w14:paraId="25020233">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12</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60"/>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0C52AB52">
      <w:pPr>
        <w:spacing w:before="178"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13</w:t>
      </w:r>
      <w:r>
        <w:rPr>
          <w:rFonts w:ascii="宋体" w:hAnsi="宋体" w:eastAsia="宋体" w:cs="宋体"/>
          <w:strike/>
          <w:dstrike w:val="0"/>
          <w:color w:val="auto"/>
          <w:spacing w:val="-2"/>
          <w:sz w:val="24"/>
          <w:szCs w:val="24"/>
          <w:highlight w:val="none"/>
        </w:rPr>
        <w:t>）存在法律、法规、规章规定的其他无效投标情况的。</w:t>
      </w:r>
    </w:p>
    <w:p w14:paraId="6042E5A6">
      <w:pPr>
        <w:spacing w:before="182" w:line="220" w:lineRule="auto"/>
        <w:ind w:left="548"/>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2</w:t>
      </w:r>
      <w:r>
        <w:rPr>
          <w:rFonts w:ascii="Times New Roman" w:hAnsi="Times New Roman" w:eastAsia="Times New Roman" w:cs="Times New Roman"/>
          <w:strike/>
          <w:dstrike w:val="0"/>
          <w:color w:val="auto"/>
          <w:spacing w:val="-15"/>
          <w:sz w:val="24"/>
          <w:szCs w:val="24"/>
          <w:highlight w:val="none"/>
        </w:rPr>
        <w:t xml:space="preserve"> </w:t>
      </w:r>
      <w:r>
        <w:rPr>
          <w:rFonts w:ascii="宋体" w:hAnsi="宋体" w:eastAsia="宋体" w:cs="宋体"/>
          <w:strike/>
          <w:dstrike w:val="0"/>
          <w:color w:val="auto"/>
          <w:spacing w:val="-6"/>
          <w:sz w:val="24"/>
          <w:szCs w:val="24"/>
          <w:highlight w:val="none"/>
        </w:rPr>
        <w:t>．商务标符合性审查未通过的情形：</w:t>
      </w:r>
    </w:p>
    <w:p w14:paraId="07286B68">
      <w:pPr>
        <w:spacing w:before="182" w:line="289" w:lineRule="auto"/>
        <w:ind w:left="2" w:right="9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42CAE895">
      <w:pPr>
        <w:spacing w:before="183" w:line="289" w:lineRule="auto"/>
        <w:ind w:left="2" w:right="99"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）同一投标人提交两个以上不同的投标报价且未声明哪一个有效的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49B025AF">
      <w:pPr>
        <w:spacing w:before="182" w:line="289" w:lineRule="auto"/>
        <w:ind w:left="2" w:right="86"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）投标函载明的投标工期和质量不满足招标文件要求的</w:t>
      </w:r>
      <w:r>
        <w:rPr>
          <w:rFonts w:ascii="Times New Roman" w:hAnsi="Times New Roman" w:eastAsia="Times New Roman" w:cs="Times New Roman"/>
          <w:strike/>
          <w:dstrike w:val="0"/>
          <w:color w:val="auto"/>
          <w:spacing w:val="3"/>
          <w:sz w:val="24"/>
          <w:szCs w:val="24"/>
          <w:highlight w:val="none"/>
        </w:rPr>
        <w:t>(</w:t>
      </w:r>
      <w:r>
        <w:rPr>
          <w:rFonts w:ascii="宋体" w:hAnsi="宋体" w:eastAsia="宋体" w:cs="宋体"/>
          <w:strike/>
          <w:dstrike w:val="0"/>
          <w:color w:val="auto"/>
          <w:spacing w:val="3"/>
          <w:sz w:val="24"/>
          <w:szCs w:val="24"/>
          <w:highlight w:val="none"/>
        </w:rPr>
        <w:t>以投标</w:t>
      </w:r>
      <w:r>
        <w:rPr>
          <w:rFonts w:ascii="宋体" w:hAnsi="宋体" w:eastAsia="宋体" w:cs="宋体"/>
          <w:strike/>
          <w:dstrike w:val="0"/>
          <w:color w:val="auto"/>
          <w:spacing w:val="2"/>
          <w:sz w:val="24"/>
          <w:szCs w:val="24"/>
          <w:highlight w:val="none"/>
        </w:rPr>
        <w:t>人须知前附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表第</w:t>
      </w:r>
      <w:r>
        <w:rPr>
          <w:rFonts w:ascii="Times New Roman" w:hAnsi="Times New Roman" w:eastAsia="Times New Roman" w:cs="Times New Roman"/>
          <w:strike/>
          <w:dstrike w:val="0"/>
          <w:color w:val="auto"/>
          <w:spacing w:val="-4"/>
          <w:sz w:val="24"/>
          <w:szCs w:val="24"/>
          <w:highlight w:val="none"/>
        </w:rPr>
        <w:t>1.3.2</w:t>
      </w:r>
      <w:r>
        <w:rPr>
          <w:rFonts w:ascii="Times New Roman" w:hAnsi="Times New Roman" w:eastAsia="Times New Roman" w:cs="Times New Roman"/>
          <w:strike/>
          <w:dstrike w:val="0"/>
          <w:color w:val="auto"/>
          <w:spacing w:val="-26"/>
          <w:sz w:val="24"/>
          <w:szCs w:val="24"/>
          <w:highlight w:val="none"/>
        </w:rPr>
        <w:t xml:space="preserve"> </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1.3.3</w:t>
      </w:r>
      <w:r>
        <w:rPr>
          <w:rFonts w:ascii="宋体" w:hAnsi="宋体" w:eastAsia="宋体" w:cs="宋体"/>
          <w:strike/>
          <w:dstrike w:val="0"/>
          <w:color w:val="auto"/>
          <w:spacing w:val="-4"/>
          <w:sz w:val="24"/>
          <w:szCs w:val="24"/>
          <w:highlight w:val="none"/>
        </w:rPr>
        <w:t>项为准）。</w:t>
      </w:r>
    </w:p>
    <w:p w14:paraId="1740ADF1">
      <w:pPr>
        <w:spacing w:before="182"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）投标报价高于招标文件设定的最高投标限价的或分项限价的。</w:t>
      </w:r>
    </w:p>
    <w:p w14:paraId="32F2E163">
      <w:pPr>
        <w:spacing w:before="181" w:line="313" w:lineRule="auto"/>
        <w:ind w:left="3" w:firstLine="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）改变招标人提供的工程量清单中的项目编码、项目名</w:t>
      </w:r>
      <w:r>
        <w:rPr>
          <w:rFonts w:ascii="宋体" w:hAnsi="宋体" w:eastAsia="宋体" w:cs="宋体"/>
          <w:strike/>
          <w:dstrike w:val="0"/>
          <w:color w:val="auto"/>
          <w:sz w:val="24"/>
          <w:szCs w:val="24"/>
          <w:highlight w:val="none"/>
        </w:rPr>
        <w:t xml:space="preserve">称、项目主要特征、 </w:t>
      </w:r>
      <w:r>
        <w:rPr>
          <w:rFonts w:ascii="宋体" w:hAnsi="宋体" w:eastAsia="宋体" w:cs="宋体"/>
          <w:strike/>
          <w:dstrike w:val="0"/>
          <w:color w:val="auto"/>
          <w:spacing w:val="-3"/>
          <w:sz w:val="24"/>
          <w:szCs w:val="24"/>
          <w:highlight w:val="none"/>
        </w:rPr>
        <w:t>计量单位、工程数量、主要技术条款编码、金额等内容的（但按照国家规范所作的修</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改和招标文件规定的除外）。</w:t>
      </w:r>
    </w:p>
    <w:p w14:paraId="4237586D">
      <w:pPr>
        <w:spacing w:before="181" w:line="220"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）投标人存在投标人须知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项规定情形之一的。</w:t>
      </w:r>
    </w:p>
    <w:p w14:paraId="2E6A00E9">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5"/>
          <w:sz w:val="24"/>
          <w:szCs w:val="24"/>
          <w:highlight w:val="none"/>
        </w:rPr>
        <w:t>（</w:t>
      </w:r>
      <w:r>
        <w:rPr>
          <w:rFonts w:ascii="Times New Roman" w:hAnsi="Times New Roman" w:eastAsia="Times New Roman" w:cs="Times New Roman"/>
          <w:strike/>
          <w:dstrike w:val="0"/>
          <w:color w:val="auto"/>
          <w:spacing w:val="-15"/>
          <w:sz w:val="24"/>
          <w:szCs w:val="24"/>
          <w:highlight w:val="none"/>
        </w:rPr>
        <w:t>7</w:t>
      </w:r>
      <w:r>
        <w:rPr>
          <w:rFonts w:ascii="宋体" w:hAnsi="宋体" w:eastAsia="宋体" w:cs="宋体"/>
          <w:strike/>
          <w:dstrike w:val="0"/>
          <w:color w:val="auto"/>
          <w:spacing w:val="-15"/>
          <w:sz w:val="24"/>
          <w:szCs w:val="24"/>
          <w:highlight w:val="none"/>
        </w:rPr>
        <w:t>）</w:t>
      </w:r>
      <w:r>
        <w:rPr>
          <w:rFonts w:ascii="宋体" w:hAnsi="宋体" w:eastAsia="宋体" w:cs="宋体"/>
          <w:strike/>
          <w:dstrike w:val="0"/>
          <w:color w:val="auto"/>
          <w:spacing w:val="39"/>
          <w:sz w:val="24"/>
          <w:szCs w:val="24"/>
          <w:highlight w:val="none"/>
        </w:rPr>
        <w:t xml:space="preserve"> </w:t>
      </w:r>
      <w:r>
        <w:rPr>
          <w:rFonts w:ascii="Times New Roman" w:hAnsi="Times New Roman" w:eastAsia="Times New Roman" w:cs="Times New Roman"/>
          <w:strike/>
          <w:dstrike w:val="0"/>
          <w:color w:val="auto"/>
          <w:spacing w:val="-15"/>
          <w:sz w:val="24"/>
          <w:szCs w:val="24"/>
          <w:highlight w:val="none"/>
        </w:rPr>
        <w:t>…</w:t>
      </w:r>
      <w:r>
        <w:rPr>
          <w:rFonts w:ascii="Times New Roman" w:hAnsi="Times New Roman" w:eastAsia="Times New Roman" w:cs="Times New Roman"/>
          <w:strike/>
          <w:dstrike w:val="0"/>
          <w:color w:val="auto"/>
          <w:spacing w:val="-29"/>
          <w:sz w:val="24"/>
          <w:szCs w:val="24"/>
          <w:highlight w:val="none"/>
        </w:rPr>
        <w:t xml:space="preserve"> </w:t>
      </w:r>
      <w:r>
        <w:rPr>
          <w:rFonts w:ascii="Times New Roman" w:hAnsi="Times New Roman" w:eastAsia="Times New Roman" w:cs="Times New Roman"/>
          <w:i/>
          <w:iCs/>
          <w:strike/>
          <w:dstrike w:val="0"/>
          <w:color w:val="auto"/>
          <w:spacing w:val="-15"/>
          <w:sz w:val="24"/>
          <w:szCs w:val="24"/>
          <w:highlight w:val="none"/>
        </w:rPr>
        <w:t xml:space="preserve">… </w:t>
      </w:r>
      <w:r>
        <w:rPr>
          <w:rFonts w:ascii="宋体" w:hAnsi="宋体" w:eastAsia="宋体" w:cs="宋体"/>
          <w:i/>
          <w:iCs/>
          <w:strike/>
          <w:dstrike w:val="0"/>
          <w:color w:val="auto"/>
          <w:spacing w:val="-15"/>
          <w:sz w:val="25"/>
          <w:szCs w:val="25"/>
          <w:highlight w:val="none"/>
        </w:rPr>
        <w:t>（由招标人自行扩充）</w:t>
      </w:r>
    </w:p>
    <w:p w14:paraId="2B9C587F">
      <w:pPr>
        <w:spacing w:before="179"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）存在法律、法规、规章规定的其他无效投标情况的。</w:t>
      </w:r>
    </w:p>
    <w:p w14:paraId="784EDA59">
      <w:pPr>
        <w:spacing w:before="182"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  </w:t>
      </w:r>
      <w:r>
        <w:rPr>
          <w:rFonts w:ascii="楷体" w:hAnsi="楷体" w:eastAsia="楷体" w:cs="楷体"/>
          <w:b/>
          <w:bCs/>
          <w:strike/>
          <w:dstrike w:val="0"/>
          <w:color w:val="auto"/>
          <w:spacing w:val="-2"/>
          <w:sz w:val="24"/>
          <w:szCs w:val="24"/>
          <w:highlight w:val="none"/>
        </w:rPr>
        <w:t>投标文件的技术评审</w:t>
      </w:r>
    </w:p>
    <w:p w14:paraId="74F9BD3E">
      <w:pPr>
        <w:spacing w:before="178" w:line="289" w:lineRule="auto"/>
        <w:ind w:left="3" w:right="84" w:firstLine="54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4.4.1  </w:t>
      </w:r>
      <w:r>
        <w:rPr>
          <w:rFonts w:ascii="宋体" w:hAnsi="宋体" w:eastAsia="宋体" w:cs="宋体"/>
          <w:strike/>
          <w:dstrike w:val="0"/>
          <w:color w:val="auto"/>
          <w:spacing w:val="-1"/>
          <w:sz w:val="24"/>
          <w:szCs w:val="24"/>
          <w:highlight w:val="none"/>
        </w:rPr>
        <w:t>评标委员会应对通过符合性审查的投标文件进行技术评</w:t>
      </w:r>
      <w:r>
        <w:rPr>
          <w:rFonts w:ascii="宋体" w:hAnsi="宋体" w:eastAsia="宋体" w:cs="宋体"/>
          <w:strike/>
          <w:dstrike w:val="0"/>
          <w:color w:val="auto"/>
          <w:spacing w:val="-2"/>
          <w:sz w:val="24"/>
          <w:szCs w:val="24"/>
          <w:highlight w:val="none"/>
        </w:rPr>
        <w:t>审。专家评审采用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集体评议、记名表决、少数服从多数的方法进行。</w:t>
      </w:r>
    </w:p>
    <w:p w14:paraId="630DE02F">
      <w:pPr>
        <w:spacing w:before="182" w:line="220" w:lineRule="auto"/>
        <w:ind w:left="54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4.4.2  </w:t>
      </w:r>
      <w:r>
        <w:rPr>
          <w:rFonts w:ascii="宋体" w:hAnsi="宋体" w:eastAsia="宋体" w:cs="宋体"/>
          <w:strike/>
          <w:dstrike w:val="0"/>
          <w:color w:val="auto"/>
          <w:spacing w:val="-2"/>
          <w:sz w:val="24"/>
          <w:szCs w:val="24"/>
          <w:highlight w:val="none"/>
        </w:rPr>
        <w:t>如投标文件有以下情况之一的，按技术评审不通过处理：</w:t>
      </w:r>
    </w:p>
    <w:p w14:paraId="3D6DA557">
      <w:pPr>
        <w:spacing w:before="181"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）项目负责人或技术负责人不明确的。</w:t>
      </w:r>
    </w:p>
    <w:p w14:paraId="70880B46">
      <w:pPr>
        <w:spacing w:before="180"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）主要的施工技术方案或安全保障措施不可</w:t>
      </w:r>
      <w:r>
        <w:rPr>
          <w:rFonts w:ascii="宋体" w:hAnsi="宋体" w:eastAsia="宋体" w:cs="宋体"/>
          <w:strike/>
          <w:dstrike w:val="0"/>
          <w:color w:val="auto"/>
          <w:spacing w:val="-3"/>
          <w:sz w:val="24"/>
          <w:szCs w:val="24"/>
          <w:highlight w:val="none"/>
        </w:rPr>
        <w:t>行的。</w:t>
      </w:r>
    </w:p>
    <w:p w14:paraId="1E4BC7E8">
      <w:pPr>
        <w:spacing w:before="182"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）主要施工机械设备不能满足施工需要的。</w:t>
      </w:r>
    </w:p>
    <w:p w14:paraId="3B23D710">
      <w:pPr>
        <w:spacing w:before="182"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）附有工程无法适用的其他技术和管理</w:t>
      </w:r>
      <w:r>
        <w:rPr>
          <w:rFonts w:ascii="宋体" w:hAnsi="宋体" w:eastAsia="宋体" w:cs="宋体"/>
          <w:strike/>
          <w:dstrike w:val="0"/>
          <w:color w:val="auto"/>
          <w:spacing w:val="-3"/>
          <w:sz w:val="24"/>
          <w:szCs w:val="24"/>
          <w:highlight w:val="none"/>
        </w:rPr>
        <w:t>条款的。</w:t>
      </w:r>
    </w:p>
    <w:p w14:paraId="1B1FACA8">
      <w:pPr>
        <w:spacing w:before="182"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5</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71"/>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697DAE02">
      <w:pPr>
        <w:spacing w:line="213" w:lineRule="auto"/>
        <w:rPr>
          <w:rFonts w:ascii="宋体" w:hAnsi="宋体" w:eastAsia="宋体" w:cs="宋体"/>
          <w:strike/>
          <w:dstrike w:val="0"/>
          <w:color w:val="auto"/>
          <w:sz w:val="25"/>
          <w:szCs w:val="25"/>
          <w:highlight w:val="none"/>
        </w:rPr>
        <w:sectPr>
          <w:footerReference r:id="rId41" w:type="default"/>
          <w:pgSz w:w="11905" w:h="16840"/>
          <w:pgMar w:top="1428" w:right="1444" w:bottom="1255" w:left="1593" w:header="0" w:footer="1093" w:gutter="0"/>
          <w:pgNumType w:fmt="decimal"/>
          <w:cols w:space="720" w:num="1"/>
        </w:sectPr>
      </w:pPr>
    </w:p>
    <w:p w14:paraId="01615496">
      <w:pPr>
        <w:spacing w:before="47" w:line="220" w:lineRule="auto"/>
        <w:ind w:left="55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4.4.3  </w:t>
      </w:r>
      <w:r>
        <w:rPr>
          <w:rFonts w:ascii="宋体" w:hAnsi="宋体" w:eastAsia="宋体" w:cs="宋体"/>
          <w:strike/>
          <w:dstrike w:val="0"/>
          <w:color w:val="auto"/>
          <w:spacing w:val="-2"/>
          <w:sz w:val="24"/>
          <w:szCs w:val="24"/>
          <w:highlight w:val="none"/>
        </w:rPr>
        <w:t>技术评审不通过的投标文件不再进入后续评审。</w:t>
      </w:r>
    </w:p>
    <w:p w14:paraId="27E5A90A">
      <w:pPr>
        <w:spacing w:before="181" w:line="223" w:lineRule="auto"/>
        <w:ind w:left="5"/>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  </w:t>
      </w:r>
      <w:r>
        <w:rPr>
          <w:rFonts w:ascii="楷体" w:hAnsi="楷体" w:eastAsia="楷体" w:cs="楷体"/>
          <w:b/>
          <w:bCs/>
          <w:strike/>
          <w:dstrike w:val="0"/>
          <w:color w:val="auto"/>
          <w:spacing w:val="-2"/>
          <w:sz w:val="24"/>
          <w:szCs w:val="24"/>
          <w:highlight w:val="none"/>
        </w:rPr>
        <w:t>投标文件的商务评审</w:t>
      </w:r>
    </w:p>
    <w:p w14:paraId="6A149FCA">
      <w:pPr>
        <w:spacing w:before="177" w:line="312" w:lineRule="auto"/>
        <w:ind w:left="8" w:right="65"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4.5.1  </w:t>
      </w:r>
      <w:r>
        <w:rPr>
          <w:rFonts w:ascii="宋体" w:hAnsi="宋体" w:eastAsia="宋体" w:cs="宋体"/>
          <w:strike/>
          <w:dstrike w:val="0"/>
          <w:color w:val="auto"/>
          <w:sz w:val="24"/>
          <w:szCs w:val="24"/>
          <w:highlight w:val="none"/>
        </w:rPr>
        <w:t>评标委员会对通过符合性评审、技术评审的投标文件进行商务评审。评标</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委员会应对商务报价的范围、数量、单价、费用组成和总价等进行全面审阅和对比分</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析，找出报价差异的原因及存在的问题。</w:t>
      </w:r>
    </w:p>
    <w:p w14:paraId="73459C67">
      <w:pPr>
        <w:spacing w:before="183" w:line="312" w:lineRule="auto"/>
        <w:ind w:left="11" w:right="64" w:firstLine="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4.5.2  </w:t>
      </w:r>
      <w:r>
        <w:rPr>
          <w:rFonts w:ascii="宋体" w:hAnsi="宋体" w:eastAsia="宋体" w:cs="宋体"/>
          <w:strike/>
          <w:dstrike w:val="0"/>
          <w:color w:val="auto"/>
          <w:sz w:val="24"/>
          <w:szCs w:val="24"/>
          <w:highlight w:val="none"/>
        </w:rPr>
        <w:t>商务评审应以报价口径范围一致的投标评标价为依据。投标评标价应在最</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终报价的基础上，按照招标文件约定的因素和方法进行计算。凡属招标文件的原因造</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成报价口径范围不一致的，应调整投标报价。其中算术错误的调整原则为：</w:t>
      </w:r>
    </w:p>
    <w:p w14:paraId="0C2CBF09">
      <w:pPr>
        <w:spacing w:before="183" w:line="220"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）用数字表示的金额与文字表示的数额不一致时，以文字数额为准。</w:t>
      </w:r>
    </w:p>
    <w:p w14:paraId="23AA5D1A">
      <w:pPr>
        <w:spacing w:before="182" w:line="324" w:lineRule="auto"/>
        <w:ind w:left="11" w:firstLine="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）凡属投标人自身失误造成多算、少算、漏算的，</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7"/>
          <w:sz w:val="24"/>
          <w:szCs w:val="24"/>
          <w:highlight w:val="none"/>
        </w:rPr>
        <w:t>不调整投标报价。若有算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术性差错，均在投标报价不变的前提下按招标人要求调整单价及有关费用，调整后的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单价及有关费用对投标人起约束作用，如果投标人不接受修正后的单价及有关</w:t>
      </w:r>
      <w:r>
        <w:rPr>
          <w:rFonts w:ascii="宋体" w:hAnsi="宋体" w:eastAsia="宋体" w:cs="宋体"/>
          <w:strike/>
          <w:dstrike w:val="0"/>
          <w:color w:val="auto"/>
          <w:spacing w:val="-2"/>
          <w:sz w:val="24"/>
          <w:szCs w:val="24"/>
          <w:highlight w:val="none"/>
        </w:rPr>
        <w:t>费用，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则按商务评审不合格处理。</w:t>
      </w:r>
    </w:p>
    <w:p w14:paraId="28B16BEA">
      <w:pPr>
        <w:spacing w:before="182" w:line="218" w:lineRule="auto"/>
        <w:ind w:left="545"/>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4.5.3  </w:t>
      </w:r>
      <w:r>
        <w:rPr>
          <w:rFonts w:ascii="宋体" w:hAnsi="宋体" w:eastAsia="宋体" w:cs="宋体"/>
          <w:strike/>
          <w:dstrike w:val="0"/>
          <w:color w:val="auto"/>
          <w:spacing w:val="-2"/>
          <w:sz w:val="24"/>
          <w:szCs w:val="24"/>
          <w:highlight w:val="none"/>
        </w:rPr>
        <w:t>投标报价中，如有以下情况之一的，按商务评审不合格处理：</w:t>
      </w:r>
    </w:p>
    <w:p w14:paraId="2979271B">
      <w:pPr>
        <w:spacing w:before="183" w:line="218"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）投标人拒绝修正不平衡报价或拒绝提供报价分析说明和证明材料的。</w:t>
      </w:r>
    </w:p>
    <w:p w14:paraId="52DDD6EF">
      <w:pPr>
        <w:spacing w:before="183" w:line="291" w:lineRule="auto"/>
        <w:ind w:left="9" w:right="84"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）因投标人自身多算、少算、错算、漏算而造成的错误金额超过投标总价的</w:t>
      </w:r>
      <w:r>
        <w:rPr>
          <w:rFonts w:ascii="宋体" w:hAnsi="宋体" w:eastAsia="宋体" w:cs="宋体"/>
          <w:strike/>
          <w:dstrike w:val="0"/>
          <w:color w:val="auto"/>
          <w:spacing w:val="2"/>
          <w:sz w:val="24"/>
          <w:szCs w:val="24"/>
          <w:highlight w:val="none"/>
        </w:rPr>
        <w:t xml:space="preserve"> </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的。</w:t>
      </w:r>
    </w:p>
    <w:p w14:paraId="5CB31B79">
      <w:pPr>
        <w:spacing w:before="177" w:line="220"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）安全施工费低于招标文件规定的。</w:t>
      </w:r>
    </w:p>
    <w:p w14:paraId="3B694291">
      <w:pPr>
        <w:spacing w:before="182" w:line="312" w:lineRule="auto"/>
        <w:ind w:left="8" w:right="65" w:firstLine="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4</w:t>
      </w:r>
      <w:r>
        <w:rPr>
          <w:rFonts w:ascii="宋体" w:hAnsi="宋体" w:eastAsia="宋体" w:cs="宋体"/>
          <w:strike/>
          <w:dstrike w:val="0"/>
          <w:color w:val="auto"/>
          <w:spacing w:val="-1"/>
          <w:sz w:val="24"/>
          <w:szCs w:val="24"/>
          <w:highlight w:val="none"/>
        </w:rPr>
        <w:t>）通过符合性审查、技术评审的最低投标评</w:t>
      </w:r>
      <w:r>
        <w:rPr>
          <w:rFonts w:ascii="宋体" w:hAnsi="宋体" w:eastAsia="宋体" w:cs="宋体"/>
          <w:strike/>
          <w:dstrike w:val="0"/>
          <w:color w:val="auto"/>
          <w:spacing w:val="-2"/>
          <w:sz w:val="24"/>
          <w:szCs w:val="24"/>
          <w:highlight w:val="none"/>
        </w:rPr>
        <w:t>标价低于通过符合性审查和技术</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评审的次低投标评标价</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，且经询标投标人对</w:t>
      </w:r>
      <w:r>
        <w:rPr>
          <w:rFonts w:ascii="宋体" w:hAnsi="宋体" w:eastAsia="宋体" w:cs="宋体"/>
          <w:strike/>
          <w:dstrike w:val="0"/>
          <w:color w:val="auto"/>
          <w:spacing w:val="1"/>
          <w:sz w:val="24"/>
          <w:szCs w:val="24"/>
          <w:highlight w:val="none"/>
        </w:rPr>
        <w:t>其报价不能充分说明理由，或提供的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相关材料无法证明报价不低于其成本价的。</w:t>
      </w:r>
    </w:p>
    <w:p w14:paraId="6C1B5E3F">
      <w:pPr>
        <w:spacing w:before="183" w:line="219"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）评标委员会认定属投标人自身原因有重大漏项的。</w:t>
      </w:r>
    </w:p>
    <w:p w14:paraId="526F6008">
      <w:pPr>
        <w:spacing w:before="182" w:line="213" w:lineRule="auto"/>
        <w:ind w:left="565"/>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6</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54FB53FB">
      <w:pPr>
        <w:spacing w:before="178" w:line="220" w:lineRule="auto"/>
        <w:ind w:left="48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4.5.4    </w:t>
      </w:r>
      <w:r>
        <w:rPr>
          <w:rFonts w:ascii="宋体" w:hAnsi="宋体" w:eastAsia="宋体" w:cs="宋体"/>
          <w:strike/>
          <w:dstrike w:val="0"/>
          <w:color w:val="auto"/>
          <w:spacing w:val="-1"/>
          <w:sz w:val="24"/>
          <w:szCs w:val="24"/>
          <w:highlight w:val="none"/>
        </w:rPr>
        <w:t>商务标评审不通过的投标文件</w:t>
      </w:r>
      <w:r>
        <w:rPr>
          <w:rFonts w:ascii="宋体" w:hAnsi="宋体" w:eastAsia="宋体" w:cs="宋体"/>
          <w:strike/>
          <w:dstrike w:val="0"/>
          <w:color w:val="auto"/>
          <w:spacing w:val="-2"/>
          <w:sz w:val="24"/>
          <w:szCs w:val="24"/>
          <w:highlight w:val="none"/>
        </w:rPr>
        <w:t>不再进入后续评分。</w:t>
      </w:r>
    </w:p>
    <w:p w14:paraId="16FCD7FF">
      <w:pPr>
        <w:spacing w:before="182" w:line="211" w:lineRule="auto"/>
        <w:ind w:left="52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9"/>
          <w:sz w:val="24"/>
          <w:szCs w:val="24"/>
          <w:highlight w:val="none"/>
        </w:rPr>
        <w:t xml:space="preserve">4.5.5  </w:t>
      </w:r>
      <w:r>
        <w:rPr>
          <w:rFonts w:ascii="宋体" w:hAnsi="宋体" w:eastAsia="宋体" w:cs="宋体"/>
          <w:strike/>
          <w:dstrike w:val="0"/>
          <w:color w:val="auto"/>
          <w:spacing w:val="-9"/>
          <w:sz w:val="24"/>
          <w:szCs w:val="24"/>
          <w:highlight w:val="none"/>
        </w:rPr>
        <w:t>商务评分计算办法</w:t>
      </w:r>
      <w:r>
        <w:rPr>
          <w:rFonts w:ascii="宋体" w:hAnsi="宋体" w:eastAsia="宋体" w:cs="宋体"/>
          <w:strike/>
          <w:dstrike w:val="0"/>
          <w:color w:val="auto"/>
          <w:spacing w:val="-36"/>
          <w:sz w:val="24"/>
          <w:szCs w:val="24"/>
          <w:highlight w:val="none"/>
        </w:rPr>
        <w:t xml:space="preserve"> </w:t>
      </w:r>
      <w:r>
        <w:rPr>
          <w:rFonts w:ascii="宋体" w:hAnsi="宋体" w:eastAsia="宋体" w:cs="宋体"/>
          <w:i/>
          <w:iCs/>
          <w:strike/>
          <w:dstrike w:val="0"/>
          <w:color w:val="auto"/>
          <w:spacing w:val="-9"/>
          <w:sz w:val="25"/>
          <w:szCs w:val="25"/>
          <w:highlight w:val="none"/>
        </w:rPr>
        <w:t>（以下评分基准价的确定方法仅供参考</w:t>
      </w:r>
      <w:r>
        <w:rPr>
          <w:rFonts w:ascii="宋体" w:hAnsi="宋体" w:eastAsia="宋体" w:cs="宋体"/>
          <w:i/>
          <w:iCs/>
          <w:strike/>
          <w:dstrike w:val="0"/>
          <w:color w:val="auto"/>
          <w:spacing w:val="8"/>
          <w:sz w:val="25"/>
          <w:szCs w:val="25"/>
          <w:highlight w:val="none"/>
        </w:rPr>
        <w:t>）</w:t>
      </w:r>
      <w:r>
        <w:rPr>
          <w:rFonts w:ascii="宋体" w:hAnsi="宋体" w:eastAsia="宋体" w:cs="宋体"/>
          <w:strike/>
          <w:dstrike w:val="0"/>
          <w:color w:val="auto"/>
          <w:spacing w:val="8"/>
          <w:sz w:val="24"/>
          <w:szCs w:val="24"/>
          <w:highlight w:val="none"/>
        </w:rPr>
        <w:t>：</w:t>
      </w:r>
    </w:p>
    <w:p w14:paraId="2CABE73B">
      <w:pPr>
        <w:spacing w:before="182" w:line="359" w:lineRule="auto"/>
        <w:ind w:left="11" w:right="81" w:firstLine="496"/>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）评分基准价的确定：商务标评审通过的各入评投标人评标价的算术平均值下</w:t>
      </w:r>
      <w:r>
        <w:rPr>
          <w:rFonts w:ascii="宋体" w:hAnsi="宋体" w:eastAsia="宋体" w:cs="宋体"/>
          <w:strike/>
          <w:dstrike w:val="0"/>
          <w:color w:val="auto"/>
          <w:spacing w:val="17"/>
          <w:sz w:val="24"/>
          <w:szCs w:val="24"/>
          <w:highlight w:val="none"/>
        </w:rPr>
        <w:t xml:space="preserve"> </w:t>
      </w:r>
      <w:r>
        <w:rPr>
          <w:rFonts w:ascii="宋体" w:hAnsi="宋体" w:eastAsia="宋体" w:cs="宋体"/>
          <w:strike/>
          <w:dstrike w:val="0"/>
          <w:color w:val="auto"/>
          <w:spacing w:val="-4"/>
          <w:sz w:val="24"/>
          <w:szCs w:val="24"/>
          <w:highlight w:val="none"/>
        </w:rPr>
        <w:t>浮</w:t>
      </w:r>
      <w:r>
        <w:rPr>
          <w:rFonts w:ascii="Times New Roman" w:hAnsi="Times New Roman" w:eastAsia="Times New Roman" w:cs="Times New Roman"/>
          <w:strike/>
          <w:dstrike w:val="0"/>
          <w:color w:val="auto"/>
          <w:spacing w:val="-4"/>
          <w:sz w:val="24"/>
          <w:szCs w:val="24"/>
          <w:highlight w:val="none"/>
        </w:rPr>
        <w:t>X%</w:t>
      </w:r>
      <w:r>
        <w:rPr>
          <w:rFonts w:ascii="宋体" w:hAnsi="宋体" w:eastAsia="宋体" w:cs="宋体"/>
          <w:strike/>
          <w:dstrike w:val="0"/>
          <w:color w:val="auto"/>
          <w:spacing w:val="-4"/>
          <w:sz w:val="24"/>
          <w:szCs w:val="24"/>
          <w:highlight w:val="none"/>
        </w:rPr>
        <w:t>的数值为评分基准价。</w:t>
      </w:r>
    </w:p>
    <w:p w14:paraId="7425E0CD">
      <w:pPr>
        <w:tabs>
          <w:tab w:val="left" w:pos="113"/>
        </w:tabs>
        <w:spacing w:before="2" w:line="344" w:lineRule="auto"/>
        <w:ind w:right="45" w:firstLine="54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8"/>
          <w:sz w:val="24"/>
          <w:szCs w:val="24"/>
          <w:highlight w:val="none"/>
        </w:rPr>
        <w:t>X</w:t>
      </w:r>
      <w:r>
        <w:rPr>
          <w:rFonts w:ascii="宋体" w:hAnsi="宋体" w:eastAsia="宋体" w:cs="宋体"/>
          <w:strike/>
          <w:dstrike w:val="0"/>
          <w:color w:val="auto"/>
          <w:spacing w:val="-8"/>
          <w:sz w:val="24"/>
          <w:szCs w:val="24"/>
          <w:highlight w:val="none"/>
        </w:rPr>
        <w:t>值在开标时由招标人在</w:t>
      </w:r>
      <w:r>
        <w:rPr>
          <w:rFonts w:ascii="宋体" w:hAnsi="宋体" w:eastAsia="宋体" w:cs="宋体"/>
          <w:strike/>
          <w:dstrike w:val="0"/>
          <w:color w:val="auto"/>
          <w:spacing w:val="56"/>
          <w:sz w:val="25"/>
          <w:szCs w:val="25"/>
          <w:highlight w:val="none"/>
          <w:u w:val="single" w:color="auto"/>
        </w:rPr>
        <w:t xml:space="preserve">  </w:t>
      </w:r>
      <w:r>
        <w:rPr>
          <w:rFonts w:ascii="宋体" w:hAnsi="宋体" w:eastAsia="宋体" w:cs="宋体"/>
          <w:i/>
          <w:iCs/>
          <w:strike/>
          <w:dstrike w:val="0"/>
          <w:color w:val="auto"/>
          <w:spacing w:val="-8"/>
          <w:sz w:val="25"/>
          <w:szCs w:val="25"/>
          <w:highlight w:val="none"/>
          <w:u w:val="single" w:color="auto"/>
        </w:rPr>
        <w:t>（由招标人在</w:t>
      </w:r>
      <w:r>
        <w:rPr>
          <w:rFonts w:ascii="Times New Roman" w:hAnsi="Times New Roman" w:eastAsia="Times New Roman" w:cs="Times New Roman"/>
          <w:i/>
          <w:iCs/>
          <w:strike/>
          <w:dstrike w:val="0"/>
          <w:color w:val="auto"/>
          <w:spacing w:val="-8"/>
          <w:sz w:val="24"/>
          <w:szCs w:val="24"/>
          <w:highlight w:val="none"/>
          <w:u w:val="single" w:color="auto"/>
        </w:rPr>
        <w:t>0</w:t>
      </w:r>
      <w:r>
        <w:rPr>
          <w:rFonts w:ascii="宋体" w:hAnsi="宋体" w:eastAsia="宋体" w:cs="宋体"/>
          <w:i/>
          <w:iCs/>
          <w:strike/>
          <w:dstrike w:val="0"/>
          <w:color w:val="auto"/>
          <w:spacing w:val="-8"/>
          <w:sz w:val="25"/>
          <w:szCs w:val="25"/>
          <w:highlight w:val="none"/>
          <w:u w:val="single" w:color="auto"/>
        </w:rPr>
        <w:t>～</w:t>
      </w:r>
      <w:r>
        <w:rPr>
          <w:rFonts w:ascii="Times New Roman" w:hAnsi="Times New Roman" w:eastAsia="Times New Roman" w:cs="Times New Roman"/>
          <w:i/>
          <w:iCs/>
          <w:strike/>
          <w:dstrike w:val="0"/>
          <w:color w:val="auto"/>
          <w:spacing w:val="-8"/>
          <w:sz w:val="24"/>
          <w:szCs w:val="24"/>
          <w:highlight w:val="none"/>
          <w:u w:val="single" w:color="auto"/>
        </w:rPr>
        <w:t>3</w:t>
      </w:r>
      <w:r>
        <w:rPr>
          <w:rFonts w:ascii="宋体" w:hAnsi="宋体" w:eastAsia="宋体" w:cs="宋体"/>
          <w:i/>
          <w:iCs/>
          <w:strike/>
          <w:dstrike w:val="0"/>
          <w:color w:val="auto"/>
          <w:spacing w:val="-8"/>
          <w:sz w:val="25"/>
          <w:szCs w:val="25"/>
          <w:highlight w:val="none"/>
          <w:u w:val="single" w:color="auto"/>
        </w:rPr>
        <w:t>之间自行确定，但应为</w:t>
      </w:r>
      <w:r>
        <w:rPr>
          <w:rFonts w:ascii="Times New Roman" w:hAnsi="Times New Roman" w:eastAsia="Times New Roman" w:cs="Times New Roman"/>
          <w:i/>
          <w:iCs/>
          <w:strike/>
          <w:dstrike w:val="0"/>
          <w:color w:val="auto"/>
          <w:spacing w:val="-8"/>
          <w:sz w:val="24"/>
          <w:szCs w:val="24"/>
          <w:highlight w:val="none"/>
          <w:u w:val="single" w:color="auto"/>
        </w:rPr>
        <w:t>5</w:t>
      </w:r>
      <w:r>
        <w:rPr>
          <w:rFonts w:ascii="宋体" w:hAnsi="宋体" w:eastAsia="宋体" w:cs="宋体"/>
          <w:i/>
          <w:iCs/>
          <w:strike/>
          <w:dstrike w:val="0"/>
          <w:color w:val="auto"/>
          <w:spacing w:val="-8"/>
          <w:sz w:val="25"/>
          <w:szCs w:val="25"/>
          <w:highlight w:val="none"/>
          <w:u w:val="single" w:color="auto"/>
        </w:rPr>
        <w:t>个数组成</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z w:val="25"/>
          <w:szCs w:val="25"/>
          <w:highlight w:val="none"/>
          <w:u w:val="single" w:color="auto"/>
        </w:rPr>
        <w:tab/>
      </w:r>
      <w:r>
        <w:rPr>
          <w:rFonts w:ascii="宋体" w:hAnsi="宋体" w:eastAsia="宋体" w:cs="宋体"/>
          <w:i/>
          <w:iCs/>
          <w:strike/>
          <w:dstrike w:val="0"/>
          <w:color w:val="auto"/>
          <w:spacing w:val="-11"/>
          <w:sz w:val="25"/>
          <w:szCs w:val="25"/>
          <w:highlight w:val="none"/>
          <w:u w:val="single" w:color="auto"/>
        </w:rPr>
        <w:t>的等差递增数列，最小公差大于等于</w:t>
      </w:r>
      <w:r>
        <w:rPr>
          <w:rFonts w:ascii="Times New Roman" w:hAnsi="Times New Roman" w:eastAsia="Times New Roman" w:cs="Times New Roman"/>
          <w:i/>
          <w:iCs/>
          <w:strike/>
          <w:dstrike w:val="0"/>
          <w:color w:val="auto"/>
          <w:spacing w:val="-11"/>
          <w:sz w:val="24"/>
          <w:szCs w:val="24"/>
          <w:highlight w:val="none"/>
          <w:u w:val="single" w:color="auto"/>
        </w:rPr>
        <w:t>0.5</w:t>
      </w:r>
      <w:r>
        <w:rPr>
          <w:rFonts w:ascii="宋体" w:hAnsi="宋体" w:eastAsia="宋体" w:cs="宋体"/>
          <w:i/>
          <w:iCs/>
          <w:strike/>
          <w:dstrike w:val="0"/>
          <w:color w:val="auto"/>
          <w:spacing w:val="-11"/>
          <w:sz w:val="25"/>
          <w:szCs w:val="25"/>
          <w:highlight w:val="none"/>
          <w:u w:val="single" w:color="auto"/>
        </w:rPr>
        <w:t>）</w:t>
      </w:r>
      <w:r>
        <w:rPr>
          <w:rFonts w:ascii="宋体" w:hAnsi="宋体" w:eastAsia="宋体" w:cs="宋体"/>
          <w:strike/>
          <w:dstrike w:val="0"/>
          <w:color w:val="auto"/>
          <w:spacing w:val="108"/>
          <w:sz w:val="25"/>
          <w:szCs w:val="25"/>
          <w:highlight w:val="none"/>
          <w:u w:val="single" w:color="auto"/>
        </w:rPr>
        <w:t xml:space="preserve"> </w:t>
      </w:r>
      <w:r>
        <w:rPr>
          <w:rFonts w:ascii="宋体" w:hAnsi="宋体" w:eastAsia="宋体" w:cs="宋体"/>
          <w:strike/>
          <w:dstrike w:val="0"/>
          <w:color w:val="auto"/>
          <w:spacing w:val="-114"/>
          <w:sz w:val="25"/>
          <w:szCs w:val="25"/>
          <w:highlight w:val="none"/>
        </w:rPr>
        <w:t xml:space="preserve"> </w:t>
      </w:r>
      <w:r>
        <w:rPr>
          <w:rFonts w:ascii="宋体" w:hAnsi="宋体" w:eastAsia="宋体" w:cs="宋体"/>
          <w:strike/>
          <w:dstrike w:val="0"/>
          <w:color w:val="auto"/>
          <w:spacing w:val="-11"/>
          <w:sz w:val="24"/>
          <w:szCs w:val="24"/>
          <w:highlight w:val="none"/>
        </w:rPr>
        <w:t>之中随机抽取确定。</w:t>
      </w:r>
    </w:p>
    <w:p w14:paraId="4A1434A9">
      <w:pPr>
        <w:spacing w:line="218" w:lineRule="auto"/>
        <w:ind w:left="54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评分基准价由评标委员会依据上述方法计算，除计算差错外，确认后的评分基准</w:t>
      </w:r>
    </w:p>
    <w:p w14:paraId="7DE110C6">
      <w:pPr>
        <w:spacing w:line="218" w:lineRule="auto"/>
        <w:rPr>
          <w:rFonts w:ascii="宋体" w:hAnsi="宋体" w:eastAsia="宋体" w:cs="宋体"/>
          <w:strike/>
          <w:dstrike w:val="0"/>
          <w:color w:val="auto"/>
          <w:sz w:val="24"/>
          <w:szCs w:val="24"/>
          <w:highlight w:val="none"/>
        </w:rPr>
        <w:sectPr>
          <w:footerReference r:id="rId42" w:type="default"/>
          <w:pgSz w:w="11905" w:h="16840"/>
          <w:pgMar w:top="1428" w:right="1463" w:bottom="1252" w:left="1587" w:header="0" w:footer="1093" w:gutter="0"/>
          <w:pgNumType w:fmt="decimal"/>
          <w:cols w:space="720" w:num="1"/>
        </w:sectPr>
      </w:pPr>
    </w:p>
    <w:p w14:paraId="74796C55">
      <w:pPr>
        <w:spacing w:before="48" w:line="218" w:lineRule="auto"/>
        <w:ind w:left="4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价在本次招标期间保持不变。</w:t>
      </w:r>
    </w:p>
    <w:p w14:paraId="7EADF705">
      <w:pPr>
        <w:spacing w:before="183" w:line="359" w:lineRule="auto"/>
        <w:ind w:left="43" w:right="237" w:firstLine="47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计算差错，仅限于以下两种情况</w:t>
      </w:r>
      <w:r>
        <w:rPr>
          <w:rFonts w:ascii="宋体" w:hAnsi="宋体" w:eastAsia="宋体" w:cs="宋体"/>
          <w:strike/>
          <w:dstrike w:val="0"/>
          <w:color w:val="auto"/>
          <w:spacing w:val="-31"/>
          <w:sz w:val="24"/>
          <w:szCs w:val="24"/>
          <w:highlight w:val="none"/>
        </w:rPr>
        <w:t>：（</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）纯算术性</w:t>
      </w:r>
      <w:r>
        <w:rPr>
          <w:rFonts w:ascii="宋体" w:hAnsi="宋体" w:eastAsia="宋体" w:cs="宋体"/>
          <w:strike/>
          <w:dstrike w:val="0"/>
          <w:color w:val="auto"/>
          <w:sz w:val="24"/>
          <w:szCs w:val="24"/>
          <w:highlight w:val="none"/>
        </w:rPr>
        <w:t>四则运算差错</w:t>
      </w:r>
      <w:r>
        <w:rPr>
          <w:rFonts w:ascii="宋体" w:hAnsi="宋体" w:eastAsia="宋体" w:cs="宋体"/>
          <w:strike/>
          <w:dstrike w:val="0"/>
          <w:color w:val="auto"/>
          <w:spacing w:val="-31"/>
          <w:sz w:val="24"/>
          <w:szCs w:val="24"/>
          <w:highlight w:val="none"/>
        </w:rPr>
        <w:t>；（</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 xml:space="preserve">）未按约定 </w:t>
      </w:r>
      <w:r>
        <w:rPr>
          <w:rFonts w:ascii="宋体" w:hAnsi="宋体" w:eastAsia="宋体" w:cs="宋体"/>
          <w:strike/>
          <w:dstrike w:val="0"/>
          <w:color w:val="auto"/>
          <w:spacing w:val="-6"/>
          <w:sz w:val="24"/>
          <w:szCs w:val="24"/>
          <w:highlight w:val="none"/>
        </w:rPr>
        <w:t>的计算方法，多计或者少计投标人报价的。由于评标差错导致否决投标错误， 重新评</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3"/>
          <w:sz w:val="24"/>
          <w:szCs w:val="24"/>
          <w:highlight w:val="none"/>
        </w:rPr>
        <w:t>标纠正等情况，不属于计算差错。</w:t>
      </w:r>
    </w:p>
    <w:p w14:paraId="27028AEF">
      <w:pPr>
        <w:spacing w:line="359" w:lineRule="auto"/>
        <w:ind w:left="42" w:right="246" w:firstLine="47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）报价评分值的计算：以评分基准价为基础，将各入评投标人的评标价与评分</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2"/>
          <w:sz w:val="24"/>
          <w:szCs w:val="24"/>
          <w:highlight w:val="none"/>
        </w:rPr>
        <w:t>基准价比较，计算出偏离基准价的百分数后，</w:t>
      </w:r>
      <w:r>
        <w:rPr>
          <w:rFonts w:ascii="宋体" w:hAnsi="宋体" w:eastAsia="宋体" w:cs="宋体"/>
          <w:strike/>
          <w:dstrike w:val="0"/>
          <w:color w:val="auto"/>
          <w:spacing w:val="-3"/>
          <w:sz w:val="24"/>
          <w:szCs w:val="24"/>
          <w:highlight w:val="none"/>
        </w:rPr>
        <w:t>再进行计分。即：</w:t>
      </w:r>
    </w:p>
    <w:p w14:paraId="0BF000FF">
      <w:pPr>
        <w:spacing w:line="218" w:lineRule="auto"/>
        <w:ind w:left="51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a.  </w:t>
      </w:r>
      <w:r>
        <w:rPr>
          <w:rFonts w:ascii="宋体" w:hAnsi="宋体" w:eastAsia="宋体" w:cs="宋体"/>
          <w:strike/>
          <w:dstrike w:val="0"/>
          <w:color w:val="auto"/>
          <w:spacing w:val="-1"/>
          <w:sz w:val="24"/>
          <w:szCs w:val="24"/>
          <w:highlight w:val="none"/>
        </w:rPr>
        <w:t>投标评标价等于评分基准价时，得满分（</w:t>
      </w:r>
      <w:r>
        <w:rPr>
          <w:rFonts w:ascii="Times New Roman" w:hAnsi="Times New Roman" w:eastAsia="Times New Roman" w:cs="Times New Roman"/>
          <w:strike/>
          <w:dstrike w:val="0"/>
          <w:color w:val="auto"/>
          <w:spacing w:val="-1"/>
          <w:sz w:val="24"/>
          <w:szCs w:val="24"/>
          <w:highlight w:val="none"/>
          <w:u w:val="single" w:color="auto"/>
        </w:rPr>
        <w:t xml:space="preserve">  97  </w:t>
      </w:r>
      <w:r>
        <w:rPr>
          <w:rFonts w:ascii="宋体" w:hAnsi="宋体" w:eastAsia="宋体" w:cs="宋体"/>
          <w:strike/>
          <w:dstrike w:val="0"/>
          <w:color w:val="auto"/>
          <w:spacing w:val="-1"/>
          <w:sz w:val="24"/>
          <w:szCs w:val="24"/>
          <w:highlight w:val="none"/>
        </w:rPr>
        <w:t>分）。</w:t>
      </w:r>
    </w:p>
    <w:p w14:paraId="2B45520E">
      <w:pPr>
        <w:spacing w:before="183" w:line="279" w:lineRule="auto"/>
        <w:ind w:left="90" w:right="236" w:firstLine="41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1"/>
          <w:sz w:val="24"/>
          <w:szCs w:val="24"/>
          <w:highlight w:val="none"/>
        </w:rPr>
        <w:t xml:space="preserve">b.  </w:t>
      </w:r>
      <w:r>
        <w:rPr>
          <w:rFonts w:ascii="宋体" w:hAnsi="宋体" w:eastAsia="宋体" w:cs="宋体"/>
          <w:strike/>
          <w:dstrike w:val="0"/>
          <w:color w:val="auto"/>
          <w:spacing w:val="-11"/>
          <w:sz w:val="24"/>
          <w:szCs w:val="24"/>
          <w:highlight w:val="none"/>
        </w:rPr>
        <w:t>投标评标价每低于评分基准价</w:t>
      </w:r>
      <w:r>
        <w:rPr>
          <w:rFonts w:ascii="宋体" w:hAnsi="宋体" w:eastAsia="宋体" w:cs="宋体"/>
          <w:strike/>
          <w:dstrike w:val="0"/>
          <w:color w:val="auto"/>
          <w:spacing w:val="-29"/>
          <w:sz w:val="24"/>
          <w:szCs w:val="24"/>
          <w:highlight w:val="none"/>
        </w:rPr>
        <w:t xml:space="preserve"> </w:t>
      </w:r>
      <w:r>
        <w:rPr>
          <w:rFonts w:ascii="Times New Roman" w:hAnsi="Times New Roman" w:eastAsia="Times New Roman" w:cs="Times New Roman"/>
          <w:strike/>
          <w:dstrike w:val="0"/>
          <w:color w:val="auto"/>
          <w:spacing w:val="-11"/>
          <w:sz w:val="24"/>
          <w:szCs w:val="24"/>
          <w:highlight w:val="none"/>
        </w:rPr>
        <w:t xml:space="preserve">1 </w:t>
      </w:r>
      <w:r>
        <w:rPr>
          <w:rFonts w:ascii="宋体" w:hAnsi="宋体" w:eastAsia="宋体" w:cs="宋体"/>
          <w:strike/>
          <w:dstrike w:val="0"/>
          <w:color w:val="auto"/>
          <w:spacing w:val="-11"/>
          <w:sz w:val="24"/>
          <w:szCs w:val="24"/>
          <w:highlight w:val="none"/>
        </w:rPr>
        <w:t>个百分点，扣</w:t>
      </w:r>
      <w:r>
        <w:rPr>
          <w:rFonts w:ascii="宋体" w:hAnsi="宋体" w:eastAsia="宋体" w:cs="宋体"/>
          <w:strike/>
          <w:dstrike w:val="0"/>
          <w:color w:val="auto"/>
          <w:spacing w:val="-11"/>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1"/>
          <w:sz w:val="24"/>
          <w:szCs w:val="24"/>
          <w:highlight w:val="none"/>
        </w:rPr>
        <w:t>分。（</w:t>
      </w:r>
      <w:r>
        <w:rPr>
          <w:rFonts w:ascii="宋体" w:hAnsi="宋体" w:eastAsia="宋体" w:cs="宋体"/>
          <w:strike/>
          <w:dstrike w:val="0"/>
          <w:color w:val="auto"/>
          <w:spacing w:val="-53"/>
          <w:sz w:val="24"/>
          <w:szCs w:val="24"/>
          <w:highlight w:val="none"/>
        </w:rPr>
        <w:t xml:space="preserve"> </w:t>
      </w:r>
      <w:r>
        <w:rPr>
          <w:rFonts w:ascii="宋体" w:hAnsi="宋体" w:eastAsia="宋体" w:cs="宋体"/>
          <w:i/>
          <w:iCs/>
          <w:strike/>
          <w:dstrike w:val="0"/>
          <w:color w:val="auto"/>
          <w:spacing w:val="-11"/>
          <w:sz w:val="25"/>
          <w:szCs w:val="25"/>
          <w:highlight w:val="none"/>
        </w:rPr>
        <w:t>扣分区间由招标人</w:t>
      </w:r>
      <w:r>
        <w:rPr>
          <w:rFonts w:ascii="宋体" w:hAnsi="宋体" w:eastAsia="宋体" w:cs="宋体"/>
          <w:strike/>
          <w:dstrike w:val="0"/>
          <w:color w:val="auto"/>
          <w:spacing w:val="-56"/>
          <w:sz w:val="25"/>
          <w:szCs w:val="25"/>
          <w:highlight w:val="none"/>
        </w:rPr>
        <w:t xml:space="preserve"> </w:t>
      </w:r>
      <w:r>
        <w:rPr>
          <w:rFonts w:ascii="Times New Roman" w:hAnsi="Times New Roman" w:eastAsia="Times New Roman" w:cs="Times New Roman"/>
          <w:i/>
          <w:iCs/>
          <w:strike/>
          <w:dstrike w:val="0"/>
          <w:color w:val="auto"/>
          <w:spacing w:val="-11"/>
          <w:sz w:val="24"/>
          <w:szCs w:val="24"/>
          <w:highlight w:val="none"/>
        </w:rPr>
        <w:t>0.5~1</w:t>
      </w:r>
      <w:r>
        <w:rPr>
          <w:rFonts w:ascii="Times New Roman" w:hAnsi="Times New Roman" w:eastAsia="Times New Roman" w:cs="Times New Roman"/>
          <w:i/>
          <w:iCs/>
          <w:strike/>
          <w:dstrike w:val="0"/>
          <w:color w:val="auto"/>
          <w:sz w:val="24"/>
          <w:szCs w:val="24"/>
          <w:highlight w:val="none"/>
        </w:rPr>
        <w:t xml:space="preserve"> </w:t>
      </w:r>
      <w:r>
        <w:rPr>
          <w:rFonts w:ascii="宋体" w:hAnsi="宋体" w:eastAsia="宋体" w:cs="宋体"/>
          <w:i/>
          <w:iCs/>
          <w:strike/>
          <w:dstrike w:val="0"/>
          <w:color w:val="auto"/>
          <w:spacing w:val="-15"/>
          <w:sz w:val="25"/>
          <w:szCs w:val="25"/>
          <w:highlight w:val="none"/>
        </w:rPr>
        <w:t>之间自行确定</w:t>
      </w:r>
      <w:r>
        <w:rPr>
          <w:rFonts w:ascii="宋体" w:hAnsi="宋体" w:eastAsia="宋体" w:cs="宋体"/>
          <w:strike/>
          <w:dstrike w:val="0"/>
          <w:color w:val="auto"/>
          <w:spacing w:val="-15"/>
          <w:sz w:val="24"/>
          <w:szCs w:val="24"/>
          <w:highlight w:val="none"/>
        </w:rPr>
        <w:t>）</w:t>
      </w:r>
    </w:p>
    <w:p w14:paraId="6F2645E7">
      <w:pPr>
        <w:spacing w:before="179" w:line="278" w:lineRule="auto"/>
        <w:ind w:left="114" w:right="235" w:firstLine="39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3"/>
          <w:sz w:val="24"/>
          <w:szCs w:val="24"/>
          <w:highlight w:val="none"/>
        </w:rPr>
        <w:t xml:space="preserve">c.  </w:t>
      </w:r>
      <w:r>
        <w:rPr>
          <w:rFonts w:ascii="宋体" w:hAnsi="宋体" w:eastAsia="宋体" w:cs="宋体"/>
          <w:strike/>
          <w:dstrike w:val="0"/>
          <w:color w:val="auto"/>
          <w:spacing w:val="-13"/>
          <w:sz w:val="24"/>
          <w:szCs w:val="24"/>
          <w:highlight w:val="none"/>
        </w:rPr>
        <w:t>投标评标价每高于评分基准价</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strike/>
          <w:dstrike w:val="0"/>
          <w:color w:val="auto"/>
          <w:spacing w:val="-13"/>
          <w:sz w:val="24"/>
          <w:szCs w:val="24"/>
          <w:highlight w:val="none"/>
        </w:rPr>
        <w:t xml:space="preserve">1 </w:t>
      </w:r>
      <w:r>
        <w:rPr>
          <w:rFonts w:ascii="宋体" w:hAnsi="宋体" w:eastAsia="宋体" w:cs="宋体"/>
          <w:strike/>
          <w:dstrike w:val="0"/>
          <w:color w:val="auto"/>
          <w:spacing w:val="-13"/>
          <w:sz w:val="24"/>
          <w:szCs w:val="24"/>
          <w:highlight w:val="none"/>
        </w:rPr>
        <w:t>个百分点，扣</w:t>
      </w:r>
      <w:r>
        <w:rPr>
          <w:rFonts w:ascii="宋体" w:hAnsi="宋体" w:eastAsia="宋体" w:cs="宋体"/>
          <w:strike/>
          <w:dstrike w:val="0"/>
          <w:color w:val="auto"/>
          <w:spacing w:val="-13"/>
          <w:sz w:val="24"/>
          <w:szCs w:val="24"/>
          <w:highlight w:val="none"/>
          <w:u w:val="single" w:color="auto"/>
        </w:rPr>
        <w:t xml:space="preserve">   </w:t>
      </w:r>
      <w:r>
        <w:rPr>
          <w:rFonts w:ascii="宋体" w:hAnsi="宋体" w:eastAsia="宋体" w:cs="宋体"/>
          <w:strike/>
          <w:dstrike w:val="0"/>
          <w:color w:val="auto"/>
          <w:spacing w:val="-107"/>
          <w:sz w:val="24"/>
          <w:szCs w:val="24"/>
          <w:highlight w:val="none"/>
        </w:rPr>
        <w:t xml:space="preserve"> </w:t>
      </w:r>
      <w:r>
        <w:rPr>
          <w:rFonts w:ascii="宋体" w:hAnsi="宋体" w:eastAsia="宋体" w:cs="宋体"/>
          <w:strike/>
          <w:dstrike w:val="0"/>
          <w:color w:val="auto"/>
          <w:spacing w:val="-13"/>
          <w:sz w:val="24"/>
          <w:szCs w:val="24"/>
          <w:highlight w:val="none"/>
        </w:rPr>
        <w:t>分。（</w:t>
      </w:r>
      <w:r>
        <w:rPr>
          <w:rFonts w:ascii="宋体" w:hAnsi="宋体" w:eastAsia="宋体" w:cs="宋体"/>
          <w:strike/>
          <w:dstrike w:val="0"/>
          <w:color w:val="auto"/>
          <w:spacing w:val="-54"/>
          <w:sz w:val="24"/>
          <w:szCs w:val="24"/>
          <w:highlight w:val="none"/>
        </w:rPr>
        <w:t xml:space="preserve"> </w:t>
      </w:r>
      <w:r>
        <w:rPr>
          <w:rFonts w:ascii="宋体" w:hAnsi="宋体" w:eastAsia="宋体" w:cs="宋体"/>
          <w:i/>
          <w:iCs/>
          <w:strike/>
          <w:dstrike w:val="0"/>
          <w:color w:val="auto"/>
          <w:spacing w:val="-13"/>
          <w:sz w:val="25"/>
          <w:szCs w:val="25"/>
          <w:highlight w:val="none"/>
        </w:rPr>
        <w:t>扣分区间由招标人</w:t>
      </w:r>
      <w:r>
        <w:rPr>
          <w:rFonts w:ascii="宋体" w:hAnsi="宋体" w:eastAsia="宋体" w:cs="宋体"/>
          <w:strike/>
          <w:dstrike w:val="0"/>
          <w:color w:val="auto"/>
          <w:spacing w:val="-62"/>
          <w:sz w:val="25"/>
          <w:szCs w:val="25"/>
          <w:highlight w:val="none"/>
        </w:rPr>
        <w:t xml:space="preserve"> </w:t>
      </w:r>
      <w:r>
        <w:rPr>
          <w:rFonts w:ascii="Times New Roman" w:hAnsi="Times New Roman" w:eastAsia="Times New Roman" w:cs="Times New Roman"/>
          <w:i/>
          <w:iCs/>
          <w:strike/>
          <w:dstrike w:val="0"/>
          <w:color w:val="auto"/>
          <w:spacing w:val="-13"/>
          <w:sz w:val="24"/>
          <w:szCs w:val="24"/>
          <w:highlight w:val="none"/>
        </w:rPr>
        <w:t>1~1.5</w:t>
      </w:r>
      <w:r>
        <w:rPr>
          <w:rFonts w:ascii="Times New Roman" w:hAnsi="Times New Roman" w:eastAsia="Times New Roman" w:cs="Times New Roman"/>
          <w:i/>
          <w:iCs/>
          <w:strike/>
          <w:dstrike w:val="0"/>
          <w:color w:val="auto"/>
          <w:sz w:val="24"/>
          <w:szCs w:val="24"/>
          <w:highlight w:val="none"/>
        </w:rPr>
        <w:t xml:space="preserve"> </w:t>
      </w:r>
      <w:r>
        <w:rPr>
          <w:rFonts w:ascii="宋体" w:hAnsi="宋体" w:eastAsia="宋体" w:cs="宋体"/>
          <w:i/>
          <w:iCs/>
          <w:strike/>
          <w:dstrike w:val="0"/>
          <w:color w:val="auto"/>
          <w:spacing w:val="-15"/>
          <w:sz w:val="25"/>
          <w:szCs w:val="25"/>
          <w:highlight w:val="none"/>
        </w:rPr>
        <w:t>之间自行确定，且大于等于</w:t>
      </w:r>
      <w:r>
        <w:rPr>
          <w:rFonts w:ascii="宋体" w:hAnsi="宋体" w:eastAsia="宋体" w:cs="宋体"/>
          <w:strike/>
          <w:dstrike w:val="0"/>
          <w:color w:val="auto"/>
          <w:spacing w:val="-32"/>
          <w:sz w:val="25"/>
          <w:szCs w:val="25"/>
          <w:highlight w:val="none"/>
        </w:rPr>
        <w:t xml:space="preserve"> </w:t>
      </w:r>
      <w:r>
        <w:rPr>
          <w:rFonts w:ascii="Times New Roman" w:hAnsi="Times New Roman" w:eastAsia="Times New Roman" w:cs="Times New Roman"/>
          <w:i/>
          <w:iCs/>
          <w:strike/>
          <w:dstrike w:val="0"/>
          <w:color w:val="auto"/>
          <w:spacing w:val="-15"/>
          <w:sz w:val="24"/>
          <w:szCs w:val="24"/>
          <w:highlight w:val="none"/>
        </w:rPr>
        <w:t>b</w:t>
      </w:r>
      <w:r>
        <w:rPr>
          <w:rFonts w:ascii="Times New Roman" w:hAnsi="Times New Roman" w:eastAsia="Times New Roman" w:cs="Times New Roman"/>
          <w:i/>
          <w:iCs/>
          <w:strike/>
          <w:dstrike w:val="0"/>
          <w:color w:val="auto"/>
          <w:spacing w:val="47"/>
          <w:sz w:val="24"/>
          <w:szCs w:val="24"/>
          <w:highlight w:val="none"/>
        </w:rPr>
        <w:t xml:space="preserve"> </w:t>
      </w:r>
      <w:r>
        <w:rPr>
          <w:rFonts w:ascii="宋体" w:hAnsi="宋体" w:eastAsia="宋体" w:cs="宋体"/>
          <w:i/>
          <w:iCs/>
          <w:strike/>
          <w:dstrike w:val="0"/>
          <w:color w:val="auto"/>
          <w:spacing w:val="-15"/>
          <w:sz w:val="25"/>
          <w:szCs w:val="25"/>
          <w:highlight w:val="none"/>
        </w:rPr>
        <w:t>款扣分值</w:t>
      </w:r>
      <w:r>
        <w:rPr>
          <w:rFonts w:ascii="宋体" w:hAnsi="宋体" w:eastAsia="宋体" w:cs="宋体"/>
          <w:strike/>
          <w:dstrike w:val="0"/>
          <w:color w:val="auto"/>
          <w:spacing w:val="-73"/>
          <w:sz w:val="25"/>
          <w:szCs w:val="25"/>
          <w:highlight w:val="none"/>
        </w:rPr>
        <w:t xml:space="preserve"> </w:t>
      </w:r>
      <w:r>
        <w:rPr>
          <w:rFonts w:ascii="Times New Roman" w:hAnsi="Times New Roman" w:eastAsia="Times New Roman" w:cs="Times New Roman"/>
          <w:i/>
          <w:iCs/>
          <w:strike/>
          <w:dstrike w:val="0"/>
          <w:color w:val="auto"/>
          <w:spacing w:val="-15"/>
          <w:sz w:val="24"/>
          <w:szCs w:val="24"/>
          <w:highlight w:val="none"/>
        </w:rPr>
        <w:t>0.5</w:t>
      </w:r>
      <w:r>
        <w:rPr>
          <w:rFonts w:ascii="宋体" w:hAnsi="宋体" w:eastAsia="宋体" w:cs="宋体"/>
          <w:strike/>
          <w:dstrike w:val="0"/>
          <w:color w:val="auto"/>
          <w:spacing w:val="-15"/>
          <w:sz w:val="24"/>
          <w:szCs w:val="24"/>
          <w:highlight w:val="none"/>
        </w:rPr>
        <w:t>）</w:t>
      </w:r>
    </w:p>
    <w:p w14:paraId="24A6FB61">
      <w:pPr>
        <w:spacing w:before="180" w:line="354" w:lineRule="auto"/>
        <w:ind w:left="65" w:right="235" w:firstLine="54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以上评分计算过程保留小数</w:t>
      </w:r>
      <w:r>
        <w:rPr>
          <w:rFonts w:ascii="Times New Roman" w:hAnsi="Times New Roman" w:eastAsia="Times New Roman" w:cs="Times New Roman"/>
          <w:strike/>
          <w:dstrike w:val="0"/>
          <w:color w:val="auto"/>
          <w:spacing w:val="-5"/>
          <w:sz w:val="24"/>
          <w:szCs w:val="24"/>
          <w:highlight w:val="none"/>
        </w:rPr>
        <w:t>3</w:t>
      </w:r>
      <w:r>
        <w:rPr>
          <w:rFonts w:ascii="宋体" w:hAnsi="宋体" w:eastAsia="宋体" w:cs="宋体"/>
          <w:strike/>
          <w:dstrike w:val="0"/>
          <w:color w:val="auto"/>
          <w:spacing w:val="-5"/>
          <w:sz w:val="24"/>
          <w:szCs w:val="24"/>
          <w:highlight w:val="none"/>
        </w:rPr>
        <w:t>位，第</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位四舍五入，最终结果保留小数</w:t>
      </w:r>
      <w:r>
        <w:rPr>
          <w:rFonts w:ascii="Times New Roman" w:hAnsi="Times New Roman" w:eastAsia="Times New Roman" w:cs="Times New Roman"/>
          <w:strike/>
          <w:dstrike w:val="0"/>
          <w:color w:val="auto"/>
          <w:spacing w:val="-5"/>
          <w:sz w:val="24"/>
          <w:szCs w:val="24"/>
          <w:highlight w:val="none"/>
        </w:rPr>
        <w:t>2</w:t>
      </w:r>
      <w:r>
        <w:rPr>
          <w:rFonts w:ascii="宋体" w:hAnsi="宋体" w:eastAsia="宋体" w:cs="宋体"/>
          <w:strike/>
          <w:dstrike w:val="0"/>
          <w:color w:val="auto"/>
          <w:spacing w:val="-5"/>
          <w:sz w:val="24"/>
          <w:szCs w:val="24"/>
          <w:highlight w:val="none"/>
        </w:rPr>
        <w:t>位</w:t>
      </w:r>
      <w:r>
        <w:rPr>
          <w:rFonts w:ascii="宋体" w:hAnsi="宋体" w:eastAsia="宋体" w:cs="宋体"/>
          <w:strike/>
          <w:dstrike w:val="0"/>
          <w:color w:val="auto"/>
          <w:spacing w:val="-6"/>
          <w:sz w:val="24"/>
          <w:szCs w:val="24"/>
          <w:highlight w:val="none"/>
        </w:rPr>
        <w:t>，第</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四舍五入，评分不足一个百分点时，使用直线插入法</w:t>
      </w:r>
      <w:r>
        <w:rPr>
          <w:rFonts w:ascii="宋体" w:hAnsi="宋体" w:eastAsia="宋体" w:cs="宋体"/>
          <w:strike/>
          <w:dstrike w:val="0"/>
          <w:color w:val="auto"/>
          <w:spacing w:val="-10"/>
          <w:sz w:val="24"/>
          <w:szCs w:val="24"/>
          <w:highlight w:val="none"/>
        </w:rPr>
        <w:t>计算。商务报价评分最低分</w:t>
      </w:r>
      <w:r>
        <w:rPr>
          <w:rFonts w:ascii="宋体" w:hAnsi="宋体" w:eastAsia="宋体" w:cs="宋体"/>
          <w:strike/>
          <w:dstrike w:val="0"/>
          <w:color w:val="auto"/>
          <w:spacing w:val="-10"/>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0"/>
          <w:sz w:val="24"/>
          <w:szCs w:val="24"/>
          <w:highlight w:val="none"/>
        </w:rPr>
        <w:t>分</w:t>
      </w:r>
      <w:r>
        <w:rPr>
          <w:rFonts w:ascii="宋体" w:hAnsi="宋体" w:eastAsia="宋体" w:cs="宋体"/>
          <w:strike/>
          <w:dstrike w:val="0"/>
          <w:color w:val="auto"/>
          <w:sz w:val="24"/>
          <w:szCs w:val="24"/>
          <w:highlight w:val="none"/>
        </w:rPr>
        <w:t xml:space="preserve"> </w:t>
      </w:r>
      <w:r>
        <w:rPr>
          <w:rFonts w:ascii="宋体" w:hAnsi="宋体" w:eastAsia="宋体" w:cs="宋体"/>
          <w:i/>
          <w:iCs/>
          <w:strike/>
          <w:dstrike w:val="0"/>
          <w:color w:val="auto"/>
          <w:spacing w:val="-7"/>
          <w:sz w:val="25"/>
          <w:szCs w:val="25"/>
          <w:highlight w:val="none"/>
        </w:rPr>
        <w:t>（不得低于</w:t>
      </w:r>
      <w:r>
        <w:rPr>
          <w:rFonts w:ascii="Times New Roman" w:hAnsi="Times New Roman" w:eastAsia="Times New Roman" w:cs="Times New Roman"/>
          <w:i/>
          <w:iCs/>
          <w:strike/>
          <w:dstrike w:val="0"/>
          <w:color w:val="auto"/>
          <w:spacing w:val="-7"/>
          <w:sz w:val="24"/>
          <w:szCs w:val="24"/>
          <w:highlight w:val="none"/>
        </w:rPr>
        <w:t>50</w:t>
      </w:r>
      <w:r>
        <w:rPr>
          <w:rFonts w:ascii="宋体" w:hAnsi="宋体" w:eastAsia="宋体" w:cs="宋体"/>
          <w:i/>
          <w:iCs/>
          <w:strike/>
          <w:dstrike w:val="0"/>
          <w:color w:val="auto"/>
          <w:spacing w:val="-7"/>
          <w:sz w:val="25"/>
          <w:szCs w:val="25"/>
          <w:highlight w:val="none"/>
        </w:rPr>
        <w:t>分）</w:t>
      </w:r>
      <w:r>
        <w:rPr>
          <w:rFonts w:ascii="宋体" w:hAnsi="宋体" w:eastAsia="宋体" w:cs="宋体"/>
          <w:strike/>
          <w:dstrike w:val="0"/>
          <w:color w:val="auto"/>
          <w:spacing w:val="-7"/>
          <w:sz w:val="24"/>
          <w:szCs w:val="24"/>
          <w:highlight w:val="none"/>
        </w:rPr>
        <w:t>。</w:t>
      </w:r>
    </w:p>
    <w:p w14:paraId="66783C48">
      <w:pPr>
        <w:spacing w:line="223" w:lineRule="auto"/>
        <w:ind w:left="39"/>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4.6  </w:t>
      </w:r>
      <w:r>
        <w:rPr>
          <w:rFonts w:ascii="楷体" w:hAnsi="楷体" w:eastAsia="楷体" w:cs="楷体"/>
          <w:b/>
          <w:bCs/>
          <w:strike/>
          <w:dstrike w:val="0"/>
          <w:color w:val="auto"/>
          <w:spacing w:val="-2"/>
          <w:sz w:val="24"/>
          <w:szCs w:val="24"/>
          <w:highlight w:val="none"/>
        </w:rPr>
        <w:t>投标文件的资信评审</w:t>
      </w:r>
    </w:p>
    <w:p w14:paraId="06D98C11">
      <w:pPr>
        <w:spacing w:before="177" w:line="359" w:lineRule="auto"/>
        <w:ind w:left="63" w:right="236" w:firstLine="47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投标文件的资信评审包括投标人的诚信、企业信用等级。</w:t>
      </w:r>
      <w:r>
        <w:rPr>
          <w:rFonts w:ascii="宋体" w:hAnsi="宋体" w:eastAsia="宋体" w:cs="宋体"/>
          <w:strike/>
          <w:dstrike w:val="0"/>
          <w:color w:val="auto"/>
          <w:spacing w:val="-4"/>
          <w:sz w:val="24"/>
          <w:szCs w:val="24"/>
          <w:highlight w:val="none"/>
        </w:rPr>
        <w:t>评标委员会全体成员查</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阅投标文件及相关证明材料并进行集体讨论后</w:t>
      </w:r>
      <w:r>
        <w:rPr>
          <w:rFonts w:ascii="宋体" w:hAnsi="宋体" w:eastAsia="宋体" w:cs="宋体"/>
          <w:strike/>
          <w:dstrike w:val="0"/>
          <w:color w:val="auto"/>
          <w:spacing w:val="-3"/>
          <w:sz w:val="24"/>
          <w:szCs w:val="24"/>
          <w:highlight w:val="none"/>
        </w:rPr>
        <w:t>统一评分。</w:t>
      </w:r>
    </w:p>
    <w:p w14:paraId="56AAB42F">
      <w:pPr>
        <w:spacing w:before="1" w:line="218" w:lineRule="auto"/>
        <w:ind w:left="51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 投标人诚信（采用扣分法，扣分不设分值限定，以实际次数扣分</w:t>
      </w:r>
      <w:r>
        <w:rPr>
          <w:rFonts w:ascii="宋体" w:hAnsi="宋体" w:eastAsia="宋体" w:cs="宋体"/>
          <w:strike/>
          <w:dstrike w:val="0"/>
          <w:color w:val="auto"/>
          <w:spacing w:val="4"/>
          <w:sz w:val="24"/>
          <w:szCs w:val="24"/>
          <w:highlight w:val="none"/>
        </w:rPr>
        <w:t>）：</w:t>
      </w:r>
    </w:p>
    <w:p w14:paraId="583C06F6">
      <w:pPr>
        <w:spacing w:before="183" w:line="359" w:lineRule="auto"/>
        <w:ind w:left="41" w:right="234" w:firstLine="48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投标人在投标截止时间前被浙江省发展改革委作出行政处罚决定且在公告期限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8"/>
          <w:sz w:val="24"/>
          <w:szCs w:val="24"/>
          <w:highlight w:val="none"/>
        </w:rPr>
        <w:t>内的，每次扣</w:t>
      </w:r>
      <w:r>
        <w:rPr>
          <w:rFonts w:ascii="Times New Roman" w:hAnsi="Times New Roman" w:eastAsia="Times New Roman" w:cs="Times New Roman"/>
          <w:strike/>
          <w:dstrike w:val="0"/>
          <w:color w:val="auto"/>
          <w:spacing w:val="-18"/>
          <w:sz w:val="24"/>
          <w:szCs w:val="24"/>
          <w:highlight w:val="none"/>
        </w:rPr>
        <w:t>1</w:t>
      </w:r>
      <w:r>
        <w:rPr>
          <w:rFonts w:ascii="宋体" w:hAnsi="宋体" w:eastAsia="宋体" w:cs="宋体"/>
          <w:strike/>
          <w:dstrike w:val="0"/>
          <w:color w:val="auto"/>
          <w:spacing w:val="-18"/>
          <w:sz w:val="24"/>
          <w:szCs w:val="24"/>
          <w:highlight w:val="none"/>
        </w:rPr>
        <w:t>分；以浙江政务服务网行政处罚结果信息公开内容为准，时间以省发展改革</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4"/>
          <w:sz w:val="24"/>
          <w:szCs w:val="24"/>
          <w:highlight w:val="none"/>
        </w:rPr>
        <w:t>委作出处理决定的时间为准。</w:t>
      </w:r>
    </w:p>
    <w:p w14:paraId="2763DC62">
      <w:pPr>
        <w:spacing w:before="1" w:line="219" w:lineRule="auto"/>
        <w:ind w:left="518"/>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、企业信用等级最高评分为</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分，具体分值见下表：</w:t>
      </w:r>
    </w:p>
    <w:p w14:paraId="4273D18D">
      <w:pPr>
        <w:spacing w:line="145" w:lineRule="exact"/>
        <w:rPr>
          <w:strike/>
          <w:dstrike w:val="0"/>
          <w:color w:val="auto"/>
          <w:highlight w:val="none"/>
        </w:rPr>
      </w:pPr>
    </w:p>
    <w:tbl>
      <w:tblPr>
        <w:tblStyle w:val="16"/>
        <w:tblW w:w="904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7218"/>
        <w:gridCol w:w="1107"/>
      </w:tblGrid>
      <w:tr w14:paraId="0DCCE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7" w:type="dxa"/>
            <w:tcBorders>
              <w:top w:val="single" w:color="000000" w:sz="6" w:space="0"/>
              <w:left w:val="single" w:color="000000" w:sz="6" w:space="0"/>
            </w:tcBorders>
            <w:vAlign w:val="top"/>
          </w:tcPr>
          <w:p w14:paraId="4C7CFA32">
            <w:pPr>
              <w:pStyle w:val="17"/>
              <w:spacing w:before="127" w:line="221" w:lineRule="auto"/>
              <w:ind w:left="145"/>
              <w:rPr>
                <w:strike/>
                <w:dstrike w:val="0"/>
                <w:color w:val="auto"/>
                <w:sz w:val="21"/>
                <w:szCs w:val="21"/>
                <w:highlight w:val="none"/>
              </w:rPr>
            </w:pPr>
            <w:r>
              <w:rPr>
                <w:strike/>
                <w:dstrike w:val="0"/>
                <w:color w:val="auto"/>
                <w:spacing w:val="-2"/>
                <w:sz w:val="21"/>
                <w:szCs w:val="21"/>
                <w:highlight w:val="none"/>
              </w:rPr>
              <w:t>序号</w:t>
            </w:r>
          </w:p>
        </w:tc>
        <w:tc>
          <w:tcPr>
            <w:tcW w:w="7218" w:type="dxa"/>
            <w:tcBorders>
              <w:top w:val="single" w:color="000000" w:sz="6" w:space="0"/>
            </w:tcBorders>
            <w:vAlign w:val="top"/>
          </w:tcPr>
          <w:p w14:paraId="6B75DB86">
            <w:pPr>
              <w:pStyle w:val="17"/>
              <w:spacing w:before="126" w:line="220" w:lineRule="auto"/>
              <w:ind w:left="3219"/>
              <w:rPr>
                <w:strike/>
                <w:dstrike w:val="0"/>
                <w:color w:val="auto"/>
                <w:sz w:val="21"/>
                <w:szCs w:val="21"/>
                <w:highlight w:val="none"/>
              </w:rPr>
            </w:pPr>
            <w:r>
              <w:rPr>
                <w:strike/>
                <w:dstrike w:val="0"/>
                <w:color w:val="auto"/>
                <w:spacing w:val="-17"/>
                <w:sz w:val="21"/>
                <w:szCs w:val="21"/>
                <w:highlight w:val="none"/>
              </w:rPr>
              <w:t>内</w:t>
            </w:r>
            <w:r>
              <w:rPr>
                <w:strike/>
                <w:dstrike w:val="0"/>
                <w:color w:val="auto"/>
                <w:spacing w:val="2"/>
                <w:sz w:val="21"/>
                <w:szCs w:val="21"/>
                <w:highlight w:val="none"/>
              </w:rPr>
              <w:t xml:space="preserve">    </w:t>
            </w:r>
            <w:r>
              <w:rPr>
                <w:strike/>
                <w:dstrike w:val="0"/>
                <w:color w:val="auto"/>
                <w:spacing w:val="-17"/>
                <w:sz w:val="21"/>
                <w:szCs w:val="21"/>
                <w:highlight w:val="none"/>
              </w:rPr>
              <w:t>容</w:t>
            </w:r>
          </w:p>
        </w:tc>
        <w:tc>
          <w:tcPr>
            <w:tcW w:w="1107" w:type="dxa"/>
            <w:tcBorders>
              <w:top w:val="single" w:color="000000" w:sz="6" w:space="0"/>
              <w:right w:val="single" w:color="000000" w:sz="6" w:space="0"/>
            </w:tcBorders>
            <w:vAlign w:val="top"/>
          </w:tcPr>
          <w:p w14:paraId="403920DA">
            <w:pPr>
              <w:pStyle w:val="17"/>
              <w:spacing w:before="126" w:line="220" w:lineRule="auto"/>
              <w:ind w:left="352"/>
              <w:rPr>
                <w:strike/>
                <w:dstrike w:val="0"/>
                <w:color w:val="auto"/>
                <w:sz w:val="21"/>
                <w:szCs w:val="21"/>
                <w:highlight w:val="none"/>
              </w:rPr>
            </w:pPr>
            <w:r>
              <w:rPr>
                <w:strike/>
                <w:dstrike w:val="0"/>
                <w:color w:val="auto"/>
                <w:spacing w:val="-3"/>
                <w:sz w:val="21"/>
                <w:szCs w:val="21"/>
                <w:highlight w:val="none"/>
              </w:rPr>
              <w:t>得分</w:t>
            </w:r>
          </w:p>
        </w:tc>
      </w:tr>
      <w:tr w14:paraId="37073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7" w:type="dxa"/>
            <w:tcBorders>
              <w:left w:val="single" w:color="000000" w:sz="6" w:space="0"/>
            </w:tcBorders>
            <w:vAlign w:val="top"/>
          </w:tcPr>
          <w:p w14:paraId="44A8E4B5">
            <w:pPr>
              <w:spacing w:line="279" w:lineRule="auto"/>
              <w:rPr>
                <w:rFonts w:ascii="Arial"/>
                <w:strike/>
                <w:dstrike w:val="0"/>
                <w:color w:val="auto"/>
                <w:sz w:val="21"/>
                <w:highlight w:val="none"/>
              </w:rPr>
            </w:pPr>
          </w:p>
          <w:p w14:paraId="1F60FB03">
            <w:pPr>
              <w:spacing w:before="60" w:line="188" w:lineRule="auto"/>
              <w:ind w:left="321"/>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7218" w:type="dxa"/>
            <w:vAlign w:val="top"/>
          </w:tcPr>
          <w:p w14:paraId="7B00997A">
            <w:pPr>
              <w:pStyle w:val="17"/>
              <w:spacing w:before="33" w:line="239" w:lineRule="auto"/>
              <w:ind w:left="107" w:right="183" w:firstLine="4"/>
              <w:rPr>
                <w:strike/>
                <w:dstrike w:val="0"/>
                <w:color w:val="auto"/>
                <w:sz w:val="21"/>
                <w:szCs w:val="21"/>
                <w:highlight w:val="none"/>
              </w:rPr>
            </w:pPr>
            <w:r>
              <w:rPr>
                <w:strike/>
                <w:dstrike w:val="0"/>
                <w:color w:val="auto"/>
                <w:sz w:val="21"/>
                <w:szCs w:val="21"/>
                <w:highlight w:val="none"/>
              </w:rPr>
              <w:t>企业信用等级（由招标人自主选用全国水利建</w:t>
            </w:r>
            <w:r>
              <w:rPr>
                <w:strike/>
                <w:dstrike w:val="0"/>
                <w:color w:val="auto"/>
                <w:spacing w:val="-1"/>
                <w:sz w:val="21"/>
                <w:szCs w:val="21"/>
                <w:highlight w:val="none"/>
              </w:rPr>
              <w:t>设市场监管服务平台公布的企</w:t>
            </w:r>
            <w:r>
              <w:rPr>
                <w:strike/>
                <w:dstrike w:val="0"/>
                <w:color w:val="auto"/>
                <w:sz w:val="21"/>
                <w:szCs w:val="21"/>
                <w:highlight w:val="none"/>
              </w:rPr>
              <w:t xml:space="preserve"> 业信用评价等级（施工类）或浙江省水利建设市场</w:t>
            </w:r>
            <w:r>
              <w:rPr>
                <w:strike/>
                <w:dstrike w:val="0"/>
                <w:color w:val="auto"/>
                <w:spacing w:val="-1"/>
                <w:sz w:val="21"/>
                <w:szCs w:val="21"/>
                <w:highlight w:val="none"/>
              </w:rPr>
              <w:t>信用评价等级（施工</w:t>
            </w:r>
          </w:p>
          <w:p w14:paraId="3E351CB9">
            <w:pPr>
              <w:pStyle w:val="17"/>
              <w:spacing w:line="206" w:lineRule="auto"/>
              <w:ind w:left="107"/>
              <w:rPr>
                <w:strike/>
                <w:dstrike w:val="0"/>
                <w:color w:val="auto"/>
                <w:sz w:val="21"/>
                <w:szCs w:val="21"/>
                <w:highlight w:val="none"/>
              </w:rPr>
            </w:pPr>
            <w:r>
              <w:rPr>
                <w:strike/>
                <w:dstrike w:val="0"/>
                <w:color w:val="auto"/>
                <w:spacing w:val="-1"/>
                <w:sz w:val="21"/>
                <w:szCs w:val="21"/>
                <w:highlight w:val="none"/>
              </w:rPr>
              <w:t>类），并在此予以明确，本项最高得</w:t>
            </w:r>
            <w:r>
              <w:rPr>
                <w:rFonts w:ascii="Times New Roman" w:hAnsi="Times New Roman" w:eastAsia="Times New Roman" w:cs="Times New Roman"/>
                <w:strike/>
                <w:dstrike w:val="0"/>
                <w:color w:val="auto"/>
                <w:spacing w:val="-1"/>
                <w:sz w:val="21"/>
                <w:szCs w:val="21"/>
                <w:highlight w:val="none"/>
              </w:rPr>
              <w:t>3</w:t>
            </w:r>
            <w:r>
              <w:rPr>
                <w:strike/>
                <w:dstrike w:val="0"/>
                <w:color w:val="auto"/>
                <w:spacing w:val="-1"/>
                <w:sz w:val="21"/>
                <w:szCs w:val="21"/>
                <w:highlight w:val="none"/>
              </w:rPr>
              <w:t>分。）</w:t>
            </w:r>
          </w:p>
        </w:tc>
        <w:tc>
          <w:tcPr>
            <w:tcW w:w="1107" w:type="dxa"/>
            <w:tcBorders>
              <w:right w:val="single" w:color="000000" w:sz="6" w:space="0"/>
            </w:tcBorders>
            <w:vAlign w:val="top"/>
          </w:tcPr>
          <w:p w14:paraId="4DCD5854">
            <w:pPr>
              <w:spacing w:line="279" w:lineRule="auto"/>
              <w:rPr>
                <w:rFonts w:ascii="Arial"/>
                <w:strike/>
                <w:dstrike w:val="0"/>
                <w:color w:val="auto"/>
                <w:sz w:val="21"/>
                <w:highlight w:val="none"/>
              </w:rPr>
            </w:pPr>
          </w:p>
          <w:p w14:paraId="70D2D1E7">
            <w:pPr>
              <w:spacing w:before="60" w:line="188" w:lineRule="auto"/>
              <w:ind w:left="43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3.0</w:t>
            </w:r>
          </w:p>
        </w:tc>
      </w:tr>
      <w:tr w14:paraId="1B0698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17" w:type="dxa"/>
            <w:tcBorders>
              <w:left w:val="single" w:color="000000" w:sz="6" w:space="0"/>
            </w:tcBorders>
            <w:vAlign w:val="top"/>
          </w:tcPr>
          <w:p w14:paraId="71D18B46">
            <w:pPr>
              <w:pStyle w:val="17"/>
              <w:spacing w:before="123" w:line="232" w:lineRule="auto"/>
              <w:ind w:left="116"/>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1</w:t>
            </w:r>
            <w:r>
              <w:rPr>
                <w:strike/>
                <w:dstrike w:val="0"/>
                <w:color w:val="auto"/>
                <w:spacing w:val="-5"/>
                <w:sz w:val="21"/>
                <w:szCs w:val="21"/>
                <w:highlight w:val="none"/>
              </w:rPr>
              <w:t>）</w:t>
            </w:r>
          </w:p>
        </w:tc>
        <w:tc>
          <w:tcPr>
            <w:tcW w:w="7218" w:type="dxa"/>
            <w:vAlign w:val="top"/>
          </w:tcPr>
          <w:p w14:paraId="61250FD1">
            <w:pPr>
              <w:pStyle w:val="17"/>
              <w:spacing w:before="123"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1107" w:type="dxa"/>
            <w:tcBorders>
              <w:right w:val="single" w:color="000000" w:sz="6" w:space="0"/>
            </w:tcBorders>
            <w:vAlign w:val="top"/>
          </w:tcPr>
          <w:p w14:paraId="01537529">
            <w:pPr>
              <w:rPr>
                <w:rFonts w:ascii="Arial"/>
                <w:strike/>
                <w:dstrike w:val="0"/>
                <w:color w:val="auto"/>
                <w:sz w:val="21"/>
                <w:highlight w:val="none"/>
              </w:rPr>
            </w:pPr>
          </w:p>
        </w:tc>
      </w:tr>
      <w:tr w14:paraId="79B20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7" w:type="dxa"/>
            <w:tcBorders>
              <w:left w:val="single" w:color="000000" w:sz="6" w:space="0"/>
            </w:tcBorders>
            <w:vAlign w:val="top"/>
          </w:tcPr>
          <w:p w14:paraId="0CAABF6A">
            <w:pPr>
              <w:rPr>
                <w:rFonts w:ascii="Arial"/>
                <w:strike/>
                <w:dstrike w:val="0"/>
                <w:color w:val="auto"/>
                <w:sz w:val="21"/>
                <w:highlight w:val="none"/>
              </w:rPr>
            </w:pPr>
          </w:p>
        </w:tc>
        <w:tc>
          <w:tcPr>
            <w:tcW w:w="7218" w:type="dxa"/>
            <w:vAlign w:val="top"/>
          </w:tcPr>
          <w:p w14:paraId="73B29F8B">
            <w:pPr>
              <w:pStyle w:val="17"/>
              <w:spacing w:before="124"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1107" w:type="dxa"/>
            <w:tcBorders>
              <w:right w:val="single" w:color="000000" w:sz="6" w:space="0"/>
            </w:tcBorders>
            <w:vAlign w:val="top"/>
          </w:tcPr>
          <w:p w14:paraId="2E5EF5AC">
            <w:pPr>
              <w:spacing w:before="161" w:line="188" w:lineRule="auto"/>
              <w:ind w:left="43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3.0</w:t>
            </w:r>
          </w:p>
        </w:tc>
      </w:tr>
      <w:tr w14:paraId="53D39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7" w:type="dxa"/>
            <w:tcBorders>
              <w:left w:val="single" w:color="000000" w:sz="6" w:space="0"/>
            </w:tcBorders>
            <w:vAlign w:val="top"/>
          </w:tcPr>
          <w:p w14:paraId="244B0755">
            <w:pPr>
              <w:rPr>
                <w:rFonts w:ascii="Arial"/>
                <w:strike/>
                <w:dstrike w:val="0"/>
                <w:color w:val="auto"/>
                <w:sz w:val="21"/>
                <w:highlight w:val="none"/>
              </w:rPr>
            </w:pPr>
          </w:p>
        </w:tc>
        <w:tc>
          <w:tcPr>
            <w:tcW w:w="7218" w:type="dxa"/>
            <w:vAlign w:val="top"/>
          </w:tcPr>
          <w:p w14:paraId="7F67E90B">
            <w:pPr>
              <w:pStyle w:val="17"/>
              <w:spacing w:before="124"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1107" w:type="dxa"/>
            <w:tcBorders>
              <w:right w:val="single" w:color="000000" w:sz="6" w:space="0"/>
            </w:tcBorders>
            <w:vAlign w:val="top"/>
          </w:tcPr>
          <w:p w14:paraId="37FA2E82">
            <w:pPr>
              <w:spacing w:before="161" w:line="188" w:lineRule="auto"/>
              <w:ind w:left="42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2.5</w:t>
            </w:r>
          </w:p>
        </w:tc>
      </w:tr>
      <w:tr w14:paraId="28609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17" w:type="dxa"/>
            <w:tcBorders>
              <w:left w:val="single" w:color="000000" w:sz="6" w:space="0"/>
            </w:tcBorders>
            <w:vAlign w:val="top"/>
          </w:tcPr>
          <w:p w14:paraId="461FD987">
            <w:pPr>
              <w:rPr>
                <w:rFonts w:ascii="Arial"/>
                <w:strike/>
                <w:dstrike w:val="0"/>
                <w:color w:val="auto"/>
                <w:sz w:val="21"/>
                <w:highlight w:val="none"/>
              </w:rPr>
            </w:pPr>
          </w:p>
        </w:tc>
        <w:tc>
          <w:tcPr>
            <w:tcW w:w="7218" w:type="dxa"/>
            <w:vAlign w:val="top"/>
          </w:tcPr>
          <w:p w14:paraId="33AD5152">
            <w:pPr>
              <w:pStyle w:val="17"/>
              <w:spacing w:before="125"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C</w:t>
            </w:r>
            <w:r>
              <w:rPr>
                <w:strike/>
                <w:dstrike w:val="0"/>
                <w:color w:val="auto"/>
                <w:spacing w:val="-1"/>
                <w:sz w:val="21"/>
                <w:szCs w:val="21"/>
                <w:highlight w:val="none"/>
              </w:rPr>
              <w:t>）</w:t>
            </w:r>
            <w:r>
              <w:rPr>
                <w:rFonts w:ascii="Times New Roman" w:hAnsi="Times New Roman" w:eastAsia="Times New Roman" w:cs="Times New Roman"/>
                <w:strike/>
                <w:dstrike w:val="0"/>
                <w:color w:val="auto"/>
                <w:spacing w:val="-1"/>
                <w:sz w:val="21"/>
                <w:szCs w:val="21"/>
                <w:highlight w:val="none"/>
              </w:rPr>
              <w:t>1.0</w:t>
            </w:r>
            <w:r>
              <w:rPr>
                <w:strike/>
                <w:dstrike w:val="0"/>
                <w:color w:val="auto"/>
                <w:spacing w:val="-1"/>
                <w:sz w:val="21"/>
                <w:szCs w:val="21"/>
                <w:highlight w:val="none"/>
              </w:rPr>
              <w:t>分</w:t>
            </w:r>
          </w:p>
        </w:tc>
        <w:tc>
          <w:tcPr>
            <w:tcW w:w="1107" w:type="dxa"/>
            <w:tcBorders>
              <w:right w:val="single" w:color="000000" w:sz="6" w:space="0"/>
            </w:tcBorders>
            <w:vAlign w:val="top"/>
          </w:tcPr>
          <w:p w14:paraId="21BEAA0E">
            <w:pPr>
              <w:spacing w:before="160" w:line="188" w:lineRule="auto"/>
              <w:ind w:left="44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5"/>
                <w:sz w:val="21"/>
                <w:szCs w:val="21"/>
                <w:highlight w:val="none"/>
              </w:rPr>
              <w:t>1.0</w:t>
            </w:r>
          </w:p>
        </w:tc>
      </w:tr>
      <w:tr w14:paraId="02FE4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7" w:type="dxa"/>
            <w:tcBorders>
              <w:left w:val="single" w:color="000000" w:sz="6" w:space="0"/>
            </w:tcBorders>
            <w:vAlign w:val="top"/>
          </w:tcPr>
          <w:p w14:paraId="4F75DD78">
            <w:pPr>
              <w:rPr>
                <w:rFonts w:ascii="Arial"/>
                <w:strike/>
                <w:dstrike w:val="0"/>
                <w:color w:val="auto"/>
                <w:sz w:val="21"/>
                <w:highlight w:val="none"/>
              </w:rPr>
            </w:pPr>
          </w:p>
        </w:tc>
        <w:tc>
          <w:tcPr>
            <w:tcW w:w="7218" w:type="dxa"/>
            <w:vAlign w:val="top"/>
          </w:tcPr>
          <w:p w14:paraId="1003C281">
            <w:pPr>
              <w:pStyle w:val="17"/>
              <w:spacing w:before="125"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1107" w:type="dxa"/>
            <w:tcBorders>
              <w:right w:val="single" w:color="000000" w:sz="6" w:space="0"/>
            </w:tcBorders>
            <w:vAlign w:val="top"/>
          </w:tcPr>
          <w:p w14:paraId="5DC0D174">
            <w:pPr>
              <w:spacing w:before="162" w:line="188" w:lineRule="auto"/>
              <w:ind w:left="50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bl>
    <w:p w14:paraId="0D13E740">
      <w:pPr>
        <w:pStyle w:val="8"/>
        <w:spacing w:line="232" w:lineRule="exact"/>
        <w:rPr>
          <w:strike/>
          <w:dstrike w:val="0"/>
          <w:color w:val="auto"/>
          <w:sz w:val="20"/>
          <w:highlight w:val="none"/>
        </w:rPr>
      </w:pPr>
    </w:p>
    <w:p w14:paraId="6803FD67">
      <w:pPr>
        <w:spacing w:line="232" w:lineRule="exact"/>
        <w:rPr>
          <w:strike/>
          <w:dstrike w:val="0"/>
          <w:color w:val="auto"/>
          <w:sz w:val="20"/>
          <w:szCs w:val="20"/>
          <w:highlight w:val="none"/>
        </w:rPr>
        <w:sectPr>
          <w:footerReference r:id="rId43" w:type="default"/>
          <w:pgSz w:w="11905" w:h="16840"/>
          <w:pgMar w:top="1428" w:right="1292" w:bottom="1255" w:left="1553" w:header="0" w:footer="1093" w:gutter="0"/>
          <w:pgNumType w:fmt="decimal"/>
          <w:cols w:space="720" w:num="1"/>
        </w:sectPr>
      </w:pPr>
    </w:p>
    <w:p w14:paraId="7DC29CA7">
      <w:pPr>
        <w:spacing w:line="89" w:lineRule="auto"/>
        <w:rPr>
          <w:rFonts w:ascii="Arial"/>
          <w:strike/>
          <w:dstrike w:val="0"/>
          <w:color w:val="auto"/>
          <w:sz w:val="2"/>
          <w:highlight w:val="none"/>
        </w:rPr>
      </w:pPr>
    </w:p>
    <w:tbl>
      <w:tblPr>
        <w:tblStyle w:val="16"/>
        <w:tblW w:w="904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7218"/>
        <w:gridCol w:w="1107"/>
      </w:tblGrid>
      <w:tr w14:paraId="0A040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7" w:type="dxa"/>
            <w:tcBorders>
              <w:left w:val="single" w:color="000000" w:sz="6" w:space="0"/>
            </w:tcBorders>
            <w:vAlign w:val="top"/>
          </w:tcPr>
          <w:p w14:paraId="111EB0E7">
            <w:pPr>
              <w:pStyle w:val="17"/>
              <w:spacing w:before="126" w:line="232" w:lineRule="auto"/>
              <w:ind w:left="116"/>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2</w:t>
            </w:r>
            <w:r>
              <w:rPr>
                <w:strike/>
                <w:dstrike w:val="0"/>
                <w:color w:val="auto"/>
                <w:spacing w:val="-5"/>
                <w:sz w:val="21"/>
                <w:szCs w:val="21"/>
                <w:highlight w:val="none"/>
              </w:rPr>
              <w:t>）</w:t>
            </w:r>
          </w:p>
        </w:tc>
        <w:tc>
          <w:tcPr>
            <w:tcW w:w="7218" w:type="dxa"/>
            <w:vAlign w:val="top"/>
          </w:tcPr>
          <w:p w14:paraId="299398B7">
            <w:pPr>
              <w:pStyle w:val="17"/>
              <w:spacing w:before="126"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1107" w:type="dxa"/>
            <w:tcBorders>
              <w:right w:val="single" w:color="000000" w:sz="6" w:space="0"/>
            </w:tcBorders>
            <w:vAlign w:val="top"/>
          </w:tcPr>
          <w:p w14:paraId="485779CD">
            <w:pPr>
              <w:rPr>
                <w:rFonts w:ascii="Arial"/>
                <w:strike/>
                <w:dstrike w:val="0"/>
                <w:color w:val="auto"/>
                <w:sz w:val="21"/>
                <w:highlight w:val="none"/>
              </w:rPr>
            </w:pPr>
          </w:p>
        </w:tc>
      </w:tr>
      <w:tr w14:paraId="7F5AB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17" w:type="dxa"/>
            <w:tcBorders>
              <w:left w:val="single" w:color="000000" w:sz="6" w:space="0"/>
            </w:tcBorders>
            <w:vAlign w:val="top"/>
          </w:tcPr>
          <w:p w14:paraId="69BBA3B1">
            <w:pPr>
              <w:rPr>
                <w:rFonts w:ascii="Arial"/>
                <w:strike/>
                <w:dstrike w:val="0"/>
                <w:color w:val="auto"/>
                <w:sz w:val="21"/>
                <w:highlight w:val="none"/>
              </w:rPr>
            </w:pPr>
          </w:p>
        </w:tc>
        <w:tc>
          <w:tcPr>
            <w:tcW w:w="7218" w:type="dxa"/>
            <w:vAlign w:val="top"/>
          </w:tcPr>
          <w:p w14:paraId="3A9F4434">
            <w:pPr>
              <w:pStyle w:val="17"/>
              <w:spacing w:before="122"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1107" w:type="dxa"/>
            <w:tcBorders>
              <w:right w:val="single" w:color="000000" w:sz="6" w:space="0"/>
            </w:tcBorders>
            <w:vAlign w:val="top"/>
          </w:tcPr>
          <w:p w14:paraId="2BC00343">
            <w:pPr>
              <w:spacing w:before="159" w:line="188" w:lineRule="auto"/>
              <w:ind w:left="43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3.0</w:t>
            </w:r>
          </w:p>
        </w:tc>
      </w:tr>
      <w:tr w14:paraId="5306D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17" w:type="dxa"/>
            <w:tcBorders>
              <w:left w:val="single" w:color="000000" w:sz="6" w:space="0"/>
            </w:tcBorders>
            <w:vAlign w:val="top"/>
          </w:tcPr>
          <w:p w14:paraId="630724FF">
            <w:pPr>
              <w:rPr>
                <w:rFonts w:ascii="Arial"/>
                <w:strike/>
                <w:dstrike w:val="0"/>
                <w:color w:val="auto"/>
                <w:sz w:val="21"/>
                <w:highlight w:val="none"/>
              </w:rPr>
            </w:pPr>
          </w:p>
        </w:tc>
        <w:tc>
          <w:tcPr>
            <w:tcW w:w="7218" w:type="dxa"/>
            <w:vAlign w:val="top"/>
          </w:tcPr>
          <w:p w14:paraId="502AEC55">
            <w:pPr>
              <w:pStyle w:val="17"/>
              <w:spacing w:before="123"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1107" w:type="dxa"/>
            <w:tcBorders>
              <w:right w:val="single" w:color="000000" w:sz="6" w:space="0"/>
            </w:tcBorders>
            <w:vAlign w:val="top"/>
          </w:tcPr>
          <w:p w14:paraId="6E654098">
            <w:pPr>
              <w:spacing w:before="160" w:line="188" w:lineRule="auto"/>
              <w:ind w:left="42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2.0</w:t>
            </w:r>
          </w:p>
        </w:tc>
      </w:tr>
      <w:tr w14:paraId="6087A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7" w:type="dxa"/>
            <w:tcBorders>
              <w:left w:val="single" w:color="000000" w:sz="6" w:space="0"/>
            </w:tcBorders>
            <w:vAlign w:val="top"/>
          </w:tcPr>
          <w:p w14:paraId="744ED2FA">
            <w:pPr>
              <w:rPr>
                <w:rFonts w:ascii="Arial"/>
                <w:strike/>
                <w:dstrike w:val="0"/>
                <w:color w:val="auto"/>
                <w:sz w:val="21"/>
                <w:highlight w:val="none"/>
              </w:rPr>
            </w:pPr>
          </w:p>
        </w:tc>
        <w:tc>
          <w:tcPr>
            <w:tcW w:w="7218" w:type="dxa"/>
            <w:vAlign w:val="top"/>
          </w:tcPr>
          <w:p w14:paraId="11176C64">
            <w:pPr>
              <w:pStyle w:val="17"/>
              <w:spacing w:before="125"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1107" w:type="dxa"/>
            <w:tcBorders>
              <w:right w:val="single" w:color="000000" w:sz="6" w:space="0"/>
            </w:tcBorders>
            <w:vAlign w:val="top"/>
          </w:tcPr>
          <w:p w14:paraId="6BD5F1A6">
            <w:pPr>
              <w:spacing w:before="162" w:line="188" w:lineRule="auto"/>
              <w:ind w:left="44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8"/>
                <w:sz w:val="21"/>
                <w:szCs w:val="21"/>
                <w:highlight w:val="none"/>
              </w:rPr>
              <w:t>1.0</w:t>
            </w:r>
          </w:p>
        </w:tc>
      </w:tr>
      <w:tr w14:paraId="048CC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7" w:type="dxa"/>
            <w:tcBorders>
              <w:left w:val="single" w:color="000000" w:sz="6" w:space="0"/>
            </w:tcBorders>
            <w:vAlign w:val="top"/>
          </w:tcPr>
          <w:p w14:paraId="779FB6A9">
            <w:pPr>
              <w:rPr>
                <w:rFonts w:ascii="Arial"/>
                <w:strike/>
                <w:dstrike w:val="0"/>
                <w:color w:val="auto"/>
                <w:sz w:val="21"/>
                <w:highlight w:val="none"/>
              </w:rPr>
            </w:pPr>
          </w:p>
        </w:tc>
        <w:tc>
          <w:tcPr>
            <w:tcW w:w="7218" w:type="dxa"/>
            <w:vAlign w:val="top"/>
          </w:tcPr>
          <w:p w14:paraId="1331A36C">
            <w:pPr>
              <w:pStyle w:val="17"/>
              <w:spacing w:before="126"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1107" w:type="dxa"/>
            <w:tcBorders>
              <w:right w:val="single" w:color="000000" w:sz="6" w:space="0"/>
            </w:tcBorders>
            <w:vAlign w:val="top"/>
          </w:tcPr>
          <w:p w14:paraId="2DC6BBE3">
            <w:pPr>
              <w:spacing w:before="162" w:line="188" w:lineRule="auto"/>
              <w:ind w:left="50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bl>
    <w:p w14:paraId="78A37EA6">
      <w:pPr>
        <w:pStyle w:val="8"/>
        <w:spacing w:line="370" w:lineRule="auto"/>
        <w:rPr>
          <w:strike/>
          <w:dstrike w:val="0"/>
          <w:color w:val="auto"/>
          <w:highlight w:val="none"/>
        </w:rPr>
      </w:pPr>
    </w:p>
    <w:p w14:paraId="4171A305">
      <w:pPr>
        <w:spacing w:before="78" w:line="359" w:lineRule="auto"/>
        <w:ind w:left="42" w:right="236" w:firstLine="48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企业信用等级证明材料指：选用全国水利建设市场监管服务平台企业信用评</w:t>
      </w:r>
      <w:r>
        <w:rPr>
          <w:rFonts w:ascii="宋体" w:hAnsi="宋体" w:eastAsia="宋体" w:cs="宋体"/>
          <w:strike/>
          <w:dstrike w:val="0"/>
          <w:color w:val="auto"/>
          <w:spacing w:val="-4"/>
          <w:sz w:val="24"/>
          <w:szCs w:val="24"/>
          <w:highlight w:val="none"/>
        </w:rPr>
        <w:t>价等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级的提供显示颁发日期及有效期的网页打印件；选用浙江省水利建设市场信用评价等</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4"/>
          <w:sz w:val="24"/>
          <w:szCs w:val="24"/>
          <w:highlight w:val="none"/>
        </w:rPr>
        <w:t>级（施工类）的提供投标截止日前最新一期信用评价等级打印件（信用评价等级每周</w:t>
      </w:r>
      <w:r>
        <w:rPr>
          <w:rFonts w:ascii="宋体" w:hAnsi="宋体" w:eastAsia="宋体" w:cs="宋体"/>
          <w:strike/>
          <w:dstrike w:val="0"/>
          <w:color w:val="auto"/>
          <w:spacing w:val="15"/>
          <w:sz w:val="24"/>
          <w:szCs w:val="24"/>
          <w:highlight w:val="none"/>
        </w:rPr>
        <w:t xml:space="preserve"> </w:t>
      </w:r>
      <w:r>
        <w:rPr>
          <w:rFonts w:ascii="宋体" w:hAnsi="宋体" w:eastAsia="宋体" w:cs="宋体"/>
          <w:strike/>
          <w:dstrike w:val="0"/>
          <w:color w:val="auto"/>
          <w:spacing w:val="-1"/>
          <w:sz w:val="24"/>
          <w:szCs w:val="24"/>
          <w:highlight w:val="none"/>
        </w:rPr>
        <w:t xml:space="preserve">三下午 </w:t>
      </w:r>
      <w:r>
        <w:rPr>
          <w:rFonts w:ascii="Times New Roman" w:hAnsi="Times New Roman" w:eastAsia="Times New Roman" w:cs="Times New Roman"/>
          <w:strike/>
          <w:dstrike w:val="0"/>
          <w:color w:val="auto"/>
          <w:spacing w:val="-1"/>
          <w:sz w:val="24"/>
          <w:szCs w:val="24"/>
          <w:highlight w:val="none"/>
        </w:rPr>
        <w:t>17:00-18:00</w:t>
      </w:r>
      <w:r>
        <w:rPr>
          <w:rFonts w:ascii="宋体" w:hAnsi="宋体" w:eastAsia="宋体" w:cs="宋体"/>
          <w:strike/>
          <w:dstrike w:val="0"/>
          <w:color w:val="auto"/>
          <w:spacing w:val="-1"/>
          <w:sz w:val="24"/>
          <w:szCs w:val="24"/>
          <w:highlight w:val="none"/>
        </w:rPr>
        <w:t>更新</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打印件应含有“浙江水利透明工</w:t>
      </w:r>
      <w:r>
        <w:rPr>
          <w:rFonts w:ascii="宋体" w:hAnsi="宋体" w:eastAsia="宋体" w:cs="宋体"/>
          <w:strike/>
          <w:dstrike w:val="0"/>
          <w:color w:val="auto"/>
          <w:spacing w:val="-2"/>
          <w:sz w:val="24"/>
          <w:szCs w:val="24"/>
          <w:highlight w:val="none"/>
        </w:rPr>
        <w:t>程”水印。</w:t>
      </w:r>
    </w:p>
    <w:p w14:paraId="308A972F">
      <w:pPr>
        <w:spacing w:line="227" w:lineRule="auto"/>
        <w:ind w:left="39"/>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4.7  </w:t>
      </w:r>
      <w:r>
        <w:rPr>
          <w:rFonts w:ascii="楷体" w:hAnsi="楷体" w:eastAsia="楷体" w:cs="楷体"/>
          <w:b/>
          <w:bCs/>
          <w:strike/>
          <w:dstrike w:val="0"/>
          <w:color w:val="auto"/>
          <w:spacing w:val="-2"/>
          <w:sz w:val="24"/>
          <w:szCs w:val="24"/>
          <w:highlight w:val="none"/>
        </w:rPr>
        <w:t>询标</w:t>
      </w:r>
    </w:p>
    <w:p w14:paraId="4B6E9470">
      <w:pPr>
        <w:spacing w:before="171" w:line="324" w:lineRule="auto"/>
        <w:ind w:left="44" w:right="222" w:firstLine="49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1.</w:t>
      </w:r>
      <w:r>
        <w:rPr>
          <w:rFonts w:ascii="Times New Roman" w:hAnsi="Times New Roman" w:eastAsia="Times New Roman" w:cs="Times New Roman"/>
          <w:strike/>
          <w:dstrike w:val="0"/>
          <w:color w:val="auto"/>
          <w:spacing w:val="20"/>
          <w:sz w:val="24"/>
          <w:szCs w:val="24"/>
          <w:highlight w:val="none"/>
        </w:rPr>
        <w:t xml:space="preserve"> </w:t>
      </w:r>
      <w:r>
        <w:rPr>
          <w:rFonts w:ascii="宋体" w:hAnsi="宋体" w:eastAsia="宋体" w:cs="宋体"/>
          <w:strike/>
          <w:dstrike w:val="0"/>
          <w:color w:val="auto"/>
          <w:spacing w:val="-3"/>
          <w:sz w:val="24"/>
          <w:szCs w:val="24"/>
          <w:highlight w:val="none"/>
        </w:rPr>
        <w:t>凡评标委员会拟作出否决投标决定的，应</w:t>
      </w:r>
      <w:r>
        <w:rPr>
          <w:rFonts w:ascii="宋体" w:hAnsi="宋体" w:eastAsia="宋体" w:cs="宋体"/>
          <w:strike/>
          <w:dstrike w:val="0"/>
          <w:color w:val="auto"/>
          <w:spacing w:val="-4"/>
          <w:sz w:val="24"/>
          <w:szCs w:val="24"/>
          <w:highlight w:val="none"/>
        </w:rPr>
        <w:t>先向投标人进行书面询问核实。未进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5"/>
          <w:sz w:val="24"/>
          <w:szCs w:val="24"/>
          <w:highlight w:val="none"/>
        </w:rPr>
        <w:t>行询问核实程序的，不得做出否决投标决定，投标人放弃接受询问核实机会的除外。投标</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22"/>
          <w:sz w:val="24"/>
          <w:szCs w:val="24"/>
          <w:highlight w:val="none"/>
        </w:rPr>
        <w:t>人应自行关注系统中评标委员会发出的澄清并及时答复，在规定的时限内投标人不参加核实</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3"/>
          <w:sz w:val="24"/>
          <w:szCs w:val="24"/>
          <w:highlight w:val="none"/>
        </w:rPr>
        <w:t>或不予答复的，视为放弃接受询问核实机会。</w:t>
      </w:r>
    </w:p>
    <w:p w14:paraId="4A411133">
      <w:pPr>
        <w:spacing w:before="182" w:line="289" w:lineRule="auto"/>
        <w:ind w:left="41" w:right="447" w:firstLine="44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5"/>
          <w:sz w:val="24"/>
          <w:szCs w:val="24"/>
          <w:highlight w:val="none"/>
        </w:rPr>
        <w:t>2.</w:t>
      </w:r>
      <w:r>
        <w:rPr>
          <w:rFonts w:ascii="Times New Roman" w:hAnsi="Times New Roman" w:eastAsia="Times New Roman" w:cs="Times New Roman"/>
          <w:strike/>
          <w:dstrike w:val="0"/>
          <w:color w:val="auto"/>
          <w:spacing w:val="37"/>
          <w:w w:val="101"/>
          <w:sz w:val="24"/>
          <w:szCs w:val="24"/>
          <w:highlight w:val="none"/>
        </w:rPr>
        <w:t xml:space="preserve"> </w:t>
      </w:r>
      <w:r>
        <w:rPr>
          <w:rFonts w:ascii="宋体" w:hAnsi="宋体" w:eastAsia="宋体" w:cs="宋体"/>
          <w:strike/>
          <w:dstrike w:val="0"/>
          <w:color w:val="auto"/>
          <w:spacing w:val="-15"/>
          <w:sz w:val="24"/>
          <w:szCs w:val="24"/>
          <w:highlight w:val="none"/>
        </w:rPr>
        <w:t>除本评标办法规定的否决情形以外，招标文件中其他条款均不得作为否决投标文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件的依据。</w:t>
      </w:r>
    </w:p>
    <w:p w14:paraId="43F3BFC4">
      <w:pPr>
        <w:spacing w:before="182" w:line="223" w:lineRule="auto"/>
        <w:ind w:left="39"/>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4.8  </w:t>
      </w:r>
      <w:r>
        <w:rPr>
          <w:rFonts w:ascii="楷体" w:hAnsi="楷体" w:eastAsia="楷体" w:cs="楷体"/>
          <w:b/>
          <w:bCs/>
          <w:strike/>
          <w:dstrike w:val="0"/>
          <w:color w:val="auto"/>
          <w:spacing w:val="-2"/>
          <w:sz w:val="24"/>
          <w:szCs w:val="24"/>
          <w:highlight w:val="none"/>
        </w:rPr>
        <w:t>投标文件的综合评分</w:t>
      </w:r>
    </w:p>
    <w:p w14:paraId="587EC29E">
      <w:pPr>
        <w:spacing w:before="175" w:line="360" w:lineRule="auto"/>
        <w:ind w:left="45" w:right="237" w:firstLine="53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投标文件的综合评分为投标文件的资信评分与投标文件的商务评分之和，满分</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5"/>
          <w:sz w:val="24"/>
          <w:szCs w:val="24"/>
          <w:highlight w:val="none"/>
        </w:rPr>
        <w:t>为</w:t>
      </w:r>
      <w:r>
        <w:rPr>
          <w:rFonts w:ascii="Times New Roman" w:hAnsi="Times New Roman" w:eastAsia="Times New Roman" w:cs="Times New Roman"/>
          <w:strike/>
          <w:dstrike w:val="0"/>
          <w:color w:val="auto"/>
          <w:spacing w:val="-5"/>
          <w:sz w:val="24"/>
          <w:szCs w:val="24"/>
          <w:highlight w:val="none"/>
        </w:rPr>
        <w:t>100</w:t>
      </w:r>
      <w:r>
        <w:rPr>
          <w:rFonts w:ascii="宋体" w:hAnsi="宋体" w:eastAsia="宋体" w:cs="宋体"/>
          <w:strike/>
          <w:dstrike w:val="0"/>
          <w:color w:val="auto"/>
          <w:spacing w:val="-5"/>
          <w:sz w:val="24"/>
          <w:szCs w:val="24"/>
          <w:highlight w:val="none"/>
        </w:rPr>
        <w:t>分。</w:t>
      </w:r>
    </w:p>
    <w:p w14:paraId="66A0EFE4">
      <w:pPr>
        <w:spacing w:line="225" w:lineRule="auto"/>
        <w:ind w:left="39"/>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4.9  </w:t>
      </w:r>
      <w:r>
        <w:rPr>
          <w:rFonts w:ascii="楷体" w:hAnsi="楷体" w:eastAsia="楷体" w:cs="楷体"/>
          <w:b/>
          <w:bCs/>
          <w:strike/>
          <w:dstrike w:val="0"/>
          <w:color w:val="auto"/>
          <w:spacing w:val="-2"/>
          <w:sz w:val="24"/>
          <w:szCs w:val="24"/>
          <w:highlight w:val="none"/>
        </w:rPr>
        <w:t>推荐中标候选人</w:t>
      </w:r>
    </w:p>
    <w:p w14:paraId="3BDD0785">
      <w:pPr>
        <w:spacing w:before="175" w:line="359" w:lineRule="auto"/>
        <w:ind w:left="42" w:right="150"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评标委员会根据综合评分对通过商务评审的投标文件按照由高到低的顺序进行</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13"/>
          <w:sz w:val="24"/>
          <w:szCs w:val="24"/>
          <w:highlight w:val="none"/>
        </w:rPr>
        <w:t>排序，推荐中标候选人。综合评分相同时，</w:t>
      </w:r>
      <w:r>
        <w:rPr>
          <w:rFonts w:ascii="宋体" w:hAnsi="宋体" w:eastAsia="宋体" w:cs="宋体"/>
          <w:strike/>
          <w:dstrike w:val="0"/>
          <w:color w:val="auto"/>
          <w:spacing w:val="61"/>
          <w:sz w:val="24"/>
          <w:szCs w:val="24"/>
          <w:highlight w:val="none"/>
        </w:rPr>
        <w:t xml:space="preserve"> </w:t>
      </w:r>
      <w:r>
        <w:rPr>
          <w:rFonts w:ascii="宋体" w:hAnsi="宋体" w:eastAsia="宋体" w:cs="宋体"/>
          <w:strike/>
          <w:dstrike w:val="0"/>
          <w:color w:val="auto"/>
          <w:spacing w:val="-13"/>
          <w:sz w:val="24"/>
          <w:szCs w:val="24"/>
          <w:highlight w:val="none"/>
        </w:rPr>
        <w:t>报价低者优先。评分、报价均相同时，</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13"/>
          <w:sz w:val="24"/>
          <w:szCs w:val="24"/>
          <w:highlight w:val="none"/>
        </w:rPr>
        <w:t>由</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评标委员会全体成员按照少数服从多数的原则记名投票（不得弃权）决定中标候选人。</w:t>
      </w:r>
    </w:p>
    <w:p w14:paraId="029D269F">
      <w:pPr>
        <w:spacing w:before="1" w:line="218" w:lineRule="auto"/>
        <w:ind w:left="5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本评标办法未尽事宜由评标委员会集体讨论决定。</w:t>
      </w:r>
    </w:p>
    <w:p w14:paraId="671E1909">
      <w:pPr>
        <w:spacing w:before="182" w:line="223" w:lineRule="auto"/>
        <w:ind w:left="39"/>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4.10  </w:t>
      </w:r>
      <w:r>
        <w:rPr>
          <w:rFonts w:ascii="楷体" w:hAnsi="楷体" w:eastAsia="楷体" w:cs="楷体"/>
          <w:b/>
          <w:bCs/>
          <w:strike/>
          <w:dstrike w:val="0"/>
          <w:color w:val="auto"/>
          <w:spacing w:val="-2"/>
          <w:sz w:val="24"/>
          <w:szCs w:val="24"/>
          <w:highlight w:val="none"/>
        </w:rPr>
        <w:t>评标报告</w:t>
      </w:r>
    </w:p>
    <w:p w14:paraId="4107E5AF">
      <w:pPr>
        <w:spacing w:before="178" w:line="289" w:lineRule="auto"/>
        <w:ind w:left="43" w:right="235" w:firstLine="47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4.10.1  </w:t>
      </w:r>
      <w:r>
        <w:rPr>
          <w:rFonts w:ascii="宋体" w:hAnsi="宋体" w:eastAsia="宋体" w:cs="宋体"/>
          <w:strike/>
          <w:dstrike w:val="0"/>
          <w:color w:val="auto"/>
          <w:spacing w:val="-2"/>
          <w:sz w:val="24"/>
          <w:szCs w:val="24"/>
          <w:highlight w:val="none"/>
        </w:rPr>
        <w:t>评标委员会对投标文件作出的评审结论，</w:t>
      </w:r>
      <w:r>
        <w:rPr>
          <w:rFonts w:ascii="宋体" w:hAnsi="宋体" w:eastAsia="宋体" w:cs="宋体"/>
          <w:strike/>
          <w:dstrike w:val="0"/>
          <w:color w:val="auto"/>
          <w:spacing w:val="-3"/>
          <w:sz w:val="24"/>
          <w:szCs w:val="24"/>
          <w:highlight w:val="none"/>
        </w:rPr>
        <w:t>应当符合有关法律、法规、规章</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5"/>
          <w:sz w:val="24"/>
          <w:szCs w:val="24"/>
          <w:highlight w:val="none"/>
        </w:rPr>
        <w:t>和招标文件的规定。</w:t>
      </w:r>
    </w:p>
    <w:p w14:paraId="1BB0A3CA">
      <w:pPr>
        <w:spacing w:before="180" w:line="289" w:lineRule="auto"/>
        <w:ind w:left="42" w:right="150"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6"/>
          <w:sz w:val="24"/>
          <w:szCs w:val="24"/>
          <w:highlight w:val="none"/>
        </w:rPr>
        <w:t xml:space="preserve">4.10.2  </w:t>
      </w:r>
      <w:r>
        <w:rPr>
          <w:rFonts w:ascii="宋体" w:hAnsi="宋体" w:eastAsia="宋体" w:cs="宋体"/>
          <w:strike/>
          <w:dstrike w:val="0"/>
          <w:color w:val="auto"/>
          <w:spacing w:val="-6"/>
          <w:sz w:val="24"/>
          <w:szCs w:val="24"/>
          <w:highlight w:val="none"/>
        </w:rPr>
        <w:t>评标委员会应根据评标情况，推荐中标候选人，并向</w:t>
      </w:r>
      <w:r>
        <w:rPr>
          <w:rFonts w:ascii="宋体" w:hAnsi="宋体" w:eastAsia="宋体" w:cs="宋体"/>
          <w:strike/>
          <w:dstrike w:val="0"/>
          <w:color w:val="auto"/>
          <w:spacing w:val="-7"/>
          <w:sz w:val="24"/>
          <w:szCs w:val="24"/>
          <w:highlight w:val="none"/>
        </w:rPr>
        <w:t>招标人提交评标报告。</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评标报告由评标委员会成员起草，评标委员会全体成员应在评标报告上签字确认，评</w:t>
      </w:r>
    </w:p>
    <w:p w14:paraId="7354DE09">
      <w:pPr>
        <w:spacing w:line="289" w:lineRule="auto"/>
        <w:rPr>
          <w:rFonts w:ascii="宋体" w:hAnsi="宋体" w:eastAsia="宋体" w:cs="宋体"/>
          <w:strike/>
          <w:dstrike w:val="0"/>
          <w:color w:val="auto"/>
          <w:sz w:val="24"/>
          <w:szCs w:val="24"/>
          <w:highlight w:val="none"/>
        </w:rPr>
        <w:sectPr>
          <w:footerReference r:id="rId44" w:type="default"/>
          <w:pgSz w:w="11905" w:h="16840"/>
          <w:pgMar w:top="1431" w:right="1292" w:bottom="1252" w:left="1553" w:header="0" w:footer="1093" w:gutter="0"/>
          <w:pgNumType w:fmt="decimal"/>
          <w:cols w:space="720" w:num="1"/>
        </w:sectPr>
      </w:pPr>
    </w:p>
    <w:p w14:paraId="6151407A">
      <w:pPr>
        <w:spacing w:before="48" w:line="35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标专家如有保留意见可以在评标报告中阐明。评标委员会成员拒绝在评标报告上签字</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又不书面说明其不同意见和理由的，视为同意评标结果。</w:t>
      </w:r>
    </w:p>
    <w:p w14:paraId="15311183">
      <w:pPr>
        <w:spacing w:line="218" w:lineRule="auto"/>
        <w:ind w:left="47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 xml:space="preserve">4.10.3  </w:t>
      </w:r>
      <w:r>
        <w:rPr>
          <w:rFonts w:ascii="宋体" w:hAnsi="宋体" w:eastAsia="宋体" w:cs="宋体"/>
          <w:strike/>
          <w:dstrike w:val="0"/>
          <w:color w:val="auto"/>
          <w:spacing w:val="-3"/>
          <w:sz w:val="24"/>
          <w:szCs w:val="24"/>
          <w:highlight w:val="none"/>
        </w:rPr>
        <w:t>评标报告应包括以下内容：</w:t>
      </w:r>
    </w:p>
    <w:p w14:paraId="2AE77FE5">
      <w:pPr>
        <w:spacing w:before="183" w:line="220"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）开标记录。</w:t>
      </w:r>
    </w:p>
    <w:p w14:paraId="533AAD01">
      <w:pPr>
        <w:spacing w:before="179" w:line="220"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）评标内容、过程和结果。</w:t>
      </w:r>
    </w:p>
    <w:p w14:paraId="272EE36D">
      <w:pPr>
        <w:spacing w:before="181" w:line="219"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）被否决情况说明及依据。</w:t>
      </w:r>
    </w:p>
    <w:p w14:paraId="078806AD">
      <w:pPr>
        <w:spacing w:before="182" w:line="220"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）询标澄清纪要。</w:t>
      </w:r>
    </w:p>
    <w:p w14:paraId="680A10B9">
      <w:pPr>
        <w:spacing w:before="180" w:line="219"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5</w:t>
      </w:r>
      <w:r>
        <w:rPr>
          <w:rFonts w:ascii="宋体" w:hAnsi="宋体" w:eastAsia="宋体" w:cs="宋体"/>
          <w:strike/>
          <w:dstrike w:val="0"/>
          <w:color w:val="auto"/>
          <w:spacing w:val="-3"/>
          <w:sz w:val="24"/>
          <w:szCs w:val="24"/>
          <w:highlight w:val="none"/>
        </w:rPr>
        <w:t>）中标侯选人的优劣对比和存在问题。</w:t>
      </w:r>
    </w:p>
    <w:p w14:paraId="5853ECA3">
      <w:pPr>
        <w:spacing w:before="183" w:line="220"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）中标候选人投标业绩。</w:t>
      </w:r>
    </w:p>
    <w:p w14:paraId="7CCAB053">
      <w:pPr>
        <w:spacing w:before="182" w:line="220"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7</w:t>
      </w:r>
      <w:r>
        <w:rPr>
          <w:rFonts w:ascii="宋体" w:hAnsi="宋体" w:eastAsia="宋体" w:cs="宋体"/>
          <w:strike/>
          <w:dstrike w:val="0"/>
          <w:color w:val="auto"/>
          <w:spacing w:val="-6"/>
          <w:sz w:val="24"/>
          <w:szCs w:val="24"/>
          <w:highlight w:val="none"/>
        </w:rPr>
        <w:t>）其他建议。</w:t>
      </w:r>
    </w:p>
    <w:p w14:paraId="16F9F3F9">
      <w:pPr>
        <w:spacing w:line="220" w:lineRule="auto"/>
        <w:rPr>
          <w:rFonts w:ascii="宋体" w:hAnsi="宋体" w:eastAsia="宋体" w:cs="宋体"/>
          <w:strike/>
          <w:dstrike w:val="0"/>
          <w:color w:val="auto"/>
          <w:sz w:val="24"/>
          <w:szCs w:val="24"/>
          <w:highlight w:val="none"/>
        </w:rPr>
        <w:sectPr>
          <w:footerReference r:id="rId45" w:type="default"/>
          <w:pgSz w:w="11905" w:h="16840"/>
          <w:pgMar w:top="1428" w:right="1529" w:bottom="1255" w:left="1597" w:header="0" w:footer="1093" w:gutter="0"/>
          <w:pgNumType w:fmt="decimal"/>
          <w:cols w:space="720" w:num="1"/>
        </w:sectPr>
      </w:pPr>
    </w:p>
    <w:p w14:paraId="2BF62D47">
      <w:pPr>
        <w:spacing w:before="55" w:line="225" w:lineRule="auto"/>
        <w:ind w:left="1588"/>
        <w:rPr>
          <w:rFonts w:ascii="宋体" w:hAnsi="宋体" w:eastAsia="宋体" w:cs="宋体"/>
          <w:strike/>
          <w:dstrike w:val="0"/>
          <w:color w:val="auto"/>
          <w:sz w:val="27"/>
          <w:szCs w:val="27"/>
          <w:highlight w:val="none"/>
        </w:rPr>
      </w:pPr>
      <w:r>
        <w:rPr>
          <w:rFonts w:ascii="宋体" w:hAnsi="宋体" w:eastAsia="宋体" w:cs="宋体"/>
          <w:b/>
          <w:bCs/>
          <w:strike/>
          <w:dstrike w:val="0"/>
          <w:color w:val="auto"/>
          <w:spacing w:val="7"/>
          <w:sz w:val="27"/>
          <w:szCs w:val="27"/>
          <w:highlight w:val="none"/>
        </w:rPr>
        <w:t>方法四：以下适用于技术打分制的综合评估法</w:t>
      </w:r>
    </w:p>
    <w:p w14:paraId="427EB733">
      <w:pPr>
        <w:pStyle w:val="8"/>
        <w:spacing w:line="250" w:lineRule="auto"/>
        <w:rPr>
          <w:strike/>
          <w:dstrike w:val="0"/>
          <w:color w:val="auto"/>
          <w:highlight w:val="none"/>
        </w:rPr>
      </w:pPr>
    </w:p>
    <w:p w14:paraId="49F87A6A">
      <w:pPr>
        <w:spacing w:before="78"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4.2  </w:t>
      </w:r>
      <w:r>
        <w:rPr>
          <w:rFonts w:ascii="楷体" w:hAnsi="楷体" w:eastAsia="楷体" w:cs="楷体"/>
          <w:b/>
          <w:bCs/>
          <w:strike/>
          <w:dstrike w:val="0"/>
          <w:color w:val="auto"/>
          <w:spacing w:val="-2"/>
          <w:sz w:val="24"/>
          <w:szCs w:val="24"/>
          <w:highlight w:val="none"/>
        </w:rPr>
        <w:t>投标文件的符合性审查</w:t>
      </w:r>
    </w:p>
    <w:p w14:paraId="168CD452">
      <w:pPr>
        <w:spacing w:before="177" w:line="324" w:lineRule="auto"/>
        <w:ind w:left="2" w:firstLine="54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4.2.1  </w:t>
      </w:r>
      <w:r>
        <w:rPr>
          <w:rFonts w:ascii="宋体" w:hAnsi="宋体" w:eastAsia="宋体" w:cs="宋体"/>
          <w:strike/>
          <w:dstrike w:val="0"/>
          <w:color w:val="auto"/>
          <w:spacing w:val="-1"/>
          <w:sz w:val="24"/>
          <w:szCs w:val="24"/>
          <w:highlight w:val="none"/>
        </w:rPr>
        <w:t>评标委员会应依照招标文件的要求和规定，</w:t>
      </w:r>
      <w:r>
        <w:rPr>
          <w:rFonts w:ascii="宋体" w:hAnsi="宋体" w:eastAsia="宋体" w:cs="宋体"/>
          <w:strike/>
          <w:dstrike w:val="0"/>
          <w:color w:val="auto"/>
          <w:spacing w:val="-2"/>
          <w:sz w:val="24"/>
          <w:szCs w:val="24"/>
          <w:highlight w:val="none"/>
        </w:rPr>
        <w:t>首先对投标人的投标资格和投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标文件进行符合性审查，符合性审查应包括三个方面内容：投标人资格审查、投标文</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3"/>
          <w:sz w:val="24"/>
          <w:szCs w:val="24"/>
          <w:highlight w:val="none"/>
        </w:rPr>
        <w:t>件实质性格式要求响应性审查、投标文件实质性内容要求响应性审查。符合性审查未</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通过的投标文件不再进入后续评审。</w:t>
      </w:r>
    </w:p>
    <w:p w14:paraId="193C6298">
      <w:pPr>
        <w:spacing w:before="181" w:line="289" w:lineRule="auto"/>
        <w:ind w:left="23" w:right="1" w:firstLine="52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4.2.2  </w:t>
      </w:r>
      <w:r>
        <w:rPr>
          <w:rFonts w:ascii="宋体" w:hAnsi="宋体" w:eastAsia="宋体" w:cs="宋体"/>
          <w:strike/>
          <w:dstrike w:val="0"/>
          <w:color w:val="auto"/>
          <w:spacing w:val="-1"/>
          <w:sz w:val="24"/>
          <w:szCs w:val="24"/>
          <w:highlight w:val="none"/>
        </w:rPr>
        <w:t>投标人不得通过补充、修改或撤销投标文件</w:t>
      </w:r>
      <w:r>
        <w:rPr>
          <w:rFonts w:ascii="宋体" w:hAnsi="宋体" w:eastAsia="宋体" w:cs="宋体"/>
          <w:strike/>
          <w:dstrike w:val="0"/>
          <w:color w:val="auto"/>
          <w:spacing w:val="-2"/>
          <w:sz w:val="24"/>
          <w:szCs w:val="24"/>
          <w:highlight w:val="none"/>
        </w:rPr>
        <w:t>中的内容使其成为实质性响应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1FAC934A">
      <w:pPr>
        <w:spacing w:before="180" w:line="313" w:lineRule="auto"/>
        <w:ind w:left="1" w:firstLine="55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4.2.3  </w:t>
      </w:r>
      <w:r>
        <w:rPr>
          <w:rFonts w:ascii="宋体" w:hAnsi="宋体" w:eastAsia="宋体" w:cs="宋体"/>
          <w:strike/>
          <w:dstrike w:val="0"/>
          <w:color w:val="auto"/>
          <w:spacing w:val="-1"/>
          <w:sz w:val="24"/>
          <w:szCs w:val="24"/>
          <w:highlight w:val="none"/>
        </w:rPr>
        <w:t>投标文件如存在以下情况之一的，由评标委</w:t>
      </w:r>
      <w:r>
        <w:rPr>
          <w:rFonts w:ascii="宋体" w:hAnsi="宋体" w:eastAsia="宋体" w:cs="宋体"/>
          <w:strike/>
          <w:dstrike w:val="0"/>
          <w:color w:val="auto"/>
          <w:spacing w:val="-2"/>
          <w:sz w:val="24"/>
          <w:szCs w:val="24"/>
          <w:highlight w:val="none"/>
        </w:rPr>
        <w:t>员会全体成员按照少数服从多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数的原则记名投票（不得弃权）认定，作为符合性审查未通过予以否决其投标，不再</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6"/>
          <w:sz w:val="24"/>
          <w:szCs w:val="24"/>
          <w:highlight w:val="none"/>
        </w:rPr>
        <w:t>进行技术和商务的评审：</w:t>
      </w:r>
    </w:p>
    <w:p w14:paraId="22A75C7C">
      <w:pPr>
        <w:spacing w:before="182" w:line="220" w:lineRule="auto"/>
        <w:ind w:left="57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21"/>
          <w:sz w:val="24"/>
          <w:szCs w:val="24"/>
          <w:highlight w:val="none"/>
        </w:rPr>
        <w:t xml:space="preserve"> </w:t>
      </w:r>
      <w:r>
        <w:rPr>
          <w:rFonts w:ascii="宋体" w:hAnsi="宋体" w:eastAsia="宋体" w:cs="宋体"/>
          <w:strike/>
          <w:dstrike w:val="0"/>
          <w:color w:val="auto"/>
          <w:spacing w:val="-7"/>
          <w:sz w:val="24"/>
          <w:szCs w:val="24"/>
          <w:highlight w:val="none"/>
        </w:rPr>
        <w:t>．技术标符合性审查未通过的情形：</w:t>
      </w:r>
    </w:p>
    <w:p w14:paraId="6756E499">
      <w:pPr>
        <w:spacing w:before="181" w:line="289" w:lineRule="auto"/>
        <w:ind w:left="2" w:right="11"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691DF256">
      <w:pPr>
        <w:spacing w:before="182" w:line="289" w:lineRule="auto"/>
        <w:ind w:left="23" w:right="18" w:firstLine="53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）投标人法定代表人授权委托代理人签署投标文件，未提供有</w:t>
      </w:r>
      <w:r>
        <w:rPr>
          <w:rFonts w:ascii="宋体" w:hAnsi="宋体" w:eastAsia="宋体" w:cs="宋体"/>
          <w:strike/>
          <w:dstrike w:val="0"/>
          <w:color w:val="auto"/>
          <w:spacing w:val="-3"/>
          <w:sz w:val="24"/>
          <w:szCs w:val="24"/>
          <w:highlight w:val="none"/>
        </w:rPr>
        <w:t>效授权委托书</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的或投标人法定代表人亲自签署投标文件，未提供法定代表人身份证明的。</w:t>
      </w:r>
    </w:p>
    <w:p w14:paraId="7A00DD97">
      <w:pPr>
        <w:spacing w:before="182"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7D0ED031">
      <w:pPr>
        <w:spacing w:before="182" w:line="289" w:lineRule="auto"/>
        <w:ind w:left="22" w:right="14" w:firstLine="53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）投标人的投标资格不满足招标文件载明的强制性要求的（以投标人</w:t>
      </w:r>
      <w:r>
        <w:rPr>
          <w:rFonts w:ascii="宋体" w:hAnsi="宋体" w:eastAsia="宋体" w:cs="宋体"/>
          <w:strike/>
          <w:dstrike w:val="0"/>
          <w:color w:val="auto"/>
          <w:spacing w:val="-3"/>
          <w:sz w:val="24"/>
          <w:szCs w:val="24"/>
          <w:highlight w:val="none"/>
        </w:rPr>
        <w:t>须知前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款实质性响应招标文件资料为准</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或不满足国家有关规定的。</w:t>
      </w:r>
    </w:p>
    <w:p w14:paraId="625789EE">
      <w:pPr>
        <w:spacing w:before="183" w:line="289" w:lineRule="auto"/>
        <w:ind w:left="4" w:right="12"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703232A3">
      <w:pPr>
        <w:spacing w:before="183" w:line="289" w:lineRule="auto"/>
        <w:ind w:left="2" w:right="1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）同一投标人提交两个以上不同的投标文件且未声明哪一个有效的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0C8ACEF5">
      <w:pPr>
        <w:spacing w:before="180" w:line="290" w:lineRule="auto"/>
        <w:ind w:left="4" w:right="10"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7</w:t>
      </w:r>
      <w:r>
        <w:rPr>
          <w:rFonts w:ascii="宋体" w:hAnsi="宋体" w:eastAsia="宋体" w:cs="宋体"/>
          <w:strike/>
          <w:dstrike w:val="0"/>
          <w:color w:val="auto"/>
          <w:spacing w:val="-2"/>
          <w:sz w:val="24"/>
          <w:szCs w:val="24"/>
          <w:highlight w:val="none"/>
        </w:rPr>
        <w:t>）投标人不以自己的名义或未按招标文件要求提供投标保证金或提供的投标</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保证金有缺陷而不能接受的。</w:t>
      </w:r>
    </w:p>
    <w:p w14:paraId="3D550F39">
      <w:pPr>
        <w:spacing w:before="180" w:line="290" w:lineRule="auto"/>
        <w:ind w:left="7" w:firstLine="55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8</w:t>
      </w:r>
      <w:r>
        <w:rPr>
          <w:rFonts w:ascii="宋体" w:hAnsi="宋体" w:eastAsia="宋体" w:cs="宋体"/>
          <w:strike/>
          <w:dstrike w:val="0"/>
          <w:color w:val="auto"/>
          <w:spacing w:val="-7"/>
          <w:sz w:val="24"/>
          <w:szCs w:val="24"/>
          <w:highlight w:val="none"/>
        </w:rPr>
        <w:t>）投标工期和质量不满足招标文件要求的（以投标人须知前附表第</w:t>
      </w:r>
      <w:r>
        <w:rPr>
          <w:rFonts w:ascii="Times New Roman" w:hAnsi="Times New Roman" w:eastAsia="Times New Roman" w:cs="Times New Roman"/>
          <w:strike/>
          <w:dstrike w:val="0"/>
          <w:color w:val="auto"/>
          <w:spacing w:val="-7"/>
          <w:sz w:val="24"/>
          <w:szCs w:val="24"/>
          <w:highlight w:val="none"/>
        </w:rPr>
        <w:t>1.3.2</w:t>
      </w: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8"/>
          <w:sz w:val="24"/>
          <w:szCs w:val="24"/>
          <w:highlight w:val="none"/>
        </w:rPr>
        <w:t>.3.3</w:t>
      </w:r>
      <w:r>
        <w:rPr>
          <w:rFonts w:ascii="Times New Roman" w:hAnsi="Times New Roman" w:eastAsia="Times New Roman" w:cs="Times New Roman"/>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项为准）。</w:t>
      </w:r>
    </w:p>
    <w:p w14:paraId="0744A13C">
      <w:pPr>
        <w:spacing w:before="181" w:line="290" w:lineRule="auto"/>
        <w:ind w:left="4" w:right="1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9</w:t>
      </w:r>
      <w:r>
        <w:rPr>
          <w:rFonts w:ascii="宋体" w:hAnsi="宋体" w:eastAsia="宋体" w:cs="宋体"/>
          <w:strike/>
          <w:dstrike w:val="0"/>
          <w:color w:val="auto"/>
          <w:spacing w:val="-2"/>
          <w:sz w:val="24"/>
          <w:szCs w:val="24"/>
          <w:highlight w:val="none"/>
        </w:rPr>
        <w:t>）采用的验收标准或主要技术指标达不到国家强制性标准或招标文件以下条</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1"/>
          <w:sz w:val="24"/>
          <w:szCs w:val="24"/>
          <w:highlight w:val="none"/>
        </w:rPr>
        <w:t>款规定的：</w:t>
      </w:r>
    </w:p>
    <w:p w14:paraId="0250C2C9">
      <w:pPr>
        <w:spacing w:line="290" w:lineRule="auto"/>
        <w:rPr>
          <w:rFonts w:ascii="宋体" w:hAnsi="宋体" w:eastAsia="宋体" w:cs="宋体"/>
          <w:strike/>
          <w:dstrike w:val="0"/>
          <w:color w:val="auto"/>
          <w:sz w:val="24"/>
          <w:szCs w:val="24"/>
          <w:highlight w:val="none"/>
        </w:rPr>
        <w:sectPr>
          <w:footerReference r:id="rId46" w:type="default"/>
          <w:pgSz w:w="11905" w:h="16840"/>
          <w:pgMar w:top="1427" w:right="1527" w:bottom="1255" w:left="1593" w:header="0" w:footer="1093" w:gutter="0"/>
          <w:pgNumType w:fmt="decimal"/>
          <w:cols w:space="720" w:num="1"/>
        </w:sectPr>
      </w:pPr>
    </w:p>
    <w:p w14:paraId="7EA33DB5">
      <w:pPr>
        <w:spacing w:before="47" w:line="213" w:lineRule="auto"/>
        <w:ind w:left="592"/>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17"/>
          <w:sz w:val="25"/>
          <w:szCs w:val="25"/>
          <w:highlight w:val="none"/>
        </w:rPr>
        <w:t>……</w:t>
      </w:r>
      <w:r>
        <w:rPr>
          <w:rFonts w:ascii="宋体" w:hAnsi="宋体" w:eastAsia="宋体" w:cs="宋体"/>
          <w:strike/>
          <w:dstrike w:val="0"/>
          <w:color w:val="auto"/>
          <w:spacing w:val="-57"/>
          <w:sz w:val="25"/>
          <w:szCs w:val="25"/>
          <w:highlight w:val="none"/>
        </w:rPr>
        <w:t xml:space="preserve"> </w:t>
      </w:r>
      <w:r>
        <w:rPr>
          <w:rFonts w:ascii="宋体" w:hAnsi="宋体" w:eastAsia="宋体" w:cs="宋体"/>
          <w:i/>
          <w:iCs/>
          <w:strike/>
          <w:dstrike w:val="0"/>
          <w:color w:val="auto"/>
          <w:spacing w:val="-17"/>
          <w:sz w:val="25"/>
          <w:szCs w:val="25"/>
          <w:highlight w:val="none"/>
        </w:rPr>
        <w:t>（由招标人自行扩充，如无，请填“无”）</w:t>
      </w:r>
    </w:p>
    <w:p w14:paraId="27FB5CA7">
      <w:pPr>
        <w:spacing w:before="178" w:line="290" w:lineRule="auto"/>
        <w:ind w:left="4" w:right="95"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10</w:t>
      </w:r>
      <w:r>
        <w:rPr>
          <w:rFonts w:ascii="宋体" w:hAnsi="宋体" w:eastAsia="宋体" w:cs="宋体"/>
          <w:strike/>
          <w:dstrike w:val="0"/>
          <w:color w:val="auto"/>
          <w:spacing w:val="1"/>
          <w:sz w:val="24"/>
          <w:szCs w:val="24"/>
          <w:highlight w:val="none"/>
        </w:rPr>
        <w:t>）采用的施工工艺、方法或质量安全管理措施不能满足国家强制性标准或</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9"/>
          <w:sz w:val="24"/>
          <w:szCs w:val="24"/>
          <w:highlight w:val="none"/>
        </w:rPr>
        <w:t>要求的。</w:t>
      </w:r>
    </w:p>
    <w:p w14:paraId="71ABD0D2">
      <w:pPr>
        <w:spacing w:before="180" w:line="289" w:lineRule="auto"/>
        <w:ind w:left="5" w:right="84"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11</w:t>
      </w:r>
      <w:r>
        <w:rPr>
          <w:rFonts w:ascii="宋体" w:hAnsi="宋体" w:eastAsia="宋体" w:cs="宋体"/>
          <w:strike/>
          <w:dstrike w:val="0"/>
          <w:color w:val="auto"/>
          <w:spacing w:val="-4"/>
          <w:sz w:val="24"/>
          <w:szCs w:val="24"/>
          <w:highlight w:val="none"/>
        </w:rPr>
        <w:t>）投标人存在投标人须知第“</w:t>
      </w:r>
      <w:r>
        <w:rPr>
          <w:rFonts w:ascii="Times New Roman" w:hAnsi="Times New Roman" w:eastAsia="Times New Roman" w:cs="Times New Roman"/>
          <w:strike/>
          <w:dstrike w:val="0"/>
          <w:color w:val="auto"/>
          <w:spacing w:val="-4"/>
          <w:sz w:val="24"/>
          <w:szCs w:val="24"/>
          <w:highlight w:val="none"/>
        </w:rPr>
        <w:t xml:space="preserve">1.4.3  </w:t>
      </w:r>
      <w:r>
        <w:rPr>
          <w:rFonts w:ascii="宋体" w:hAnsi="宋体" w:eastAsia="宋体" w:cs="宋体"/>
          <w:strike/>
          <w:dstrike w:val="0"/>
          <w:color w:val="auto"/>
          <w:spacing w:val="-4"/>
          <w:sz w:val="24"/>
          <w:szCs w:val="24"/>
          <w:highlight w:val="none"/>
        </w:rPr>
        <w:t>投标人不得存在下列情形之一</w:t>
      </w:r>
      <w:r>
        <w:rPr>
          <w:rFonts w:ascii="Times New Roman" w:hAnsi="Times New Roman" w:eastAsia="Times New Roman" w:cs="Times New Roman"/>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项或</w:t>
      </w:r>
      <w:r>
        <w:rPr>
          <w:rFonts w:ascii="宋体" w:hAnsi="宋体" w:eastAsia="宋体" w:cs="宋体"/>
          <w:strike/>
          <w:dstrike w:val="0"/>
          <w:color w:val="auto"/>
          <w:spacing w:val="-5"/>
          <w:sz w:val="24"/>
          <w:szCs w:val="24"/>
          <w:highlight w:val="none"/>
        </w:rPr>
        <w:t>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w:t>
      </w:r>
      <w:r>
        <w:rPr>
          <w:rFonts w:ascii="宋体" w:hAnsi="宋体" w:eastAsia="宋体" w:cs="宋体"/>
          <w:strike/>
          <w:dstrike w:val="0"/>
          <w:color w:val="auto"/>
          <w:spacing w:val="-2"/>
          <w:sz w:val="24"/>
          <w:szCs w:val="24"/>
          <w:highlight w:val="none"/>
        </w:rPr>
        <w:t>的。</w:t>
      </w:r>
    </w:p>
    <w:p w14:paraId="578D01B5">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12</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60"/>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17926F06">
      <w:pPr>
        <w:spacing w:before="178"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13</w:t>
      </w:r>
      <w:r>
        <w:rPr>
          <w:rFonts w:ascii="宋体" w:hAnsi="宋体" w:eastAsia="宋体" w:cs="宋体"/>
          <w:strike/>
          <w:dstrike w:val="0"/>
          <w:color w:val="auto"/>
          <w:spacing w:val="-2"/>
          <w:sz w:val="24"/>
          <w:szCs w:val="24"/>
          <w:highlight w:val="none"/>
        </w:rPr>
        <w:t>）存在法律、法规、规章规定的其他无效投标情况的。</w:t>
      </w:r>
    </w:p>
    <w:p w14:paraId="754A5A90">
      <w:pPr>
        <w:spacing w:before="182" w:line="220" w:lineRule="auto"/>
        <w:ind w:left="548"/>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2</w:t>
      </w:r>
      <w:r>
        <w:rPr>
          <w:rFonts w:ascii="Times New Roman" w:hAnsi="Times New Roman" w:eastAsia="Times New Roman" w:cs="Times New Roman"/>
          <w:strike/>
          <w:dstrike w:val="0"/>
          <w:color w:val="auto"/>
          <w:spacing w:val="-15"/>
          <w:sz w:val="24"/>
          <w:szCs w:val="24"/>
          <w:highlight w:val="none"/>
        </w:rPr>
        <w:t xml:space="preserve"> </w:t>
      </w:r>
      <w:r>
        <w:rPr>
          <w:rFonts w:ascii="宋体" w:hAnsi="宋体" w:eastAsia="宋体" w:cs="宋体"/>
          <w:strike/>
          <w:dstrike w:val="0"/>
          <w:color w:val="auto"/>
          <w:spacing w:val="-6"/>
          <w:sz w:val="24"/>
          <w:szCs w:val="24"/>
          <w:highlight w:val="none"/>
        </w:rPr>
        <w:t>．商务标符合性审查未通过的情形：</w:t>
      </w:r>
    </w:p>
    <w:p w14:paraId="137A08BC">
      <w:pPr>
        <w:spacing w:before="182" w:line="289" w:lineRule="auto"/>
        <w:ind w:left="2" w:right="9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代理人）未按招标文件要求签字或盖章的</w:t>
      </w:r>
    </w:p>
    <w:p w14:paraId="61D2F948">
      <w:pPr>
        <w:spacing w:before="183" w:line="289" w:lineRule="auto"/>
        <w:ind w:left="2" w:right="99"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）同一投标人提交两个以上不同的投标报价且未声明哪一个有效的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321A594A">
      <w:pPr>
        <w:spacing w:before="182" w:line="289" w:lineRule="auto"/>
        <w:ind w:left="2" w:right="86"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）投标函载明的投标工期和质量不满足招标文件要求的</w:t>
      </w:r>
      <w:r>
        <w:rPr>
          <w:rFonts w:ascii="Times New Roman" w:hAnsi="Times New Roman" w:eastAsia="Times New Roman" w:cs="Times New Roman"/>
          <w:strike/>
          <w:dstrike w:val="0"/>
          <w:color w:val="auto"/>
          <w:spacing w:val="3"/>
          <w:sz w:val="24"/>
          <w:szCs w:val="24"/>
          <w:highlight w:val="none"/>
        </w:rPr>
        <w:t>(</w:t>
      </w:r>
      <w:r>
        <w:rPr>
          <w:rFonts w:ascii="宋体" w:hAnsi="宋体" w:eastAsia="宋体" w:cs="宋体"/>
          <w:strike/>
          <w:dstrike w:val="0"/>
          <w:color w:val="auto"/>
          <w:spacing w:val="3"/>
          <w:sz w:val="24"/>
          <w:szCs w:val="24"/>
          <w:highlight w:val="none"/>
        </w:rPr>
        <w:t>以投标</w:t>
      </w:r>
      <w:r>
        <w:rPr>
          <w:rFonts w:ascii="宋体" w:hAnsi="宋体" w:eastAsia="宋体" w:cs="宋体"/>
          <w:strike/>
          <w:dstrike w:val="0"/>
          <w:color w:val="auto"/>
          <w:spacing w:val="2"/>
          <w:sz w:val="24"/>
          <w:szCs w:val="24"/>
          <w:highlight w:val="none"/>
        </w:rPr>
        <w:t>人须知前附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表第</w:t>
      </w:r>
      <w:r>
        <w:rPr>
          <w:rFonts w:ascii="Times New Roman" w:hAnsi="Times New Roman" w:eastAsia="Times New Roman" w:cs="Times New Roman"/>
          <w:strike/>
          <w:dstrike w:val="0"/>
          <w:color w:val="auto"/>
          <w:spacing w:val="-4"/>
          <w:sz w:val="24"/>
          <w:szCs w:val="24"/>
          <w:highlight w:val="none"/>
        </w:rPr>
        <w:t>1.3.2</w:t>
      </w:r>
      <w:r>
        <w:rPr>
          <w:rFonts w:ascii="Times New Roman" w:hAnsi="Times New Roman" w:eastAsia="Times New Roman" w:cs="Times New Roman"/>
          <w:strike/>
          <w:dstrike w:val="0"/>
          <w:color w:val="auto"/>
          <w:spacing w:val="-26"/>
          <w:sz w:val="24"/>
          <w:szCs w:val="24"/>
          <w:highlight w:val="none"/>
        </w:rPr>
        <w:t xml:space="preserve"> </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1.3.3</w:t>
      </w:r>
      <w:r>
        <w:rPr>
          <w:rFonts w:ascii="宋体" w:hAnsi="宋体" w:eastAsia="宋体" w:cs="宋体"/>
          <w:strike/>
          <w:dstrike w:val="0"/>
          <w:color w:val="auto"/>
          <w:spacing w:val="-4"/>
          <w:sz w:val="24"/>
          <w:szCs w:val="24"/>
          <w:highlight w:val="none"/>
        </w:rPr>
        <w:t>项为准）。</w:t>
      </w:r>
    </w:p>
    <w:p w14:paraId="082533AC">
      <w:pPr>
        <w:spacing w:before="182"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）投标报价高于招标文件设定的最高投标限价的或分项限价的。</w:t>
      </w:r>
    </w:p>
    <w:p w14:paraId="5AA0CF74">
      <w:pPr>
        <w:spacing w:before="181" w:line="313" w:lineRule="auto"/>
        <w:ind w:left="3" w:firstLine="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）改变招标人提供的工程量清单中的项目编码、项目名</w:t>
      </w:r>
      <w:r>
        <w:rPr>
          <w:rFonts w:ascii="宋体" w:hAnsi="宋体" w:eastAsia="宋体" w:cs="宋体"/>
          <w:strike/>
          <w:dstrike w:val="0"/>
          <w:color w:val="auto"/>
          <w:sz w:val="24"/>
          <w:szCs w:val="24"/>
          <w:highlight w:val="none"/>
        </w:rPr>
        <w:t xml:space="preserve">称、项目主要特征、 </w:t>
      </w:r>
      <w:r>
        <w:rPr>
          <w:rFonts w:ascii="宋体" w:hAnsi="宋体" w:eastAsia="宋体" w:cs="宋体"/>
          <w:strike/>
          <w:dstrike w:val="0"/>
          <w:color w:val="auto"/>
          <w:spacing w:val="-3"/>
          <w:sz w:val="24"/>
          <w:szCs w:val="24"/>
          <w:highlight w:val="none"/>
        </w:rPr>
        <w:t>计量单位、工程数量、主要技术条款编码、金额等内容的（但按照国家规范所作的修</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改和招标文件规定的除外）。</w:t>
      </w:r>
    </w:p>
    <w:p w14:paraId="44B753D2">
      <w:pPr>
        <w:spacing w:before="181" w:line="220"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）投标人存在投标人须知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项规定情形之一的。</w:t>
      </w:r>
    </w:p>
    <w:p w14:paraId="7DF19A6E">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7</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356F5056">
      <w:pPr>
        <w:spacing w:before="179"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）存在法律、法规、规章规定的其他无效投标情况的。</w:t>
      </w:r>
    </w:p>
    <w:p w14:paraId="28B76B48">
      <w:pPr>
        <w:spacing w:before="182"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  </w:t>
      </w:r>
      <w:r>
        <w:rPr>
          <w:rFonts w:ascii="楷体" w:hAnsi="楷体" w:eastAsia="楷体" w:cs="楷体"/>
          <w:b/>
          <w:bCs/>
          <w:strike/>
          <w:dstrike w:val="0"/>
          <w:color w:val="auto"/>
          <w:spacing w:val="-2"/>
          <w:sz w:val="24"/>
          <w:szCs w:val="24"/>
          <w:highlight w:val="none"/>
        </w:rPr>
        <w:t>投标文件的技术评分</w:t>
      </w:r>
    </w:p>
    <w:p w14:paraId="12C310D7">
      <w:pPr>
        <w:spacing w:before="179" w:line="355" w:lineRule="auto"/>
        <w:ind w:left="2" w:right="84"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评标委员会对通过符合性评审的投标文件进行技术评分，评标专家对投标文件</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4"/>
          <w:sz w:val="24"/>
          <w:szCs w:val="24"/>
          <w:highlight w:val="none"/>
        </w:rPr>
        <w:t>的技术部分进行详细评审后采用记名方式各自评分，技术评分为全体</w:t>
      </w:r>
      <w:r>
        <w:rPr>
          <w:rFonts w:ascii="宋体" w:hAnsi="宋体" w:eastAsia="宋体" w:cs="宋体"/>
          <w:strike/>
          <w:dstrike w:val="0"/>
          <w:color w:val="auto"/>
          <w:spacing w:val="3"/>
          <w:sz w:val="24"/>
          <w:szCs w:val="24"/>
          <w:highlight w:val="none"/>
        </w:rPr>
        <w:t>评标专家评分</w:t>
      </w:r>
      <w:r>
        <w:rPr>
          <w:rFonts w:ascii="宋体" w:hAnsi="宋体" w:eastAsia="宋体" w:cs="宋体"/>
          <w:strike/>
          <w:dstrike w:val="0"/>
          <w:color w:val="auto"/>
          <w:sz w:val="24"/>
          <w:szCs w:val="24"/>
          <w:highlight w:val="none"/>
        </w:rPr>
        <w:t xml:space="preserve"> （扣除一个最高和一个最低分）的算术平均值（保留</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位小数，四舍五入）。如某一</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3"/>
          <w:sz w:val="24"/>
          <w:szCs w:val="24"/>
          <w:highlight w:val="none"/>
        </w:rPr>
        <w:t>份评分表的某一项评分，超过评分细则所规定的分值范围，则该份评分表无效。技术</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14"/>
          <w:sz w:val="24"/>
          <w:szCs w:val="24"/>
          <w:highlight w:val="none"/>
        </w:rPr>
        <w:t>评分满分</w:t>
      </w:r>
      <w:r>
        <w:rPr>
          <w:rFonts w:ascii="宋体" w:hAnsi="宋体" w:eastAsia="宋体" w:cs="宋体"/>
          <w:strike/>
          <w:dstrike w:val="0"/>
          <w:color w:val="auto"/>
          <w:spacing w:val="-14"/>
          <w:sz w:val="24"/>
          <w:szCs w:val="24"/>
          <w:highlight w:val="none"/>
          <w:u w:val="single" w:color="auto"/>
        </w:rPr>
        <w:t xml:space="preserve">  </w:t>
      </w:r>
      <w:r>
        <w:rPr>
          <w:rFonts w:ascii="宋体" w:hAnsi="宋体" w:eastAsia="宋体" w:cs="宋体"/>
          <w:strike/>
          <w:dstrike w:val="0"/>
          <w:color w:val="auto"/>
          <w:spacing w:val="-94"/>
          <w:sz w:val="24"/>
          <w:szCs w:val="24"/>
          <w:highlight w:val="none"/>
        </w:rPr>
        <w:t xml:space="preserve"> </w:t>
      </w:r>
      <w:r>
        <w:rPr>
          <w:rFonts w:ascii="宋体" w:hAnsi="宋体" w:eastAsia="宋体" w:cs="宋体"/>
          <w:strike/>
          <w:dstrike w:val="0"/>
          <w:color w:val="auto"/>
          <w:spacing w:val="-14"/>
          <w:sz w:val="24"/>
          <w:szCs w:val="24"/>
          <w:highlight w:val="none"/>
        </w:rPr>
        <w:t>分</w:t>
      </w:r>
      <w:r>
        <w:rPr>
          <w:rFonts w:ascii="宋体" w:hAnsi="宋体" w:eastAsia="宋体" w:cs="宋体"/>
          <w:i/>
          <w:iCs/>
          <w:strike/>
          <w:dstrike w:val="0"/>
          <w:color w:val="auto"/>
          <w:spacing w:val="-14"/>
          <w:sz w:val="25"/>
          <w:szCs w:val="25"/>
          <w:highlight w:val="none"/>
        </w:rPr>
        <w:t>（与资信评分之和不得超过</w:t>
      </w:r>
      <w:r>
        <w:rPr>
          <w:rFonts w:ascii="Times New Roman" w:hAnsi="Times New Roman" w:eastAsia="Times New Roman" w:cs="Times New Roman"/>
          <w:i/>
          <w:iCs/>
          <w:strike/>
          <w:dstrike w:val="0"/>
          <w:color w:val="auto"/>
          <w:spacing w:val="-14"/>
          <w:sz w:val="24"/>
          <w:szCs w:val="24"/>
          <w:highlight w:val="none"/>
        </w:rPr>
        <w:t xml:space="preserve">30  </w:t>
      </w:r>
      <w:r>
        <w:rPr>
          <w:rFonts w:ascii="宋体" w:hAnsi="宋体" w:eastAsia="宋体" w:cs="宋体"/>
          <w:i/>
          <w:iCs/>
          <w:strike/>
          <w:dstrike w:val="0"/>
          <w:color w:val="auto"/>
          <w:spacing w:val="-14"/>
          <w:sz w:val="25"/>
          <w:szCs w:val="25"/>
          <w:highlight w:val="none"/>
        </w:rPr>
        <w:t>分，且各分项最低得分不得低于分项最高</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3"/>
          <w:sz w:val="25"/>
          <w:szCs w:val="25"/>
          <w:highlight w:val="none"/>
        </w:rPr>
        <w:t>得分的</w:t>
      </w:r>
      <w:r>
        <w:rPr>
          <w:rFonts w:ascii="Times New Roman" w:hAnsi="Times New Roman" w:eastAsia="Times New Roman" w:cs="Times New Roman"/>
          <w:i/>
          <w:iCs/>
          <w:strike/>
          <w:dstrike w:val="0"/>
          <w:color w:val="auto"/>
          <w:spacing w:val="-13"/>
          <w:sz w:val="24"/>
          <w:szCs w:val="24"/>
          <w:highlight w:val="none"/>
        </w:rPr>
        <w:t>60%</w:t>
      </w:r>
      <w:r>
        <w:rPr>
          <w:rFonts w:ascii="Times New Roman" w:hAnsi="Times New Roman" w:eastAsia="Times New Roman" w:cs="Times New Roman"/>
          <w:i/>
          <w:iCs/>
          <w:strike/>
          <w:dstrike w:val="0"/>
          <w:color w:val="auto"/>
          <w:spacing w:val="22"/>
          <w:sz w:val="24"/>
          <w:szCs w:val="24"/>
          <w:highlight w:val="none"/>
        </w:rPr>
        <w:t xml:space="preserve"> </w:t>
      </w:r>
      <w:r>
        <w:rPr>
          <w:rFonts w:ascii="宋体" w:hAnsi="宋体" w:eastAsia="宋体" w:cs="宋体"/>
          <w:i/>
          <w:iCs/>
          <w:strike/>
          <w:dstrike w:val="0"/>
          <w:color w:val="auto"/>
          <w:spacing w:val="-13"/>
          <w:sz w:val="25"/>
          <w:szCs w:val="25"/>
          <w:highlight w:val="none"/>
        </w:rPr>
        <w:t>，缺项不受最低分限制按零分计）</w:t>
      </w:r>
      <w:r>
        <w:rPr>
          <w:rFonts w:ascii="宋体" w:hAnsi="宋体" w:eastAsia="宋体" w:cs="宋体"/>
          <w:strike/>
          <w:dstrike w:val="0"/>
          <w:color w:val="auto"/>
          <w:spacing w:val="-13"/>
          <w:sz w:val="24"/>
          <w:szCs w:val="24"/>
          <w:highlight w:val="none"/>
        </w:rPr>
        <w:t>。</w:t>
      </w:r>
    </w:p>
    <w:p w14:paraId="2AF88C05">
      <w:pPr>
        <w:spacing w:line="355" w:lineRule="auto"/>
        <w:rPr>
          <w:rFonts w:ascii="宋体" w:hAnsi="宋体" w:eastAsia="宋体" w:cs="宋体"/>
          <w:strike/>
          <w:dstrike w:val="0"/>
          <w:color w:val="auto"/>
          <w:sz w:val="24"/>
          <w:szCs w:val="24"/>
          <w:highlight w:val="none"/>
        </w:rPr>
        <w:sectPr>
          <w:footerReference r:id="rId47" w:type="default"/>
          <w:pgSz w:w="11905" w:h="16840"/>
          <w:pgMar w:top="1428" w:right="1444" w:bottom="1255" w:left="1593" w:header="0" w:footer="1093" w:gutter="0"/>
          <w:pgNumType w:fmt="decimal"/>
          <w:cols w:space="720" w:num="1"/>
        </w:sectPr>
      </w:pPr>
    </w:p>
    <w:p w14:paraId="64FECA0A">
      <w:pPr>
        <w:spacing w:before="48" w:line="212" w:lineRule="auto"/>
        <w:ind w:left="3593"/>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技术评分标准表</w:t>
      </w:r>
    </w:p>
    <w:tbl>
      <w:tblPr>
        <w:tblStyle w:val="16"/>
        <w:tblW w:w="8759" w:type="dxa"/>
        <w:tblInd w:w="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8"/>
        <w:gridCol w:w="5800"/>
        <w:gridCol w:w="1132"/>
        <w:gridCol w:w="999"/>
      </w:tblGrid>
      <w:tr w14:paraId="46FA1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28" w:type="dxa"/>
            <w:vMerge w:val="restart"/>
            <w:tcBorders>
              <w:top w:val="single" w:color="000000" w:sz="6" w:space="0"/>
              <w:left w:val="single" w:color="000000" w:sz="6" w:space="0"/>
              <w:bottom w:val="nil"/>
            </w:tcBorders>
            <w:vAlign w:val="top"/>
          </w:tcPr>
          <w:p w14:paraId="3D2F213D">
            <w:pPr>
              <w:spacing w:line="288" w:lineRule="auto"/>
              <w:rPr>
                <w:rFonts w:ascii="Arial"/>
                <w:strike/>
                <w:dstrike w:val="0"/>
                <w:color w:val="auto"/>
                <w:sz w:val="21"/>
                <w:highlight w:val="none"/>
              </w:rPr>
            </w:pPr>
          </w:p>
          <w:p w14:paraId="4E60DC78">
            <w:pPr>
              <w:pStyle w:val="17"/>
              <w:spacing w:before="69" w:line="221" w:lineRule="auto"/>
              <w:ind w:left="202"/>
              <w:rPr>
                <w:strike/>
                <w:dstrike w:val="0"/>
                <w:color w:val="auto"/>
                <w:sz w:val="21"/>
                <w:szCs w:val="21"/>
                <w:highlight w:val="none"/>
              </w:rPr>
            </w:pPr>
            <w:r>
              <w:rPr>
                <w:strike/>
                <w:dstrike w:val="0"/>
                <w:color w:val="auto"/>
                <w:spacing w:val="-2"/>
                <w:sz w:val="21"/>
                <w:szCs w:val="21"/>
                <w:highlight w:val="none"/>
              </w:rPr>
              <w:t>序号</w:t>
            </w:r>
          </w:p>
        </w:tc>
        <w:tc>
          <w:tcPr>
            <w:tcW w:w="5800" w:type="dxa"/>
            <w:vMerge w:val="restart"/>
            <w:tcBorders>
              <w:top w:val="single" w:color="000000" w:sz="6" w:space="0"/>
              <w:bottom w:val="nil"/>
            </w:tcBorders>
            <w:vAlign w:val="top"/>
          </w:tcPr>
          <w:p w14:paraId="4B857F40">
            <w:pPr>
              <w:spacing w:line="288" w:lineRule="auto"/>
              <w:rPr>
                <w:rFonts w:ascii="Arial"/>
                <w:strike/>
                <w:dstrike w:val="0"/>
                <w:color w:val="auto"/>
                <w:sz w:val="21"/>
                <w:highlight w:val="none"/>
              </w:rPr>
            </w:pPr>
          </w:p>
          <w:p w14:paraId="291CFD2D">
            <w:pPr>
              <w:pStyle w:val="17"/>
              <w:spacing w:before="68" w:line="220" w:lineRule="auto"/>
              <w:ind w:left="2195"/>
              <w:rPr>
                <w:strike/>
                <w:dstrike w:val="0"/>
                <w:color w:val="auto"/>
                <w:sz w:val="21"/>
                <w:szCs w:val="21"/>
                <w:highlight w:val="none"/>
              </w:rPr>
            </w:pPr>
            <w:r>
              <w:rPr>
                <w:strike/>
                <w:dstrike w:val="0"/>
                <w:color w:val="auto"/>
                <w:spacing w:val="-14"/>
                <w:sz w:val="21"/>
                <w:szCs w:val="21"/>
                <w:highlight w:val="none"/>
              </w:rPr>
              <w:t>内</w:t>
            </w:r>
            <w:r>
              <w:rPr>
                <w:strike/>
                <w:dstrike w:val="0"/>
                <w:color w:val="auto"/>
                <w:spacing w:val="6"/>
                <w:sz w:val="21"/>
                <w:szCs w:val="21"/>
                <w:highlight w:val="none"/>
              </w:rPr>
              <w:t xml:space="preserve">  </w:t>
            </w:r>
            <w:r>
              <w:rPr>
                <w:strike/>
                <w:dstrike w:val="0"/>
                <w:color w:val="auto"/>
                <w:spacing w:val="-14"/>
                <w:sz w:val="21"/>
                <w:szCs w:val="21"/>
                <w:highlight w:val="none"/>
              </w:rPr>
              <w:t>容</w:t>
            </w:r>
            <w:r>
              <w:rPr>
                <w:strike/>
                <w:dstrike w:val="0"/>
                <w:color w:val="auto"/>
                <w:spacing w:val="5"/>
                <w:sz w:val="21"/>
                <w:szCs w:val="21"/>
                <w:highlight w:val="none"/>
              </w:rPr>
              <w:t xml:space="preserve">  </w:t>
            </w:r>
            <w:r>
              <w:rPr>
                <w:strike/>
                <w:dstrike w:val="0"/>
                <w:color w:val="auto"/>
                <w:spacing w:val="-14"/>
                <w:sz w:val="21"/>
                <w:szCs w:val="21"/>
                <w:highlight w:val="none"/>
              </w:rPr>
              <w:t>要</w:t>
            </w:r>
            <w:r>
              <w:rPr>
                <w:strike/>
                <w:dstrike w:val="0"/>
                <w:color w:val="auto"/>
                <w:spacing w:val="4"/>
                <w:sz w:val="21"/>
                <w:szCs w:val="21"/>
                <w:highlight w:val="none"/>
              </w:rPr>
              <w:t xml:space="preserve">  </w:t>
            </w:r>
            <w:r>
              <w:rPr>
                <w:strike/>
                <w:dstrike w:val="0"/>
                <w:color w:val="auto"/>
                <w:spacing w:val="-14"/>
                <w:sz w:val="21"/>
                <w:szCs w:val="21"/>
                <w:highlight w:val="none"/>
              </w:rPr>
              <w:t>求</w:t>
            </w:r>
          </w:p>
        </w:tc>
        <w:tc>
          <w:tcPr>
            <w:tcW w:w="2131" w:type="dxa"/>
            <w:gridSpan w:val="2"/>
            <w:tcBorders>
              <w:top w:val="single" w:color="000000" w:sz="6" w:space="0"/>
              <w:right w:val="single" w:color="000000" w:sz="6" w:space="0"/>
            </w:tcBorders>
            <w:vAlign w:val="top"/>
          </w:tcPr>
          <w:p w14:paraId="3D823054">
            <w:pPr>
              <w:pStyle w:val="17"/>
              <w:spacing w:before="126" w:line="220" w:lineRule="auto"/>
              <w:ind w:left="706"/>
              <w:rPr>
                <w:strike/>
                <w:dstrike w:val="0"/>
                <w:color w:val="auto"/>
                <w:sz w:val="21"/>
                <w:szCs w:val="21"/>
                <w:highlight w:val="none"/>
              </w:rPr>
            </w:pPr>
            <w:r>
              <w:rPr>
                <w:strike/>
                <w:dstrike w:val="0"/>
                <w:color w:val="auto"/>
                <w:spacing w:val="-5"/>
                <w:sz w:val="21"/>
                <w:szCs w:val="21"/>
                <w:highlight w:val="none"/>
              </w:rPr>
              <w:t>得</w:t>
            </w:r>
            <w:r>
              <w:rPr>
                <w:strike/>
                <w:dstrike w:val="0"/>
                <w:color w:val="auto"/>
                <w:spacing w:val="3"/>
                <w:sz w:val="21"/>
                <w:szCs w:val="21"/>
                <w:highlight w:val="none"/>
              </w:rPr>
              <w:t xml:space="preserve">   </w:t>
            </w:r>
            <w:r>
              <w:rPr>
                <w:strike/>
                <w:dstrike w:val="0"/>
                <w:color w:val="auto"/>
                <w:spacing w:val="-5"/>
                <w:sz w:val="21"/>
                <w:szCs w:val="21"/>
                <w:highlight w:val="none"/>
              </w:rPr>
              <w:t>分</w:t>
            </w:r>
          </w:p>
        </w:tc>
      </w:tr>
      <w:tr w14:paraId="0865D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vMerge w:val="continue"/>
            <w:tcBorders>
              <w:top w:val="nil"/>
              <w:left w:val="single" w:color="000000" w:sz="6" w:space="0"/>
            </w:tcBorders>
            <w:vAlign w:val="top"/>
          </w:tcPr>
          <w:p w14:paraId="7509643B">
            <w:pPr>
              <w:rPr>
                <w:rFonts w:ascii="Arial"/>
                <w:strike/>
                <w:dstrike w:val="0"/>
                <w:color w:val="auto"/>
                <w:sz w:val="21"/>
                <w:highlight w:val="none"/>
              </w:rPr>
            </w:pPr>
          </w:p>
        </w:tc>
        <w:tc>
          <w:tcPr>
            <w:tcW w:w="5800" w:type="dxa"/>
            <w:vMerge w:val="continue"/>
            <w:tcBorders>
              <w:top w:val="nil"/>
            </w:tcBorders>
            <w:vAlign w:val="top"/>
          </w:tcPr>
          <w:p w14:paraId="41F02296">
            <w:pPr>
              <w:rPr>
                <w:rFonts w:ascii="Arial"/>
                <w:strike/>
                <w:dstrike w:val="0"/>
                <w:color w:val="auto"/>
                <w:sz w:val="21"/>
                <w:highlight w:val="none"/>
              </w:rPr>
            </w:pPr>
          </w:p>
        </w:tc>
        <w:tc>
          <w:tcPr>
            <w:tcW w:w="1132" w:type="dxa"/>
            <w:vAlign w:val="top"/>
          </w:tcPr>
          <w:p w14:paraId="00C7587E">
            <w:pPr>
              <w:pStyle w:val="17"/>
              <w:spacing w:before="122" w:line="220" w:lineRule="auto"/>
              <w:ind w:left="368"/>
              <w:rPr>
                <w:strike/>
                <w:dstrike w:val="0"/>
                <w:color w:val="auto"/>
                <w:sz w:val="21"/>
                <w:szCs w:val="21"/>
                <w:highlight w:val="none"/>
              </w:rPr>
            </w:pPr>
            <w:r>
              <w:rPr>
                <w:strike/>
                <w:dstrike w:val="0"/>
                <w:color w:val="auto"/>
                <w:spacing w:val="-3"/>
                <w:sz w:val="21"/>
                <w:szCs w:val="21"/>
                <w:highlight w:val="none"/>
              </w:rPr>
              <w:t>最高</w:t>
            </w:r>
          </w:p>
        </w:tc>
        <w:tc>
          <w:tcPr>
            <w:tcW w:w="999" w:type="dxa"/>
            <w:tcBorders>
              <w:right w:val="single" w:color="000000" w:sz="6" w:space="0"/>
            </w:tcBorders>
            <w:vAlign w:val="top"/>
          </w:tcPr>
          <w:p w14:paraId="4D4749CD">
            <w:pPr>
              <w:pStyle w:val="17"/>
              <w:spacing w:before="122" w:line="220" w:lineRule="auto"/>
              <w:ind w:left="299"/>
              <w:rPr>
                <w:strike/>
                <w:dstrike w:val="0"/>
                <w:color w:val="auto"/>
                <w:sz w:val="21"/>
                <w:szCs w:val="21"/>
                <w:highlight w:val="none"/>
              </w:rPr>
            </w:pPr>
            <w:r>
              <w:rPr>
                <w:strike/>
                <w:dstrike w:val="0"/>
                <w:color w:val="auto"/>
                <w:spacing w:val="-3"/>
                <w:sz w:val="21"/>
                <w:szCs w:val="21"/>
                <w:highlight w:val="none"/>
              </w:rPr>
              <w:t>最低</w:t>
            </w:r>
          </w:p>
        </w:tc>
      </w:tr>
      <w:tr w14:paraId="40900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3F6E4C2E">
            <w:pPr>
              <w:spacing w:before="160" w:line="188" w:lineRule="auto"/>
              <w:ind w:left="37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5800" w:type="dxa"/>
            <w:vAlign w:val="top"/>
          </w:tcPr>
          <w:p w14:paraId="78059453">
            <w:pPr>
              <w:pStyle w:val="17"/>
              <w:spacing w:before="162" w:line="158" w:lineRule="auto"/>
              <w:ind w:left="172"/>
              <w:rPr>
                <w:strike/>
                <w:dstrike w:val="0"/>
                <w:color w:val="auto"/>
                <w:sz w:val="22"/>
                <w:szCs w:val="22"/>
                <w:highlight w:val="none"/>
              </w:rPr>
            </w:pPr>
            <w:r>
              <w:rPr>
                <w:i/>
                <w:iCs/>
                <w:strike/>
                <w:dstrike w:val="0"/>
                <w:color w:val="auto"/>
                <w:spacing w:val="-16"/>
                <w:sz w:val="22"/>
                <w:szCs w:val="22"/>
                <w:highlight w:val="none"/>
              </w:rPr>
              <w:t>项目管理人员的配备和专业配置</w:t>
            </w:r>
          </w:p>
        </w:tc>
        <w:tc>
          <w:tcPr>
            <w:tcW w:w="1132" w:type="dxa"/>
            <w:vAlign w:val="top"/>
          </w:tcPr>
          <w:p w14:paraId="636D727F">
            <w:pPr>
              <w:rPr>
                <w:rFonts w:ascii="Arial"/>
                <w:strike/>
                <w:dstrike w:val="0"/>
                <w:color w:val="auto"/>
                <w:sz w:val="21"/>
                <w:highlight w:val="none"/>
              </w:rPr>
            </w:pPr>
          </w:p>
        </w:tc>
        <w:tc>
          <w:tcPr>
            <w:tcW w:w="999" w:type="dxa"/>
            <w:tcBorders>
              <w:right w:val="single" w:color="000000" w:sz="6" w:space="0"/>
            </w:tcBorders>
            <w:vAlign w:val="top"/>
          </w:tcPr>
          <w:p w14:paraId="6FCBF97C">
            <w:pPr>
              <w:rPr>
                <w:rFonts w:ascii="Arial"/>
                <w:strike/>
                <w:dstrike w:val="0"/>
                <w:color w:val="auto"/>
                <w:sz w:val="21"/>
                <w:highlight w:val="none"/>
              </w:rPr>
            </w:pPr>
          </w:p>
        </w:tc>
      </w:tr>
      <w:tr w14:paraId="254416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vAlign w:val="top"/>
          </w:tcPr>
          <w:p w14:paraId="6555DC90">
            <w:pPr>
              <w:spacing w:before="162" w:line="188" w:lineRule="auto"/>
              <w:ind w:left="35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2</w:t>
            </w:r>
          </w:p>
        </w:tc>
        <w:tc>
          <w:tcPr>
            <w:tcW w:w="5800" w:type="dxa"/>
            <w:vAlign w:val="top"/>
          </w:tcPr>
          <w:p w14:paraId="3DD36B09">
            <w:pPr>
              <w:pStyle w:val="17"/>
              <w:spacing w:before="167" w:line="184" w:lineRule="exact"/>
              <w:ind w:left="145"/>
              <w:rPr>
                <w:strike/>
                <w:dstrike w:val="0"/>
                <w:color w:val="auto"/>
                <w:sz w:val="22"/>
                <w:szCs w:val="22"/>
                <w:highlight w:val="none"/>
              </w:rPr>
            </w:pPr>
            <w:r>
              <w:rPr>
                <w:i/>
                <w:iCs/>
                <w:strike/>
                <w:dstrike w:val="0"/>
                <w:color w:val="auto"/>
                <w:spacing w:val="-14"/>
                <w:position w:val="-3"/>
                <w:sz w:val="22"/>
                <w:szCs w:val="22"/>
                <w:highlight w:val="none"/>
              </w:rPr>
              <w:t>施工总平面布置</w:t>
            </w:r>
          </w:p>
        </w:tc>
        <w:tc>
          <w:tcPr>
            <w:tcW w:w="1132" w:type="dxa"/>
            <w:vAlign w:val="top"/>
          </w:tcPr>
          <w:p w14:paraId="5DFB27BF">
            <w:pPr>
              <w:rPr>
                <w:rFonts w:ascii="Arial"/>
                <w:strike/>
                <w:dstrike w:val="0"/>
                <w:color w:val="auto"/>
                <w:sz w:val="21"/>
                <w:highlight w:val="none"/>
              </w:rPr>
            </w:pPr>
          </w:p>
        </w:tc>
        <w:tc>
          <w:tcPr>
            <w:tcW w:w="999" w:type="dxa"/>
            <w:tcBorders>
              <w:right w:val="single" w:color="000000" w:sz="6" w:space="0"/>
            </w:tcBorders>
            <w:vAlign w:val="top"/>
          </w:tcPr>
          <w:p w14:paraId="3D694E35">
            <w:pPr>
              <w:rPr>
                <w:rFonts w:ascii="Arial"/>
                <w:strike/>
                <w:dstrike w:val="0"/>
                <w:color w:val="auto"/>
                <w:sz w:val="21"/>
                <w:highlight w:val="none"/>
              </w:rPr>
            </w:pPr>
          </w:p>
        </w:tc>
      </w:tr>
      <w:tr w14:paraId="4C5CC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0345F0B4">
            <w:pPr>
              <w:spacing w:before="163" w:line="188" w:lineRule="auto"/>
              <w:ind w:left="36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3</w:t>
            </w:r>
          </w:p>
        </w:tc>
        <w:tc>
          <w:tcPr>
            <w:tcW w:w="5800" w:type="dxa"/>
            <w:vAlign w:val="top"/>
          </w:tcPr>
          <w:p w14:paraId="099A4859">
            <w:pPr>
              <w:pStyle w:val="17"/>
              <w:spacing w:before="168" w:line="184" w:lineRule="exact"/>
              <w:ind w:left="142"/>
              <w:rPr>
                <w:strike/>
                <w:dstrike w:val="0"/>
                <w:color w:val="auto"/>
                <w:sz w:val="22"/>
                <w:szCs w:val="22"/>
                <w:highlight w:val="none"/>
              </w:rPr>
            </w:pPr>
            <w:r>
              <w:rPr>
                <w:i/>
                <w:iCs/>
                <w:strike/>
                <w:dstrike w:val="0"/>
                <w:color w:val="auto"/>
                <w:spacing w:val="-14"/>
                <w:position w:val="-3"/>
                <w:sz w:val="22"/>
                <w:szCs w:val="22"/>
                <w:highlight w:val="none"/>
              </w:rPr>
              <w:t>施工进度计划</w:t>
            </w:r>
          </w:p>
        </w:tc>
        <w:tc>
          <w:tcPr>
            <w:tcW w:w="1132" w:type="dxa"/>
            <w:vAlign w:val="top"/>
          </w:tcPr>
          <w:p w14:paraId="1FC2C89C">
            <w:pPr>
              <w:rPr>
                <w:rFonts w:ascii="Arial"/>
                <w:strike/>
                <w:dstrike w:val="0"/>
                <w:color w:val="auto"/>
                <w:sz w:val="21"/>
                <w:highlight w:val="none"/>
              </w:rPr>
            </w:pPr>
          </w:p>
        </w:tc>
        <w:tc>
          <w:tcPr>
            <w:tcW w:w="999" w:type="dxa"/>
            <w:tcBorders>
              <w:right w:val="single" w:color="000000" w:sz="6" w:space="0"/>
            </w:tcBorders>
            <w:vAlign w:val="top"/>
          </w:tcPr>
          <w:p w14:paraId="367BFCFA">
            <w:pPr>
              <w:rPr>
                <w:rFonts w:ascii="Arial"/>
                <w:strike/>
                <w:dstrike w:val="0"/>
                <w:color w:val="auto"/>
                <w:sz w:val="21"/>
                <w:highlight w:val="none"/>
              </w:rPr>
            </w:pPr>
          </w:p>
        </w:tc>
      </w:tr>
      <w:tr w14:paraId="65630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4F8A0562">
            <w:pPr>
              <w:spacing w:before="164" w:line="188" w:lineRule="auto"/>
              <w:ind w:left="35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4</w:t>
            </w:r>
          </w:p>
        </w:tc>
        <w:tc>
          <w:tcPr>
            <w:tcW w:w="5800" w:type="dxa"/>
            <w:vAlign w:val="top"/>
          </w:tcPr>
          <w:p w14:paraId="6E132A8D">
            <w:pPr>
              <w:pStyle w:val="17"/>
              <w:spacing w:before="168" w:line="184" w:lineRule="exact"/>
              <w:ind w:left="146"/>
              <w:rPr>
                <w:strike/>
                <w:dstrike w:val="0"/>
                <w:color w:val="auto"/>
                <w:sz w:val="22"/>
                <w:szCs w:val="22"/>
                <w:highlight w:val="none"/>
              </w:rPr>
            </w:pPr>
            <w:r>
              <w:rPr>
                <w:i/>
                <w:iCs/>
                <w:strike/>
                <w:dstrike w:val="0"/>
                <w:color w:val="auto"/>
                <w:spacing w:val="-14"/>
                <w:position w:val="-2"/>
                <w:sz w:val="22"/>
                <w:szCs w:val="22"/>
                <w:highlight w:val="none"/>
              </w:rPr>
              <w:t>施工质量的控制</w:t>
            </w:r>
          </w:p>
        </w:tc>
        <w:tc>
          <w:tcPr>
            <w:tcW w:w="1132" w:type="dxa"/>
            <w:vAlign w:val="top"/>
          </w:tcPr>
          <w:p w14:paraId="04FD2E7D">
            <w:pPr>
              <w:rPr>
                <w:rFonts w:ascii="Arial"/>
                <w:strike/>
                <w:dstrike w:val="0"/>
                <w:color w:val="auto"/>
                <w:sz w:val="21"/>
                <w:highlight w:val="none"/>
              </w:rPr>
            </w:pPr>
          </w:p>
        </w:tc>
        <w:tc>
          <w:tcPr>
            <w:tcW w:w="999" w:type="dxa"/>
            <w:tcBorders>
              <w:right w:val="single" w:color="000000" w:sz="6" w:space="0"/>
            </w:tcBorders>
            <w:vAlign w:val="top"/>
          </w:tcPr>
          <w:p w14:paraId="25212411">
            <w:pPr>
              <w:rPr>
                <w:rFonts w:ascii="Arial"/>
                <w:strike/>
                <w:dstrike w:val="0"/>
                <w:color w:val="auto"/>
                <w:sz w:val="21"/>
                <w:highlight w:val="none"/>
              </w:rPr>
            </w:pPr>
          </w:p>
        </w:tc>
      </w:tr>
      <w:tr w14:paraId="2ABB83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vAlign w:val="top"/>
          </w:tcPr>
          <w:p w14:paraId="6BA6E8C0">
            <w:pPr>
              <w:spacing w:before="168" w:line="185" w:lineRule="auto"/>
              <w:ind w:left="362"/>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5</w:t>
            </w:r>
          </w:p>
        </w:tc>
        <w:tc>
          <w:tcPr>
            <w:tcW w:w="5800" w:type="dxa"/>
            <w:vAlign w:val="top"/>
          </w:tcPr>
          <w:p w14:paraId="3B0B3E18">
            <w:pPr>
              <w:pStyle w:val="17"/>
              <w:spacing w:before="169" w:line="187" w:lineRule="exact"/>
              <w:ind w:left="163"/>
              <w:rPr>
                <w:strike/>
                <w:dstrike w:val="0"/>
                <w:color w:val="auto"/>
                <w:sz w:val="22"/>
                <w:szCs w:val="22"/>
                <w:highlight w:val="none"/>
              </w:rPr>
            </w:pPr>
            <w:r>
              <w:rPr>
                <w:i/>
                <w:iCs/>
                <w:strike/>
                <w:dstrike w:val="0"/>
                <w:color w:val="auto"/>
                <w:spacing w:val="-16"/>
                <w:position w:val="-1"/>
                <w:sz w:val="22"/>
                <w:szCs w:val="22"/>
                <w:highlight w:val="none"/>
              </w:rPr>
              <w:t>施工设备和检验仪器的投入</w:t>
            </w:r>
          </w:p>
        </w:tc>
        <w:tc>
          <w:tcPr>
            <w:tcW w:w="1132" w:type="dxa"/>
            <w:vAlign w:val="top"/>
          </w:tcPr>
          <w:p w14:paraId="4AC7D56C">
            <w:pPr>
              <w:rPr>
                <w:rFonts w:ascii="Arial"/>
                <w:strike/>
                <w:dstrike w:val="0"/>
                <w:color w:val="auto"/>
                <w:sz w:val="21"/>
                <w:highlight w:val="none"/>
              </w:rPr>
            </w:pPr>
          </w:p>
        </w:tc>
        <w:tc>
          <w:tcPr>
            <w:tcW w:w="999" w:type="dxa"/>
            <w:tcBorders>
              <w:right w:val="single" w:color="000000" w:sz="6" w:space="0"/>
            </w:tcBorders>
            <w:vAlign w:val="top"/>
          </w:tcPr>
          <w:p w14:paraId="5E84E269">
            <w:pPr>
              <w:rPr>
                <w:rFonts w:ascii="Arial"/>
                <w:strike/>
                <w:dstrike w:val="0"/>
                <w:color w:val="auto"/>
                <w:sz w:val="21"/>
                <w:highlight w:val="none"/>
              </w:rPr>
            </w:pPr>
          </w:p>
        </w:tc>
      </w:tr>
      <w:tr w14:paraId="51737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08428E41">
            <w:pPr>
              <w:spacing w:before="167" w:line="188" w:lineRule="auto"/>
              <w:ind w:left="361"/>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6</w:t>
            </w:r>
          </w:p>
        </w:tc>
        <w:tc>
          <w:tcPr>
            <w:tcW w:w="5800" w:type="dxa"/>
            <w:vAlign w:val="top"/>
          </w:tcPr>
          <w:p w14:paraId="31FAAF0E">
            <w:pPr>
              <w:pStyle w:val="17"/>
              <w:spacing w:before="171" w:line="186" w:lineRule="exact"/>
              <w:ind w:left="170"/>
              <w:rPr>
                <w:strike/>
                <w:dstrike w:val="0"/>
                <w:color w:val="auto"/>
                <w:sz w:val="22"/>
                <w:szCs w:val="22"/>
                <w:highlight w:val="none"/>
              </w:rPr>
            </w:pPr>
            <w:r>
              <w:rPr>
                <w:i/>
                <w:iCs/>
                <w:strike/>
                <w:dstrike w:val="0"/>
                <w:color w:val="auto"/>
                <w:spacing w:val="-16"/>
                <w:position w:val="-1"/>
                <w:sz w:val="22"/>
                <w:szCs w:val="22"/>
                <w:highlight w:val="none"/>
              </w:rPr>
              <w:t>各专业工种的配置和劳动力的投入</w:t>
            </w:r>
          </w:p>
        </w:tc>
        <w:tc>
          <w:tcPr>
            <w:tcW w:w="1132" w:type="dxa"/>
            <w:vAlign w:val="top"/>
          </w:tcPr>
          <w:p w14:paraId="799C8234">
            <w:pPr>
              <w:rPr>
                <w:rFonts w:ascii="Arial"/>
                <w:strike/>
                <w:dstrike w:val="0"/>
                <w:color w:val="auto"/>
                <w:sz w:val="21"/>
                <w:highlight w:val="none"/>
              </w:rPr>
            </w:pPr>
          </w:p>
        </w:tc>
        <w:tc>
          <w:tcPr>
            <w:tcW w:w="999" w:type="dxa"/>
            <w:tcBorders>
              <w:right w:val="single" w:color="000000" w:sz="6" w:space="0"/>
            </w:tcBorders>
            <w:vAlign w:val="top"/>
          </w:tcPr>
          <w:p w14:paraId="0ADAE12D">
            <w:pPr>
              <w:rPr>
                <w:rFonts w:ascii="Arial"/>
                <w:strike/>
                <w:dstrike w:val="0"/>
                <w:color w:val="auto"/>
                <w:sz w:val="21"/>
                <w:highlight w:val="none"/>
              </w:rPr>
            </w:pPr>
          </w:p>
        </w:tc>
      </w:tr>
      <w:tr w14:paraId="79412E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627AF7BA">
            <w:pPr>
              <w:spacing w:before="171" w:line="185" w:lineRule="auto"/>
              <w:ind w:left="359"/>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7</w:t>
            </w:r>
          </w:p>
        </w:tc>
        <w:tc>
          <w:tcPr>
            <w:tcW w:w="5800" w:type="dxa"/>
            <w:vAlign w:val="top"/>
          </w:tcPr>
          <w:p w14:paraId="286B0925">
            <w:pPr>
              <w:pStyle w:val="17"/>
              <w:spacing w:before="172" w:line="185" w:lineRule="exact"/>
              <w:ind w:left="170"/>
              <w:rPr>
                <w:strike/>
                <w:dstrike w:val="0"/>
                <w:color w:val="auto"/>
                <w:sz w:val="22"/>
                <w:szCs w:val="22"/>
                <w:highlight w:val="none"/>
              </w:rPr>
            </w:pPr>
            <w:r>
              <w:rPr>
                <w:i/>
                <w:iCs/>
                <w:strike/>
                <w:dstrike w:val="0"/>
                <w:color w:val="auto"/>
                <w:spacing w:val="-16"/>
                <w:position w:val="-1"/>
                <w:sz w:val="22"/>
                <w:szCs w:val="22"/>
                <w:highlight w:val="none"/>
              </w:rPr>
              <w:t>工程的关键部位和关键施工方案</w:t>
            </w:r>
          </w:p>
        </w:tc>
        <w:tc>
          <w:tcPr>
            <w:tcW w:w="1132" w:type="dxa"/>
            <w:vAlign w:val="top"/>
          </w:tcPr>
          <w:p w14:paraId="4A0EEEE0">
            <w:pPr>
              <w:rPr>
                <w:rFonts w:ascii="Arial"/>
                <w:strike/>
                <w:dstrike w:val="0"/>
                <w:color w:val="auto"/>
                <w:sz w:val="21"/>
                <w:highlight w:val="none"/>
              </w:rPr>
            </w:pPr>
          </w:p>
        </w:tc>
        <w:tc>
          <w:tcPr>
            <w:tcW w:w="999" w:type="dxa"/>
            <w:tcBorders>
              <w:right w:val="single" w:color="000000" w:sz="6" w:space="0"/>
            </w:tcBorders>
            <w:vAlign w:val="top"/>
          </w:tcPr>
          <w:p w14:paraId="5A0A9CFC">
            <w:pPr>
              <w:rPr>
                <w:rFonts w:ascii="Arial"/>
                <w:strike/>
                <w:dstrike w:val="0"/>
                <w:color w:val="auto"/>
                <w:sz w:val="21"/>
                <w:highlight w:val="none"/>
              </w:rPr>
            </w:pPr>
          </w:p>
        </w:tc>
      </w:tr>
      <w:tr w14:paraId="1CB9C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vAlign w:val="top"/>
          </w:tcPr>
          <w:p w14:paraId="7717DB08">
            <w:pPr>
              <w:spacing w:before="169" w:line="188" w:lineRule="auto"/>
              <w:ind w:left="36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8</w:t>
            </w:r>
          </w:p>
        </w:tc>
        <w:tc>
          <w:tcPr>
            <w:tcW w:w="5800" w:type="dxa"/>
            <w:vAlign w:val="top"/>
          </w:tcPr>
          <w:p w14:paraId="735714B0">
            <w:pPr>
              <w:pStyle w:val="17"/>
              <w:spacing w:before="177" w:line="166" w:lineRule="auto"/>
              <w:ind w:left="162"/>
              <w:rPr>
                <w:strike/>
                <w:dstrike w:val="0"/>
                <w:color w:val="auto"/>
                <w:sz w:val="22"/>
                <w:szCs w:val="22"/>
                <w:highlight w:val="none"/>
              </w:rPr>
            </w:pPr>
            <w:r>
              <w:rPr>
                <w:i/>
                <w:iCs/>
                <w:strike/>
                <w:dstrike w:val="0"/>
                <w:color w:val="auto"/>
                <w:spacing w:val="-16"/>
                <w:sz w:val="22"/>
                <w:szCs w:val="22"/>
                <w:highlight w:val="none"/>
              </w:rPr>
              <w:t>安全、文明施工及标化创建</w:t>
            </w:r>
          </w:p>
        </w:tc>
        <w:tc>
          <w:tcPr>
            <w:tcW w:w="1132" w:type="dxa"/>
            <w:vAlign w:val="top"/>
          </w:tcPr>
          <w:p w14:paraId="0C0CBEEE">
            <w:pPr>
              <w:rPr>
                <w:rFonts w:ascii="Arial"/>
                <w:strike/>
                <w:dstrike w:val="0"/>
                <w:color w:val="auto"/>
                <w:sz w:val="21"/>
                <w:highlight w:val="none"/>
              </w:rPr>
            </w:pPr>
          </w:p>
        </w:tc>
        <w:tc>
          <w:tcPr>
            <w:tcW w:w="999" w:type="dxa"/>
            <w:tcBorders>
              <w:right w:val="single" w:color="000000" w:sz="6" w:space="0"/>
            </w:tcBorders>
            <w:vAlign w:val="top"/>
          </w:tcPr>
          <w:p w14:paraId="2C7D9ED2">
            <w:pPr>
              <w:rPr>
                <w:rFonts w:ascii="Arial"/>
                <w:strike/>
                <w:dstrike w:val="0"/>
                <w:color w:val="auto"/>
                <w:sz w:val="21"/>
                <w:highlight w:val="none"/>
              </w:rPr>
            </w:pPr>
          </w:p>
        </w:tc>
      </w:tr>
      <w:tr w14:paraId="3EC36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5FAACFF5">
            <w:pPr>
              <w:spacing w:before="171" w:line="188" w:lineRule="auto"/>
              <w:ind w:left="36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9</w:t>
            </w:r>
          </w:p>
        </w:tc>
        <w:tc>
          <w:tcPr>
            <w:tcW w:w="5800" w:type="dxa"/>
            <w:vAlign w:val="top"/>
          </w:tcPr>
          <w:p w14:paraId="692D2DB7">
            <w:pPr>
              <w:spacing w:before="294" w:line="66" w:lineRule="exact"/>
              <w:ind w:left="123"/>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6"/>
                <w:position w:val="1"/>
                <w:sz w:val="21"/>
                <w:szCs w:val="21"/>
                <w:highlight w:val="none"/>
              </w:rPr>
              <w:t>……</w:t>
            </w:r>
          </w:p>
        </w:tc>
        <w:tc>
          <w:tcPr>
            <w:tcW w:w="1132" w:type="dxa"/>
            <w:vAlign w:val="top"/>
          </w:tcPr>
          <w:p w14:paraId="015FB61E">
            <w:pPr>
              <w:rPr>
                <w:rFonts w:ascii="Arial"/>
                <w:strike/>
                <w:dstrike w:val="0"/>
                <w:color w:val="auto"/>
                <w:sz w:val="21"/>
                <w:highlight w:val="none"/>
              </w:rPr>
            </w:pPr>
          </w:p>
        </w:tc>
        <w:tc>
          <w:tcPr>
            <w:tcW w:w="999" w:type="dxa"/>
            <w:tcBorders>
              <w:right w:val="single" w:color="000000" w:sz="6" w:space="0"/>
            </w:tcBorders>
            <w:vAlign w:val="top"/>
          </w:tcPr>
          <w:p w14:paraId="555501A7">
            <w:pPr>
              <w:rPr>
                <w:rFonts w:ascii="Arial"/>
                <w:strike/>
                <w:dstrike w:val="0"/>
                <w:color w:val="auto"/>
                <w:sz w:val="21"/>
                <w:highlight w:val="none"/>
              </w:rPr>
            </w:pPr>
          </w:p>
        </w:tc>
      </w:tr>
      <w:tr w14:paraId="09B0C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28" w:type="dxa"/>
            <w:tcBorders>
              <w:left w:val="single" w:color="000000" w:sz="6" w:space="0"/>
              <w:bottom w:val="single" w:color="000000" w:sz="6" w:space="0"/>
            </w:tcBorders>
            <w:vAlign w:val="top"/>
          </w:tcPr>
          <w:p w14:paraId="7898E0E1">
            <w:pPr>
              <w:rPr>
                <w:rFonts w:ascii="Arial"/>
                <w:strike/>
                <w:dstrike w:val="0"/>
                <w:color w:val="auto"/>
                <w:sz w:val="21"/>
                <w:highlight w:val="none"/>
              </w:rPr>
            </w:pPr>
          </w:p>
        </w:tc>
        <w:tc>
          <w:tcPr>
            <w:tcW w:w="5800" w:type="dxa"/>
            <w:tcBorders>
              <w:bottom w:val="single" w:color="000000" w:sz="6" w:space="0"/>
            </w:tcBorders>
            <w:vAlign w:val="top"/>
          </w:tcPr>
          <w:p w14:paraId="4A066A8C">
            <w:pPr>
              <w:pStyle w:val="17"/>
              <w:spacing w:before="67" w:line="221" w:lineRule="auto"/>
              <w:ind w:left="319"/>
              <w:rPr>
                <w:strike/>
                <w:dstrike w:val="0"/>
                <w:color w:val="auto"/>
                <w:sz w:val="21"/>
                <w:szCs w:val="21"/>
                <w:highlight w:val="none"/>
              </w:rPr>
            </w:pPr>
            <w:r>
              <w:rPr>
                <w:strike/>
                <w:dstrike w:val="0"/>
                <w:color w:val="auto"/>
                <w:spacing w:val="-5"/>
                <w:sz w:val="21"/>
                <w:szCs w:val="21"/>
                <w:highlight w:val="none"/>
              </w:rPr>
              <w:t>合</w:t>
            </w:r>
            <w:r>
              <w:rPr>
                <w:strike/>
                <w:dstrike w:val="0"/>
                <w:color w:val="auto"/>
                <w:spacing w:val="4"/>
                <w:sz w:val="21"/>
                <w:szCs w:val="21"/>
                <w:highlight w:val="none"/>
              </w:rPr>
              <w:t xml:space="preserve">  </w:t>
            </w:r>
            <w:r>
              <w:rPr>
                <w:strike/>
                <w:dstrike w:val="0"/>
                <w:color w:val="auto"/>
                <w:spacing w:val="-5"/>
                <w:sz w:val="21"/>
                <w:szCs w:val="21"/>
                <w:highlight w:val="none"/>
              </w:rPr>
              <w:t>计</w:t>
            </w:r>
          </w:p>
        </w:tc>
        <w:tc>
          <w:tcPr>
            <w:tcW w:w="1132" w:type="dxa"/>
            <w:tcBorders>
              <w:bottom w:val="single" w:color="000000" w:sz="6" w:space="0"/>
            </w:tcBorders>
            <w:vAlign w:val="top"/>
          </w:tcPr>
          <w:p w14:paraId="29E7BF32">
            <w:pPr>
              <w:rPr>
                <w:rFonts w:ascii="Arial"/>
                <w:strike/>
                <w:dstrike w:val="0"/>
                <w:color w:val="auto"/>
                <w:sz w:val="21"/>
                <w:highlight w:val="none"/>
              </w:rPr>
            </w:pPr>
          </w:p>
        </w:tc>
        <w:tc>
          <w:tcPr>
            <w:tcW w:w="999" w:type="dxa"/>
            <w:tcBorders>
              <w:bottom w:val="single" w:color="000000" w:sz="6" w:space="0"/>
              <w:right w:val="single" w:color="000000" w:sz="6" w:space="0"/>
            </w:tcBorders>
            <w:vAlign w:val="top"/>
          </w:tcPr>
          <w:p w14:paraId="6AAD69E9">
            <w:pPr>
              <w:rPr>
                <w:rFonts w:ascii="Arial"/>
                <w:strike/>
                <w:dstrike w:val="0"/>
                <w:color w:val="auto"/>
                <w:sz w:val="21"/>
                <w:highlight w:val="none"/>
              </w:rPr>
            </w:pPr>
          </w:p>
        </w:tc>
      </w:tr>
    </w:tbl>
    <w:p w14:paraId="385BC994">
      <w:pPr>
        <w:spacing w:before="32" w:line="213" w:lineRule="auto"/>
        <w:ind w:left="532"/>
        <w:rPr>
          <w:rFonts w:ascii="宋体" w:hAnsi="宋体" w:eastAsia="宋体" w:cs="宋体"/>
          <w:strike/>
          <w:dstrike w:val="0"/>
          <w:color w:val="auto"/>
          <w:sz w:val="22"/>
          <w:szCs w:val="22"/>
          <w:highlight w:val="none"/>
        </w:rPr>
      </w:pPr>
      <w:r>
        <w:rPr>
          <w:rFonts w:ascii="黑体" w:hAnsi="黑体" w:eastAsia="黑体" w:cs="黑体"/>
          <w:i/>
          <w:iCs/>
          <w:strike/>
          <w:dstrike w:val="0"/>
          <w:color w:val="auto"/>
          <w:spacing w:val="-17"/>
          <w:sz w:val="22"/>
          <w:szCs w:val="22"/>
          <w:highlight w:val="none"/>
        </w:rPr>
        <w:t>注：</w:t>
      </w:r>
      <w:r>
        <w:rPr>
          <w:rFonts w:ascii="黑体" w:hAnsi="黑体" w:eastAsia="黑体" w:cs="黑体"/>
          <w:strike/>
          <w:dstrike w:val="0"/>
          <w:color w:val="auto"/>
          <w:spacing w:val="-35"/>
          <w:sz w:val="22"/>
          <w:szCs w:val="22"/>
          <w:highlight w:val="none"/>
        </w:rPr>
        <w:t xml:space="preserve"> </w:t>
      </w:r>
      <w:r>
        <w:rPr>
          <w:rFonts w:ascii="宋体" w:hAnsi="宋体" w:eastAsia="宋体" w:cs="宋体"/>
          <w:i/>
          <w:iCs/>
          <w:strike/>
          <w:dstrike w:val="0"/>
          <w:color w:val="auto"/>
          <w:spacing w:val="-17"/>
          <w:sz w:val="22"/>
          <w:szCs w:val="22"/>
          <w:highlight w:val="none"/>
        </w:rPr>
        <w:t>技术评审内容可根据项目实际情况进行调整。</w:t>
      </w:r>
    </w:p>
    <w:p w14:paraId="3A41F0FC">
      <w:pPr>
        <w:pStyle w:val="8"/>
        <w:spacing w:line="246" w:lineRule="auto"/>
        <w:rPr>
          <w:strike/>
          <w:dstrike w:val="0"/>
          <w:color w:val="auto"/>
          <w:highlight w:val="none"/>
        </w:rPr>
      </w:pPr>
    </w:p>
    <w:p w14:paraId="2E68F3EC">
      <w:pPr>
        <w:pStyle w:val="8"/>
        <w:spacing w:line="247" w:lineRule="auto"/>
        <w:rPr>
          <w:strike/>
          <w:dstrike w:val="0"/>
          <w:color w:val="auto"/>
          <w:highlight w:val="none"/>
        </w:rPr>
      </w:pPr>
    </w:p>
    <w:p w14:paraId="5A3B4029">
      <w:pPr>
        <w:spacing w:before="78" w:line="223" w:lineRule="auto"/>
        <w:ind w:left="39"/>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  </w:t>
      </w:r>
      <w:r>
        <w:rPr>
          <w:rFonts w:ascii="楷体" w:hAnsi="楷体" w:eastAsia="楷体" w:cs="楷体"/>
          <w:b/>
          <w:bCs/>
          <w:strike/>
          <w:dstrike w:val="0"/>
          <w:color w:val="auto"/>
          <w:spacing w:val="-2"/>
          <w:sz w:val="24"/>
          <w:szCs w:val="24"/>
          <w:highlight w:val="none"/>
        </w:rPr>
        <w:t>投标文件的资信评分</w:t>
      </w:r>
    </w:p>
    <w:p w14:paraId="336E8DBD">
      <w:pPr>
        <w:spacing w:before="176" w:line="359" w:lineRule="auto"/>
        <w:ind w:left="63" w:right="236" w:firstLine="47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投标文件的资信评审包括投标人的诚信、企业信用等级。</w:t>
      </w:r>
      <w:r>
        <w:rPr>
          <w:rFonts w:ascii="宋体" w:hAnsi="宋体" w:eastAsia="宋体" w:cs="宋体"/>
          <w:strike/>
          <w:dstrike w:val="0"/>
          <w:color w:val="auto"/>
          <w:spacing w:val="-4"/>
          <w:sz w:val="24"/>
          <w:szCs w:val="24"/>
          <w:highlight w:val="none"/>
        </w:rPr>
        <w:t>评标委员会全体成员查</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阅投标文件及相关证明材料并进行集体讨论后</w:t>
      </w:r>
      <w:r>
        <w:rPr>
          <w:rFonts w:ascii="宋体" w:hAnsi="宋体" w:eastAsia="宋体" w:cs="宋体"/>
          <w:strike/>
          <w:dstrike w:val="0"/>
          <w:color w:val="auto"/>
          <w:spacing w:val="-3"/>
          <w:sz w:val="24"/>
          <w:szCs w:val="24"/>
          <w:highlight w:val="none"/>
        </w:rPr>
        <w:t>统一评分。</w:t>
      </w:r>
    </w:p>
    <w:p w14:paraId="0359A764">
      <w:pPr>
        <w:spacing w:before="1" w:line="218" w:lineRule="auto"/>
        <w:ind w:left="51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 投标人诚信（采用扣分法，扣分不设分值限定，以实际次数扣分</w:t>
      </w:r>
      <w:r>
        <w:rPr>
          <w:rFonts w:ascii="宋体" w:hAnsi="宋体" w:eastAsia="宋体" w:cs="宋体"/>
          <w:strike/>
          <w:dstrike w:val="0"/>
          <w:color w:val="auto"/>
          <w:spacing w:val="4"/>
          <w:sz w:val="24"/>
          <w:szCs w:val="24"/>
          <w:highlight w:val="none"/>
        </w:rPr>
        <w:t>）：</w:t>
      </w:r>
    </w:p>
    <w:p w14:paraId="3CB69CB1">
      <w:pPr>
        <w:spacing w:before="182" w:line="359" w:lineRule="auto"/>
        <w:ind w:left="42" w:right="161" w:firstLine="482"/>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投标人在投标截止时间前被省发展改革委作出行政处罚决定且在公告期限内的，</w:t>
      </w:r>
      <w:r>
        <w:rPr>
          <w:rFonts w:ascii="宋体" w:hAnsi="宋体" w:eastAsia="宋体" w:cs="宋体"/>
          <w:strike/>
          <w:dstrike w:val="0"/>
          <w:color w:val="auto"/>
          <w:spacing w:val="4"/>
          <w:sz w:val="24"/>
          <w:szCs w:val="24"/>
          <w:highlight w:val="none"/>
        </w:rPr>
        <w:t xml:space="preserve"> </w:t>
      </w:r>
      <w:r>
        <w:rPr>
          <w:rFonts w:ascii="宋体" w:hAnsi="宋体" w:eastAsia="宋体" w:cs="宋体"/>
          <w:strike/>
          <w:dstrike w:val="0"/>
          <w:color w:val="auto"/>
          <w:spacing w:val="-18"/>
          <w:sz w:val="24"/>
          <w:szCs w:val="24"/>
          <w:highlight w:val="none"/>
        </w:rPr>
        <w:t>每次扣</w:t>
      </w:r>
      <w:r>
        <w:rPr>
          <w:rFonts w:ascii="Times New Roman" w:hAnsi="Times New Roman" w:eastAsia="Times New Roman" w:cs="Times New Roman"/>
          <w:strike/>
          <w:dstrike w:val="0"/>
          <w:color w:val="auto"/>
          <w:spacing w:val="-18"/>
          <w:sz w:val="24"/>
          <w:szCs w:val="24"/>
          <w:highlight w:val="none"/>
        </w:rPr>
        <w:t>1</w:t>
      </w:r>
      <w:r>
        <w:rPr>
          <w:rFonts w:ascii="宋体" w:hAnsi="宋体" w:eastAsia="宋体" w:cs="宋体"/>
          <w:strike/>
          <w:dstrike w:val="0"/>
          <w:color w:val="auto"/>
          <w:spacing w:val="-18"/>
          <w:sz w:val="24"/>
          <w:szCs w:val="24"/>
          <w:highlight w:val="none"/>
        </w:rPr>
        <w:t>分；以浙江政务服务网行政处罚结果信息公开内容为准，时间以省发展改革委作出</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4"/>
          <w:sz w:val="24"/>
          <w:szCs w:val="24"/>
          <w:highlight w:val="none"/>
        </w:rPr>
        <w:t>处理决定的时间为准。</w:t>
      </w:r>
    </w:p>
    <w:p w14:paraId="03E8910B">
      <w:pPr>
        <w:spacing w:before="1" w:line="219" w:lineRule="auto"/>
        <w:ind w:left="52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企业信用等级最高评分为</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分，具体分值见下表：</w:t>
      </w:r>
    </w:p>
    <w:p w14:paraId="551A98BA">
      <w:pPr>
        <w:spacing w:line="145" w:lineRule="exact"/>
        <w:rPr>
          <w:strike/>
          <w:dstrike w:val="0"/>
          <w:color w:val="auto"/>
          <w:highlight w:val="none"/>
        </w:rPr>
      </w:pPr>
    </w:p>
    <w:tbl>
      <w:tblPr>
        <w:tblStyle w:val="16"/>
        <w:tblW w:w="904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7218"/>
        <w:gridCol w:w="1107"/>
      </w:tblGrid>
      <w:tr w14:paraId="72898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7" w:type="dxa"/>
            <w:tcBorders>
              <w:top w:val="single" w:color="000000" w:sz="6" w:space="0"/>
              <w:left w:val="single" w:color="000000" w:sz="6" w:space="0"/>
            </w:tcBorders>
            <w:vAlign w:val="top"/>
          </w:tcPr>
          <w:p w14:paraId="35D345EC">
            <w:pPr>
              <w:pStyle w:val="17"/>
              <w:spacing w:before="127" w:line="221" w:lineRule="auto"/>
              <w:ind w:left="145"/>
              <w:rPr>
                <w:strike/>
                <w:dstrike w:val="0"/>
                <w:color w:val="auto"/>
                <w:sz w:val="21"/>
                <w:szCs w:val="21"/>
                <w:highlight w:val="none"/>
              </w:rPr>
            </w:pPr>
            <w:r>
              <w:rPr>
                <w:strike/>
                <w:dstrike w:val="0"/>
                <w:color w:val="auto"/>
                <w:spacing w:val="-2"/>
                <w:sz w:val="21"/>
                <w:szCs w:val="21"/>
                <w:highlight w:val="none"/>
              </w:rPr>
              <w:t>序号</w:t>
            </w:r>
          </w:p>
        </w:tc>
        <w:tc>
          <w:tcPr>
            <w:tcW w:w="7218" w:type="dxa"/>
            <w:tcBorders>
              <w:top w:val="single" w:color="000000" w:sz="6" w:space="0"/>
            </w:tcBorders>
            <w:vAlign w:val="top"/>
          </w:tcPr>
          <w:p w14:paraId="724344C9">
            <w:pPr>
              <w:pStyle w:val="17"/>
              <w:spacing w:before="126" w:line="220" w:lineRule="auto"/>
              <w:ind w:left="3219"/>
              <w:rPr>
                <w:strike/>
                <w:dstrike w:val="0"/>
                <w:color w:val="auto"/>
                <w:sz w:val="21"/>
                <w:szCs w:val="21"/>
                <w:highlight w:val="none"/>
              </w:rPr>
            </w:pPr>
            <w:r>
              <w:rPr>
                <w:strike/>
                <w:dstrike w:val="0"/>
                <w:color w:val="auto"/>
                <w:spacing w:val="-17"/>
                <w:sz w:val="21"/>
                <w:szCs w:val="21"/>
                <w:highlight w:val="none"/>
              </w:rPr>
              <w:t>内</w:t>
            </w:r>
            <w:r>
              <w:rPr>
                <w:strike/>
                <w:dstrike w:val="0"/>
                <w:color w:val="auto"/>
                <w:spacing w:val="2"/>
                <w:sz w:val="21"/>
                <w:szCs w:val="21"/>
                <w:highlight w:val="none"/>
              </w:rPr>
              <w:t xml:space="preserve">    </w:t>
            </w:r>
            <w:r>
              <w:rPr>
                <w:strike/>
                <w:dstrike w:val="0"/>
                <w:color w:val="auto"/>
                <w:spacing w:val="-17"/>
                <w:sz w:val="21"/>
                <w:szCs w:val="21"/>
                <w:highlight w:val="none"/>
              </w:rPr>
              <w:t>容</w:t>
            </w:r>
          </w:p>
        </w:tc>
        <w:tc>
          <w:tcPr>
            <w:tcW w:w="1107" w:type="dxa"/>
            <w:tcBorders>
              <w:top w:val="single" w:color="000000" w:sz="6" w:space="0"/>
              <w:right w:val="single" w:color="000000" w:sz="6" w:space="0"/>
            </w:tcBorders>
            <w:vAlign w:val="top"/>
          </w:tcPr>
          <w:p w14:paraId="34D0E8B0">
            <w:pPr>
              <w:pStyle w:val="17"/>
              <w:spacing w:before="126" w:line="220" w:lineRule="auto"/>
              <w:ind w:left="352"/>
              <w:rPr>
                <w:strike/>
                <w:dstrike w:val="0"/>
                <w:color w:val="auto"/>
                <w:sz w:val="21"/>
                <w:szCs w:val="21"/>
                <w:highlight w:val="none"/>
              </w:rPr>
            </w:pPr>
            <w:r>
              <w:rPr>
                <w:strike/>
                <w:dstrike w:val="0"/>
                <w:color w:val="auto"/>
                <w:spacing w:val="-3"/>
                <w:sz w:val="21"/>
                <w:szCs w:val="21"/>
                <w:highlight w:val="none"/>
              </w:rPr>
              <w:t>得分</w:t>
            </w:r>
          </w:p>
        </w:tc>
      </w:tr>
      <w:tr w14:paraId="57241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17" w:type="dxa"/>
            <w:tcBorders>
              <w:left w:val="single" w:color="000000" w:sz="6" w:space="0"/>
            </w:tcBorders>
            <w:vAlign w:val="top"/>
          </w:tcPr>
          <w:p w14:paraId="3C3D3336">
            <w:pPr>
              <w:spacing w:line="278" w:lineRule="auto"/>
              <w:rPr>
                <w:rFonts w:ascii="Arial"/>
                <w:strike/>
                <w:dstrike w:val="0"/>
                <w:color w:val="auto"/>
                <w:sz w:val="21"/>
                <w:highlight w:val="none"/>
              </w:rPr>
            </w:pPr>
          </w:p>
          <w:p w14:paraId="6B4133FB">
            <w:pPr>
              <w:spacing w:before="60" w:line="188" w:lineRule="auto"/>
              <w:ind w:left="321"/>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7218" w:type="dxa"/>
            <w:vAlign w:val="top"/>
          </w:tcPr>
          <w:p w14:paraId="3A197933">
            <w:pPr>
              <w:pStyle w:val="17"/>
              <w:spacing w:before="32" w:line="239" w:lineRule="auto"/>
              <w:ind w:left="107" w:right="183" w:firstLine="4"/>
              <w:rPr>
                <w:strike/>
                <w:dstrike w:val="0"/>
                <w:color w:val="auto"/>
                <w:sz w:val="21"/>
                <w:szCs w:val="21"/>
                <w:highlight w:val="none"/>
              </w:rPr>
            </w:pPr>
            <w:r>
              <w:rPr>
                <w:strike/>
                <w:dstrike w:val="0"/>
                <w:color w:val="auto"/>
                <w:sz w:val="21"/>
                <w:szCs w:val="21"/>
                <w:highlight w:val="none"/>
              </w:rPr>
              <w:t>企业信用等级（由招标人自主选用全国水利建</w:t>
            </w:r>
            <w:r>
              <w:rPr>
                <w:strike/>
                <w:dstrike w:val="0"/>
                <w:color w:val="auto"/>
                <w:spacing w:val="-1"/>
                <w:sz w:val="21"/>
                <w:szCs w:val="21"/>
                <w:highlight w:val="none"/>
              </w:rPr>
              <w:t>设市场监管服务平台公布的企</w:t>
            </w:r>
            <w:r>
              <w:rPr>
                <w:strike/>
                <w:dstrike w:val="0"/>
                <w:color w:val="auto"/>
                <w:sz w:val="21"/>
                <w:szCs w:val="21"/>
                <w:highlight w:val="none"/>
              </w:rPr>
              <w:t xml:space="preserve"> 业信用评价等级（施工类）或浙江省水利建设市场</w:t>
            </w:r>
            <w:r>
              <w:rPr>
                <w:strike/>
                <w:dstrike w:val="0"/>
                <w:color w:val="auto"/>
                <w:spacing w:val="-1"/>
                <w:sz w:val="21"/>
                <w:szCs w:val="21"/>
                <w:highlight w:val="none"/>
              </w:rPr>
              <w:t>信用评价等级（施工</w:t>
            </w:r>
          </w:p>
          <w:p w14:paraId="56055D7F">
            <w:pPr>
              <w:pStyle w:val="17"/>
              <w:spacing w:line="205" w:lineRule="auto"/>
              <w:ind w:left="107"/>
              <w:rPr>
                <w:strike/>
                <w:dstrike w:val="0"/>
                <w:color w:val="auto"/>
                <w:sz w:val="21"/>
                <w:szCs w:val="21"/>
                <w:highlight w:val="none"/>
              </w:rPr>
            </w:pPr>
            <w:r>
              <w:rPr>
                <w:strike/>
                <w:dstrike w:val="0"/>
                <w:color w:val="auto"/>
                <w:spacing w:val="-1"/>
                <w:sz w:val="21"/>
                <w:szCs w:val="21"/>
                <w:highlight w:val="none"/>
              </w:rPr>
              <w:t>类），并在此予以明确，本项最高得</w:t>
            </w:r>
            <w:r>
              <w:rPr>
                <w:rFonts w:ascii="Times New Roman" w:hAnsi="Times New Roman" w:eastAsia="Times New Roman" w:cs="Times New Roman"/>
                <w:strike/>
                <w:dstrike w:val="0"/>
                <w:color w:val="auto"/>
                <w:spacing w:val="-1"/>
                <w:sz w:val="21"/>
                <w:szCs w:val="21"/>
                <w:highlight w:val="none"/>
              </w:rPr>
              <w:t>3</w:t>
            </w:r>
            <w:r>
              <w:rPr>
                <w:strike/>
                <w:dstrike w:val="0"/>
                <w:color w:val="auto"/>
                <w:spacing w:val="-1"/>
                <w:sz w:val="21"/>
                <w:szCs w:val="21"/>
                <w:highlight w:val="none"/>
              </w:rPr>
              <w:t>分。）</w:t>
            </w:r>
          </w:p>
        </w:tc>
        <w:tc>
          <w:tcPr>
            <w:tcW w:w="1107" w:type="dxa"/>
            <w:tcBorders>
              <w:right w:val="single" w:color="000000" w:sz="6" w:space="0"/>
            </w:tcBorders>
            <w:vAlign w:val="top"/>
          </w:tcPr>
          <w:p w14:paraId="6EA5CBE3">
            <w:pPr>
              <w:spacing w:line="278" w:lineRule="auto"/>
              <w:rPr>
                <w:rFonts w:ascii="Arial"/>
                <w:strike/>
                <w:dstrike w:val="0"/>
                <w:color w:val="auto"/>
                <w:sz w:val="21"/>
                <w:highlight w:val="none"/>
              </w:rPr>
            </w:pPr>
          </w:p>
          <w:p w14:paraId="4F31730A">
            <w:pPr>
              <w:spacing w:before="60" w:line="188" w:lineRule="auto"/>
              <w:ind w:left="43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3.0</w:t>
            </w:r>
          </w:p>
        </w:tc>
      </w:tr>
      <w:tr w14:paraId="3114B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7" w:type="dxa"/>
            <w:tcBorders>
              <w:left w:val="single" w:color="000000" w:sz="6" w:space="0"/>
            </w:tcBorders>
            <w:vAlign w:val="top"/>
          </w:tcPr>
          <w:p w14:paraId="38FC98D0">
            <w:pPr>
              <w:pStyle w:val="17"/>
              <w:spacing w:before="124" w:line="232" w:lineRule="auto"/>
              <w:ind w:left="116"/>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1</w:t>
            </w:r>
            <w:r>
              <w:rPr>
                <w:strike/>
                <w:dstrike w:val="0"/>
                <w:color w:val="auto"/>
                <w:spacing w:val="-5"/>
                <w:sz w:val="21"/>
                <w:szCs w:val="21"/>
                <w:highlight w:val="none"/>
              </w:rPr>
              <w:t>）</w:t>
            </w:r>
          </w:p>
        </w:tc>
        <w:tc>
          <w:tcPr>
            <w:tcW w:w="7218" w:type="dxa"/>
            <w:vAlign w:val="top"/>
          </w:tcPr>
          <w:p w14:paraId="330E7967">
            <w:pPr>
              <w:pStyle w:val="17"/>
              <w:spacing w:before="123"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1107" w:type="dxa"/>
            <w:tcBorders>
              <w:right w:val="single" w:color="000000" w:sz="6" w:space="0"/>
            </w:tcBorders>
            <w:vAlign w:val="top"/>
          </w:tcPr>
          <w:p w14:paraId="6979D4C6">
            <w:pPr>
              <w:rPr>
                <w:rFonts w:ascii="Arial"/>
                <w:strike/>
                <w:dstrike w:val="0"/>
                <w:color w:val="auto"/>
                <w:sz w:val="21"/>
                <w:highlight w:val="none"/>
              </w:rPr>
            </w:pPr>
          </w:p>
        </w:tc>
      </w:tr>
      <w:tr w14:paraId="4789F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7" w:type="dxa"/>
            <w:tcBorders>
              <w:left w:val="single" w:color="000000" w:sz="6" w:space="0"/>
            </w:tcBorders>
            <w:vAlign w:val="top"/>
          </w:tcPr>
          <w:p w14:paraId="0034DD1D">
            <w:pPr>
              <w:rPr>
                <w:rFonts w:ascii="Arial"/>
                <w:strike/>
                <w:dstrike w:val="0"/>
                <w:color w:val="auto"/>
                <w:sz w:val="21"/>
                <w:highlight w:val="none"/>
              </w:rPr>
            </w:pPr>
          </w:p>
        </w:tc>
        <w:tc>
          <w:tcPr>
            <w:tcW w:w="7218" w:type="dxa"/>
            <w:vAlign w:val="top"/>
          </w:tcPr>
          <w:p w14:paraId="181EAFD4">
            <w:pPr>
              <w:pStyle w:val="17"/>
              <w:spacing w:before="124"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1107" w:type="dxa"/>
            <w:tcBorders>
              <w:right w:val="single" w:color="000000" w:sz="6" w:space="0"/>
            </w:tcBorders>
            <w:vAlign w:val="top"/>
          </w:tcPr>
          <w:p w14:paraId="427F08A6">
            <w:pPr>
              <w:spacing w:before="161" w:line="188" w:lineRule="auto"/>
              <w:ind w:left="43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3.0</w:t>
            </w:r>
          </w:p>
        </w:tc>
      </w:tr>
      <w:tr w14:paraId="393D9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17" w:type="dxa"/>
            <w:tcBorders>
              <w:left w:val="single" w:color="000000" w:sz="6" w:space="0"/>
            </w:tcBorders>
            <w:vAlign w:val="top"/>
          </w:tcPr>
          <w:p w14:paraId="7385D761">
            <w:pPr>
              <w:rPr>
                <w:rFonts w:ascii="Arial"/>
                <w:strike/>
                <w:dstrike w:val="0"/>
                <w:color w:val="auto"/>
                <w:sz w:val="21"/>
                <w:highlight w:val="none"/>
              </w:rPr>
            </w:pPr>
          </w:p>
        </w:tc>
        <w:tc>
          <w:tcPr>
            <w:tcW w:w="7218" w:type="dxa"/>
            <w:vAlign w:val="top"/>
          </w:tcPr>
          <w:p w14:paraId="660812BE">
            <w:pPr>
              <w:pStyle w:val="17"/>
              <w:spacing w:before="124"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1107" w:type="dxa"/>
            <w:tcBorders>
              <w:right w:val="single" w:color="000000" w:sz="6" w:space="0"/>
            </w:tcBorders>
            <w:vAlign w:val="top"/>
          </w:tcPr>
          <w:p w14:paraId="1AC97207">
            <w:pPr>
              <w:spacing w:before="161" w:line="188" w:lineRule="auto"/>
              <w:ind w:left="42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2.5</w:t>
            </w:r>
          </w:p>
        </w:tc>
      </w:tr>
      <w:tr w14:paraId="3EAFD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7" w:type="dxa"/>
            <w:tcBorders>
              <w:left w:val="single" w:color="000000" w:sz="6" w:space="0"/>
            </w:tcBorders>
            <w:vAlign w:val="top"/>
          </w:tcPr>
          <w:p w14:paraId="43426A80">
            <w:pPr>
              <w:rPr>
                <w:rFonts w:ascii="Arial"/>
                <w:strike/>
                <w:dstrike w:val="0"/>
                <w:color w:val="auto"/>
                <w:sz w:val="21"/>
                <w:highlight w:val="none"/>
              </w:rPr>
            </w:pPr>
          </w:p>
        </w:tc>
        <w:tc>
          <w:tcPr>
            <w:tcW w:w="7218" w:type="dxa"/>
            <w:vAlign w:val="top"/>
          </w:tcPr>
          <w:p w14:paraId="5A4F9641">
            <w:pPr>
              <w:pStyle w:val="17"/>
              <w:spacing w:before="125"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1107" w:type="dxa"/>
            <w:tcBorders>
              <w:right w:val="single" w:color="000000" w:sz="6" w:space="0"/>
            </w:tcBorders>
            <w:vAlign w:val="top"/>
          </w:tcPr>
          <w:p w14:paraId="00DB2F4F">
            <w:pPr>
              <w:spacing w:before="162" w:line="188" w:lineRule="auto"/>
              <w:ind w:left="44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8"/>
                <w:sz w:val="21"/>
                <w:szCs w:val="21"/>
                <w:highlight w:val="none"/>
              </w:rPr>
              <w:t>1.0</w:t>
            </w:r>
          </w:p>
        </w:tc>
      </w:tr>
    </w:tbl>
    <w:p w14:paraId="33E5AAC9">
      <w:pPr>
        <w:pStyle w:val="8"/>
        <w:rPr>
          <w:strike/>
          <w:dstrike w:val="0"/>
          <w:color w:val="auto"/>
          <w:highlight w:val="none"/>
        </w:rPr>
      </w:pPr>
    </w:p>
    <w:p w14:paraId="2CEAF333">
      <w:pPr>
        <w:rPr>
          <w:strike/>
          <w:dstrike w:val="0"/>
          <w:color w:val="auto"/>
          <w:highlight w:val="none"/>
        </w:rPr>
        <w:sectPr>
          <w:footerReference r:id="rId48" w:type="default"/>
          <w:pgSz w:w="11905" w:h="16840"/>
          <w:pgMar w:top="1427" w:right="1292" w:bottom="1255" w:left="1553" w:header="0" w:footer="1093" w:gutter="0"/>
          <w:pgNumType w:fmt="decimal"/>
          <w:cols w:space="720" w:num="1"/>
        </w:sectPr>
      </w:pPr>
    </w:p>
    <w:p w14:paraId="0F70D3C4">
      <w:pPr>
        <w:spacing w:line="89" w:lineRule="auto"/>
        <w:rPr>
          <w:rFonts w:ascii="Arial"/>
          <w:strike/>
          <w:dstrike w:val="0"/>
          <w:color w:val="auto"/>
          <w:sz w:val="2"/>
          <w:highlight w:val="none"/>
        </w:rPr>
      </w:pPr>
    </w:p>
    <w:tbl>
      <w:tblPr>
        <w:tblStyle w:val="16"/>
        <w:tblW w:w="904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7218"/>
        <w:gridCol w:w="1107"/>
      </w:tblGrid>
      <w:tr w14:paraId="24C9A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7" w:type="dxa"/>
            <w:tcBorders>
              <w:left w:val="single" w:color="000000" w:sz="6" w:space="0"/>
            </w:tcBorders>
            <w:vAlign w:val="top"/>
          </w:tcPr>
          <w:p w14:paraId="79AB054B">
            <w:pPr>
              <w:rPr>
                <w:rFonts w:ascii="Arial"/>
                <w:strike/>
                <w:dstrike w:val="0"/>
                <w:color w:val="auto"/>
                <w:sz w:val="21"/>
                <w:highlight w:val="none"/>
              </w:rPr>
            </w:pPr>
          </w:p>
        </w:tc>
        <w:tc>
          <w:tcPr>
            <w:tcW w:w="7218" w:type="dxa"/>
            <w:vAlign w:val="top"/>
          </w:tcPr>
          <w:p w14:paraId="7E4B09B1">
            <w:pPr>
              <w:pStyle w:val="17"/>
              <w:spacing w:before="126"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1107" w:type="dxa"/>
            <w:tcBorders>
              <w:right w:val="single" w:color="000000" w:sz="6" w:space="0"/>
            </w:tcBorders>
            <w:vAlign w:val="top"/>
          </w:tcPr>
          <w:p w14:paraId="709B5285">
            <w:pPr>
              <w:spacing w:before="163" w:line="188" w:lineRule="auto"/>
              <w:ind w:left="50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r w14:paraId="31B5F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17" w:type="dxa"/>
            <w:tcBorders>
              <w:left w:val="single" w:color="000000" w:sz="6" w:space="0"/>
            </w:tcBorders>
            <w:vAlign w:val="top"/>
          </w:tcPr>
          <w:p w14:paraId="5640419E">
            <w:pPr>
              <w:pStyle w:val="17"/>
              <w:spacing w:before="122" w:line="232" w:lineRule="auto"/>
              <w:ind w:left="116"/>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2</w:t>
            </w:r>
            <w:r>
              <w:rPr>
                <w:strike/>
                <w:dstrike w:val="0"/>
                <w:color w:val="auto"/>
                <w:spacing w:val="-5"/>
                <w:sz w:val="21"/>
                <w:szCs w:val="21"/>
                <w:highlight w:val="none"/>
              </w:rPr>
              <w:t>）</w:t>
            </w:r>
          </w:p>
        </w:tc>
        <w:tc>
          <w:tcPr>
            <w:tcW w:w="7218" w:type="dxa"/>
            <w:vAlign w:val="top"/>
          </w:tcPr>
          <w:p w14:paraId="034B9C1F">
            <w:pPr>
              <w:pStyle w:val="17"/>
              <w:spacing w:before="122"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1107" w:type="dxa"/>
            <w:tcBorders>
              <w:right w:val="single" w:color="000000" w:sz="6" w:space="0"/>
            </w:tcBorders>
            <w:vAlign w:val="top"/>
          </w:tcPr>
          <w:p w14:paraId="4F635C1D">
            <w:pPr>
              <w:rPr>
                <w:rFonts w:ascii="Arial"/>
                <w:strike/>
                <w:dstrike w:val="0"/>
                <w:color w:val="auto"/>
                <w:sz w:val="21"/>
                <w:highlight w:val="none"/>
              </w:rPr>
            </w:pPr>
          </w:p>
        </w:tc>
      </w:tr>
      <w:tr w14:paraId="47B7B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7" w:type="dxa"/>
            <w:tcBorders>
              <w:left w:val="single" w:color="000000" w:sz="6" w:space="0"/>
            </w:tcBorders>
            <w:vAlign w:val="top"/>
          </w:tcPr>
          <w:p w14:paraId="2792C69E">
            <w:pPr>
              <w:rPr>
                <w:rFonts w:ascii="Arial"/>
                <w:strike/>
                <w:dstrike w:val="0"/>
                <w:color w:val="auto"/>
                <w:sz w:val="21"/>
                <w:highlight w:val="none"/>
              </w:rPr>
            </w:pPr>
          </w:p>
        </w:tc>
        <w:tc>
          <w:tcPr>
            <w:tcW w:w="7218" w:type="dxa"/>
            <w:vAlign w:val="top"/>
          </w:tcPr>
          <w:p w14:paraId="4FC75ED3">
            <w:pPr>
              <w:pStyle w:val="17"/>
              <w:spacing w:before="123"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1107" w:type="dxa"/>
            <w:tcBorders>
              <w:right w:val="single" w:color="000000" w:sz="6" w:space="0"/>
            </w:tcBorders>
            <w:vAlign w:val="top"/>
          </w:tcPr>
          <w:p w14:paraId="4E424406">
            <w:pPr>
              <w:spacing w:before="160" w:line="188" w:lineRule="auto"/>
              <w:ind w:left="43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3.0</w:t>
            </w:r>
          </w:p>
        </w:tc>
      </w:tr>
      <w:tr w14:paraId="63078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17" w:type="dxa"/>
            <w:tcBorders>
              <w:left w:val="single" w:color="000000" w:sz="6" w:space="0"/>
            </w:tcBorders>
            <w:vAlign w:val="top"/>
          </w:tcPr>
          <w:p w14:paraId="451C8855">
            <w:pPr>
              <w:rPr>
                <w:rFonts w:ascii="Arial"/>
                <w:strike/>
                <w:dstrike w:val="0"/>
                <w:color w:val="auto"/>
                <w:sz w:val="21"/>
                <w:highlight w:val="none"/>
              </w:rPr>
            </w:pPr>
          </w:p>
        </w:tc>
        <w:tc>
          <w:tcPr>
            <w:tcW w:w="7218" w:type="dxa"/>
            <w:vAlign w:val="top"/>
          </w:tcPr>
          <w:p w14:paraId="70EE3813">
            <w:pPr>
              <w:pStyle w:val="17"/>
              <w:spacing w:before="124"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1107" w:type="dxa"/>
            <w:tcBorders>
              <w:right w:val="single" w:color="000000" w:sz="6" w:space="0"/>
            </w:tcBorders>
            <w:vAlign w:val="top"/>
          </w:tcPr>
          <w:p w14:paraId="26CCAB49">
            <w:pPr>
              <w:spacing w:before="161" w:line="188" w:lineRule="auto"/>
              <w:ind w:left="42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2.0</w:t>
            </w:r>
          </w:p>
        </w:tc>
      </w:tr>
      <w:tr w14:paraId="406E25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17" w:type="dxa"/>
            <w:tcBorders>
              <w:left w:val="single" w:color="000000" w:sz="6" w:space="0"/>
            </w:tcBorders>
            <w:vAlign w:val="top"/>
          </w:tcPr>
          <w:p w14:paraId="7CD7A0AE">
            <w:pPr>
              <w:rPr>
                <w:rFonts w:ascii="Arial"/>
                <w:strike/>
                <w:dstrike w:val="0"/>
                <w:color w:val="auto"/>
                <w:sz w:val="21"/>
                <w:highlight w:val="none"/>
              </w:rPr>
            </w:pPr>
          </w:p>
        </w:tc>
        <w:tc>
          <w:tcPr>
            <w:tcW w:w="7218" w:type="dxa"/>
            <w:vAlign w:val="top"/>
          </w:tcPr>
          <w:p w14:paraId="17595569">
            <w:pPr>
              <w:pStyle w:val="17"/>
              <w:spacing w:before="124"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1107" w:type="dxa"/>
            <w:tcBorders>
              <w:right w:val="single" w:color="000000" w:sz="6" w:space="0"/>
            </w:tcBorders>
            <w:vAlign w:val="top"/>
          </w:tcPr>
          <w:p w14:paraId="1E533890">
            <w:pPr>
              <w:spacing w:before="161" w:line="188" w:lineRule="auto"/>
              <w:ind w:left="44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8"/>
                <w:sz w:val="21"/>
                <w:szCs w:val="21"/>
                <w:highlight w:val="none"/>
              </w:rPr>
              <w:t>1.0</w:t>
            </w:r>
          </w:p>
        </w:tc>
      </w:tr>
      <w:tr w14:paraId="5E2B7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717" w:type="dxa"/>
            <w:tcBorders>
              <w:left w:val="single" w:color="000000" w:sz="6" w:space="0"/>
            </w:tcBorders>
            <w:vAlign w:val="top"/>
          </w:tcPr>
          <w:p w14:paraId="295C494C">
            <w:pPr>
              <w:rPr>
                <w:rFonts w:ascii="Arial"/>
                <w:strike/>
                <w:dstrike w:val="0"/>
                <w:color w:val="auto"/>
                <w:sz w:val="21"/>
                <w:highlight w:val="none"/>
              </w:rPr>
            </w:pPr>
          </w:p>
        </w:tc>
        <w:tc>
          <w:tcPr>
            <w:tcW w:w="7218" w:type="dxa"/>
            <w:vAlign w:val="top"/>
          </w:tcPr>
          <w:p w14:paraId="1801A595">
            <w:pPr>
              <w:pStyle w:val="17"/>
              <w:spacing w:before="126"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1107" w:type="dxa"/>
            <w:tcBorders>
              <w:right w:val="single" w:color="000000" w:sz="6" w:space="0"/>
            </w:tcBorders>
            <w:vAlign w:val="top"/>
          </w:tcPr>
          <w:p w14:paraId="02DBC897">
            <w:pPr>
              <w:spacing w:before="162" w:line="188" w:lineRule="auto"/>
              <w:ind w:left="50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bl>
    <w:p w14:paraId="29480D1F">
      <w:pPr>
        <w:pStyle w:val="8"/>
        <w:spacing w:line="371" w:lineRule="auto"/>
        <w:rPr>
          <w:strike/>
          <w:dstrike w:val="0"/>
          <w:color w:val="auto"/>
          <w:highlight w:val="none"/>
        </w:rPr>
      </w:pPr>
    </w:p>
    <w:p w14:paraId="6C04DBBA">
      <w:pPr>
        <w:spacing w:before="78" w:line="359" w:lineRule="auto"/>
        <w:ind w:left="42" w:right="236" w:firstLine="48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企业信用等级证明材料指：选用全国水利建设市场监管服务平台企业信用评</w:t>
      </w:r>
      <w:r>
        <w:rPr>
          <w:rFonts w:ascii="宋体" w:hAnsi="宋体" w:eastAsia="宋体" w:cs="宋体"/>
          <w:strike/>
          <w:dstrike w:val="0"/>
          <w:color w:val="auto"/>
          <w:spacing w:val="-4"/>
          <w:sz w:val="24"/>
          <w:szCs w:val="24"/>
          <w:highlight w:val="none"/>
        </w:rPr>
        <w:t>价等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级的提供显示颁发日期及有效期的网页打印件；选用浙江省水利建设市场信用评价等</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4"/>
          <w:sz w:val="24"/>
          <w:szCs w:val="24"/>
          <w:highlight w:val="none"/>
        </w:rPr>
        <w:t>级（施工类）的提供投标截止日前最新一期信用评价等级打印件（信用评价等级每周</w:t>
      </w:r>
      <w:r>
        <w:rPr>
          <w:rFonts w:ascii="宋体" w:hAnsi="宋体" w:eastAsia="宋体" w:cs="宋体"/>
          <w:strike/>
          <w:dstrike w:val="0"/>
          <w:color w:val="auto"/>
          <w:spacing w:val="15"/>
          <w:sz w:val="24"/>
          <w:szCs w:val="24"/>
          <w:highlight w:val="none"/>
        </w:rPr>
        <w:t xml:space="preserve"> </w:t>
      </w:r>
      <w:r>
        <w:rPr>
          <w:rFonts w:ascii="宋体" w:hAnsi="宋体" w:eastAsia="宋体" w:cs="宋体"/>
          <w:strike/>
          <w:dstrike w:val="0"/>
          <w:color w:val="auto"/>
          <w:spacing w:val="-1"/>
          <w:sz w:val="24"/>
          <w:szCs w:val="24"/>
          <w:highlight w:val="none"/>
        </w:rPr>
        <w:t xml:space="preserve">三下午 </w:t>
      </w:r>
      <w:r>
        <w:rPr>
          <w:rFonts w:ascii="Times New Roman" w:hAnsi="Times New Roman" w:eastAsia="Times New Roman" w:cs="Times New Roman"/>
          <w:strike/>
          <w:dstrike w:val="0"/>
          <w:color w:val="auto"/>
          <w:spacing w:val="-1"/>
          <w:sz w:val="24"/>
          <w:szCs w:val="24"/>
          <w:highlight w:val="none"/>
        </w:rPr>
        <w:t>17:00-18:00</w:t>
      </w:r>
      <w:r>
        <w:rPr>
          <w:rFonts w:ascii="宋体" w:hAnsi="宋体" w:eastAsia="宋体" w:cs="宋体"/>
          <w:strike/>
          <w:dstrike w:val="0"/>
          <w:color w:val="auto"/>
          <w:spacing w:val="-1"/>
          <w:sz w:val="24"/>
          <w:szCs w:val="24"/>
          <w:highlight w:val="none"/>
        </w:rPr>
        <w:t>更新</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打印件应含有“浙江水利透明工</w:t>
      </w:r>
      <w:r>
        <w:rPr>
          <w:rFonts w:ascii="宋体" w:hAnsi="宋体" w:eastAsia="宋体" w:cs="宋体"/>
          <w:strike/>
          <w:dstrike w:val="0"/>
          <w:color w:val="auto"/>
          <w:spacing w:val="-2"/>
          <w:sz w:val="24"/>
          <w:szCs w:val="24"/>
          <w:highlight w:val="none"/>
        </w:rPr>
        <w:t>程”水印。</w:t>
      </w:r>
    </w:p>
    <w:p w14:paraId="5740DABF">
      <w:pPr>
        <w:spacing w:line="223" w:lineRule="auto"/>
        <w:ind w:left="37"/>
        <w:rPr>
          <w:rFonts w:ascii="楷体" w:hAnsi="楷体" w:eastAsia="楷体" w:cs="楷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4.5  </w:t>
      </w:r>
      <w:r>
        <w:rPr>
          <w:rFonts w:ascii="楷体" w:hAnsi="楷体" w:eastAsia="楷体" w:cs="楷体"/>
          <w:strike/>
          <w:dstrike w:val="0"/>
          <w:color w:val="auto"/>
          <w:spacing w:val="-1"/>
          <w:sz w:val="24"/>
          <w:szCs w:val="24"/>
          <w:highlight w:val="none"/>
        </w:rPr>
        <w:t>投标文件的商务评审</w:t>
      </w:r>
    </w:p>
    <w:p w14:paraId="3618D59B">
      <w:pPr>
        <w:spacing w:before="177" w:line="312" w:lineRule="auto"/>
        <w:ind w:left="42" w:right="236"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4.5.1  </w:t>
      </w:r>
      <w:r>
        <w:rPr>
          <w:rFonts w:ascii="宋体" w:hAnsi="宋体" w:eastAsia="宋体" w:cs="宋体"/>
          <w:strike/>
          <w:dstrike w:val="0"/>
          <w:color w:val="auto"/>
          <w:sz w:val="24"/>
          <w:szCs w:val="24"/>
          <w:highlight w:val="none"/>
        </w:rPr>
        <w:t>评标委员会对通过符合性评审、技术评审的投标文件进行商务评审。评标</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委员会应对商务报价的范围、数量、单价、费用组成和总价等进行全面审阅和对比分</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析，找出报价差异的原因及存在的问题。</w:t>
      </w:r>
    </w:p>
    <w:p w14:paraId="495686AA">
      <w:pPr>
        <w:spacing w:before="183" w:line="312" w:lineRule="auto"/>
        <w:ind w:left="44" w:right="235" w:firstLine="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4.5.2  </w:t>
      </w:r>
      <w:r>
        <w:rPr>
          <w:rFonts w:ascii="宋体" w:hAnsi="宋体" w:eastAsia="宋体" w:cs="宋体"/>
          <w:strike/>
          <w:dstrike w:val="0"/>
          <w:color w:val="auto"/>
          <w:sz w:val="24"/>
          <w:szCs w:val="24"/>
          <w:highlight w:val="none"/>
        </w:rPr>
        <w:t>商务评审应以报价口径范围一致的投标评标价为依据。投标评标价应在最</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终报价的基础上，按照招标文件约定的因素和方法进行计算。凡属招标文件的原因造</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成报价口径范围不一致的，应调整投标报价。其中算术错误的调整原则为：</w:t>
      </w:r>
    </w:p>
    <w:p w14:paraId="186B2FF2">
      <w:pPr>
        <w:spacing w:before="182" w:line="220" w:lineRule="auto"/>
        <w:ind w:left="5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）用数字表示的金额与文字表示的数额不一致时，以文字数额为准。</w:t>
      </w:r>
    </w:p>
    <w:p w14:paraId="668CC960">
      <w:pPr>
        <w:spacing w:before="182" w:line="324" w:lineRule="auto"/>
        <w:ind w:left="44" w:right="170" w:firstLine="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）凡属投标人自身失误造成多算、少算、漏算的，</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7"/>
          <w:sz w:val="24"/>
          <w:szCs w:val="24"/>
          <w:highlight w:val="none"/>
        </w:rPr>
        <w:t>不调整投标报价。若有算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术性差错，均在投标报价不变的前提下按招标人要求调整单价及有关费用，调整后的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单价及有关费用对投标人起约束作用，如果投标人不接受修正后的单价及有关</w:t>
      </w:r>
      <w:r>
        <w:rPr>
          <w:rFonts w:ascii="宋体" w:hAnsi="宋体" w:eastAsia="宋体" w:cs="宋体"/>
          <w:strike/>
          <w:dstrike w:val="0"/>
          <w:color w:val="auto"/>
          <w:spacing w:val="-2"/>
          <w:sz w:val="24"/>
          <w:szCs w:val="24"/>
          <w:highlight w:val="none"/>
        </w:rPr>
        <w:t>费用，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则按商务评审不合格处理。</w:t>
      </w:r>
    </w:p>
    <w:p w14:paraId="53852274">
      <w:pPr>
        <w:spacing w:before="182" w:line="218" w:lineRule="auto"/>
        <w:ind w:left="57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4.5.3  </w:t>
      </w:r>
      <w:r>
        <w:rPr>
          <w:rFonts w:ascii="宋体" w:hAnsi="宋体" w:eastAsia="宋体" w:cs="宋体"/>
          <w:strike/>
          <w:dstrike w:val="0"/>
          <w:color w:val="auto"/>
          <w:spacing w:val="-2"/>
          <w:sz w:val="24"/>
          <w:szCs w:val="24"/>
          <w:highlight w:val="none"/>
        </w:rPr>
        <w:t>投标报价中，如有以下情况之一的，按商务评审不合格处理：</w:t>
      </w:r>
    </w:p>
    <w:p w14:paraId="2252DBAF">
      <w:pPr>
        <w:spacing w:before="183" w:line="218" w:lineRule="auto"/>
        <w:ind w:left="5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）投标人拒绝修正不平衡报价或拒绝提供报价分析说明和证明材料的。</w:t>
      </w:r>
    </w:p>
    <w:p w14:paraId="5C8CF30C">
      <w:pPr>
        <w:spacing w:before="183" w:line="291" w:lineRule="auto"/>
        <w:ind w:left="43" w:right="255"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）因投标人自身多算、少算、错算、漏算而造成的错误金额超过投标总价的</w:t>
      </w:r>
      <w:r>
        <w:rPr>
          <w:rFonts w:ascii="宋体" w:hAnsi="宋体" w:eastAsia="宋体" w:cs="宋体"/>
          <w:strike/>
          <w:dstrike w:val="0"/>
          <w:color w:val="auto"/>
          <w:spacing w:val="2"/>
          <w:sz w:val="24"/>
          <w:szCs w:val="24"/>
          <w:highlight w:val="none"/>
        </w:rPr>
        <w:t xml:space="preserve"> </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的。</w:t>
      </w:r>
    </w:p>
    <w:p w14:paraId="34DB8D73">
      <w:pPr>
        <w:spacing w:before="178" w:line="220" w:lineRule="auto"/>
        <w:ind w:left="5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）安全施工费低于招标文件规定的。</w:t>
      </w:r>
    </w:p>
    <w:p w14:paraId="6793502D">
      <w:pPr>
        <w:spacing w:before="180" w:line="289" w:lineRule="auto"/>
        <w:ind w:left="42" w:right="236" w:firstLine="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4</w:t>
      </w:r>
      <w:r>
        <w:rPr>
          <w:rFonts w:ascii="宋体" w:hAnsi="宋体" w:eastAsia="宋体" w:cs="宋体"/>
          <w:strike/>
          <w:dstrike w:val="0"/>
          <w:color w:val="auto"/>
          <w:spacing w:val="-1"/>
          <w:sz w:val="24"/>
          <w:szCs w:val="24"/>
          <w:highlight w:val="none"/>
        </w:rPr>
        <w:t>）通过符合性审查、技术评审的最低投标评</w:t>
      </w:r>
      <w:r>
        <w:rPr>
          <w:rFonts w:ascii="宋体" w:hAnsi="宋体" w:eastAsia="宋体" w:cs="宋体"/>
          <w:strike/>
          <w:dstrike w:val="0"/>
          <w:color w:val="auto"/>
          <w:spacing w:val="-2"/>
          <w:sz w:val="24"/>
          <w:szCs w:val="24"/>
          <w:highlight w:val="none"/>
        </w:rPr>
        <w:t>标价低于通过符合性审查和技术</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评审的次低投标评标价</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，且经询标投标人对</w:t>
      </w:r>
      <w:r>
        <w:rPr>
          <w:rFonts w:ascii="宋体" w:hAnsi="宋体" w:eastAsia="宋体" w:cs="宋体"/>
          <w:strike/>
          <w:dstrike w:val="0"/>
          <w:color w:val="auto"/>
          <w:spacing w:val="1"/>
          <w:sz w:val="24"/>
          <w:szCs w:val="24"/>
          <w:highlight w:val="none"/>
        </w:rPr>
        <w:t>其报价不能充分说明理由，或提供的</w:t>
      </w:r>
    </w:p>
    <w:p w14:paraId="6CADB9D0">
      <w:pPr>
        <w:spacing w:line="289" w:lineRule="auto"/>
        <w:rPr>
          <w:rFonts w:ascii="宋体" w:hAnsi="宋体" w:eastAsia="宋体" w:cs="宋体"/>
          <w:strike/>
          <w:dstrike w:val="0"/>
          <w:color w:val="auto"/>
          <w:sz w:val="24"/>
          <w:szCs w:val="24"/>
          <w:highlight w:val="none"/>
        </w:rPr>
        <w:sectPr>
          <w:footerReference r:id="rId49" w:type="default"/>
          <w:pgSz w:w="11905" w:h="16840"/>
          <w:pgMar w:top="1431" w:right="1292" w:bottom="1255" w:left="1553" w:header="0" w:footer="1093" w:gutter="0"/>
          <w:pgNumType w:fmt="decimal"/>
          <w:cols w:space="720" w:num="1"/>
        </w:sectPr>
      </w:pPr>
    </w:p>
    <w:p w14:paraId="0A51F0A4">
      <w:pPr>
        <w:spacing w:before="48" w:line="218" w:lineRule="auto"/>
        <w:ind w:left="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相关材料无法证明报价不低于其成本价的。</w:t>
      </w:r>
    </w:p>
    <w:p w14:paraId="76C8EF6D">
      <w:pPr>
        <w:spacing w:before="183" w:line="219"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）评标委员会认定属投标人自身原因有重大漏项的。</w:t>
      </w:r>
    </w:p>
    <w:p w14:paraId="71BC779D">
      <w:pPr>
        <w:spacing w:before="182" w:line="213" w:lineRule="auto"/>
        <w:ind w:left="565"/>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6</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08D6D64B">
      <w:pPr>
        <w:spacing w:before="177" w:line="220" w:lineRule="auto"/>
        <w:ind w:left="52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4.5.4  </w:t>
      </w:r>
      <w:r>
        <w:rPr>
          <w:rFonts w:ascii="宋体" w:hAnsi="宋体" w:eastAsia="宋体" w:cs="宋体"/>
          <w:strike/>
          <w:dstrike w:val="0"/>
          <w:color w:val="auto"/>
          <w:spacing w:val="-2"/>
          <w:sz w:val="24"/>
          <w:szCs w:val="24"/>
          <w:highlight w:val="none"/>
        </w:rPr>
        <w:t>商务评审不通过的投标文件不再进入后续评分。</w:t>
      </w:r>
    </w:p>
    <w:p w14:paraId="0D2052CD">
      <w:pPr>
        <w:spacing w:before="182" w:line="278" w:lineRule="auto"/>
        <w:ind w:left="35" w:right="846" w:firstLine="49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1"/>
          <w:sz w:val="24"/>
          <w:szCs w:val="24"/>
          <w:highlight w:val="none"/>
        </w:rPr>
        <w:t xml:space="preserve">4.5.5  </w:t>
      </w:r>
      <w:r>
        <w:rPr>
          <w:rFonts w:ascii="宋体" w:hAnsi="宋体" w:eastAsia="宋体" w:cs="宋体"/>
          <w:strike/>
          <w:dstrike w:val="0"/>
          <w:color w:val="auto"/>
          <w:spacing w:val="-11"/>
          <w:sz w:val="24"/>
          <w:szCs w:val="24"/>
          <w:highlight w:val="none"/>
        </w:rPr>
        <w:t xml:space="preserve">商务评分计算办法 </w:t>
      </w:r>
      <w:r>
        <w:rPr>
          <w:rFonts w:ascii="宋体" w:hAnsi="宋体" w:eastAsia="宋体" w:cs="宋体"/>
          <w:i/>
          <w:iCs/>
          <w:strike/>
          <w:dstrike w:val="0"/>
          <w:color w:val="auto"/>
          <w:spacing w:val="-11"/>
          <w:sz w:val="25"/>
          <w:szCs w:val="25"/>
          <w:highlight w:val="none"/>
        </w:rPr>
        <w:t>（以下列出的两种评分基准价的确定方法仅供参</w:t>
      </w:r>
      <w:r>
        <w:rPr>
          <w:rFonts w:ascii="宋体" w:hAnsi="宋体" w:eastAsia="宋体" w:cs="宋体"/>
          <w:strike/>
          <w:dstrike w:val="0"/>
          <w:color w:val="auto"/>
          <w:spacing w:val="13"/>
          <w:sz w:val="25"/>
          <w:szCs w:val="25"/>
          <w:highlight w:val="none"/>
        </w:rPr>
        <w:t xml:space="preserve"> </w:t>
      </w:r>
      <w:r>
        <w:rPr>
          <w:rFonts w:ascii="宋体" w:hAnsi="宋体" w:eastAsia="宋体" w:cs="宋体"/>
          <w:i/>
          <w:iCs/>
          <w:strike/>
          <w:dstrike w:val="0"/>
          <w:color w:val="auto"/>
          <w:spacing w:val="-13"/>
          <w:sz w:val="25"/>
          <w:szCs w:val="25"/>
          <w:highlight w:val="none"/>
        </w:rPr>
        <w:t>考</w:t>
      </w:r>
      <w:r>
        <w:rPr>
          <w:rFonts w:ascii="宋体" w:hAnsi="宋体" w:eastAsia="宋体" w:cs="宋体"/>
          <w:i/>
          <w:iCs/>
          <w:strike/>
          <w:dstrike w:val="0"/>
          <w:color w:val="auto"/>
          <w:spacing w:val="-7"/>
          <w:sz w:val="25"/>
          <w:szCs w:val="25"/>
          <w:highlight w:val="none"/>
        </w:rPr>
        <w:t>）</w:t>
      </w:r>
      <w:r>
        <w:rPr>
          <w:rFonts w:ascii="宋体" w:hAnsi="宋体" w:eastAsia="宋体" w:cs="宋体"/>
          <w:strike/>
          <w:dstrike w:val="0"/>
          <w:color w:val="auto"/>
          <w:spacing w:val="-7"/>
          <w:sz w:val="24"/>
          <w:szCs w:val="24"/>
          <w:highlight w:val="none"/>
        </w:rPr>
        <w:t>：</w:t>
      </w:r>
    </w:p>
    <w:p w14:paraId="50C6D971">
      <w:pPr>
        <w:spacing w:before="179" w:line="290" w:lineRule="auto"/>
        <w:ind w:left="550" w:right="6052" w:firstLine="1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1</w:t>
      </w:r>
      <w:r>
        <w:rPr>
          <w:rFonts w:ascii="Times New Roman" w:hAnsi="Times New Roman" w:eastAsia="Times New Roman" w:cs="Times New Roman"/>
          <w:strike/>
          <w:dstrike w:val="0"/>
          <w:color w:val="auto"/>
          <w:spacing w:val="-29"/>
          <w:sz w:val="24"/>
          <w:szCs w:val="24"/>
          <w:highlight w:val="none"/>
        </w:rPr>
        <w:t xml:space="preserve"> </w:t>
      </w:r>
      <w:r>
        <w:rPr>
          <w:rFonts w:ascii="宋体" w:hAnsi="宋体" w:eastAsia="宋体" w:cs="宋体"/>
          <w:strike/>
          <w:dstrike w:val="0"/>
          <w:color w:val="auto"/>
          <w:spacing w:val="-6"/>
          <w:sz w:val="24"/>
          <w:szCs w:val="24"/>
          <w:highlight w:val="none"/>
        </w:rPr>
        <w:t>．评分基准价的确定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方法</w:t>
      </w: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w:t>
      </w:r>
    </w:p>
    <w:p w14:paraId="0D09EB1F">
      <w:pPr>
        <w:spacing w:before="182" w:line="353" w:lineRule="auto"/>
        <w:ind w:left="10" w:right="54"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若通过商务评审的投标人大于等于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家，基准价为通过商务</w:t>
      </w:r>
      <w:r>
        <w:rPr>
          <w:rFonts w:ascii="宋体" w:hAnsi="宋体" w:eastAsia="宋体" w:cs="宋体"/>
          <w:strike/>
          <w:dstrike w:val="0"/>
          <w:color w:val="auto"/>
          <w:spacing w:val="-2"/>
          <w:sz w:val="24"/>
          <w:szCs w:val="24"/>
          <w:highlight w:val="none"/>
        </w:rPr>
        <w:t>评审的评标价中剔除</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投标评标价由高到低排序前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个投标评标价和投标评标价由低到高排</w:t>
      </w:r>
      <w:r>
        <w:rPr>
          <w:rFonts w:ascii="宋体" w:hAnsi="宋体" w:eastAsia="宋体" w:cs="宋体"/>
          <w:strike/>
          <w:dstrike w:val="0"/>
          <w:color w:val="auto"/>
          <w:sz w:val="24"/>
          <w:szCs w:val="24"/>
          <w:highlight w:val="none"/>
        </w:rPr>
        <w:t>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 xml:space="preserve">个投标评 </w:t>
      </w:r>
      <w:r>
        <w:rPr>
          <w:rFonts w:ascii="宋体" w:hAnsi="宋体" w:eastAsia="宋体" w:cs="宋体"/>
          <w:strike/>
          <w:dstrike w:val="0"/>
          <w:color w:val="auto"/>
          <w:spacing w:val="-4"/>
          <w:sz w:val="24"/>
          <w:szCs w:val="24"/>
          <w:highlight w:val="none"/>
        </w:rPr>
        <w:t>标价后的算术平均值下浮</w:t>
      </w:r>
      <w:r>
        <w:rPr>
          <w:rFonts w:ascii="Times New Roman" w:hAnsi="Times New Roman" w:eastAsia="Times New Roman" w:cs="Times New Roman"/>
          <w:strike/>
          <w:dstrike w:val="0"/>
          <w:color w:val="auto"/>
          <w:spacing w:val="-4"/>
          <w:sz w:val="24"/>
          <w:szCs w:val="24"/>
          <w:highlight w:val="none"/>
        </w:rPr>
        <w:t>X%</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A</w:t>
      </w:r>
      <w:r>
        <w:rPr>
          <w:rFonts w:ascii="宋体" w:hAnsi="宋体" w:eastAsia="宋体" w:cs="宋体"/>
          <w:strike/>
          <w:dstrike w:val="0"/>
          <w:color w:val="auto"/>
          <w:spacing w:val="-4"/>
          <w:sz w:val="24"/>
          <w:szCs w:val="24"/>
          <w:highlight w:val="none"/>
        </w:rPr>
        <w:t>为通过商务评审的投标人个数的</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20%</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30%</w:t>
      </w:r>
      <w:r>
        <w:rPr>
          <w:rFonts w:ascii="Times New Roman" w:hAnsi="Times New Roman" w:eastAsia="Times New Roman" w:cs="Times New Roman"/>
          <w:i/>
          <w:iCs/>
          <w:strike/>
          <w:dstrike w:val="0"/>
          <w:color w:val="auto"/>
          <w:spacing w:val="-15"/>
          <w:sz w:val="24"/>
          <w:szCs w:val="24"/>
          <w:highlight w:val="none"/>
          <w:u w:val="single" w:color="auto"/>
        </w:rPr>
        <w:t xml:space="preserve"> </w:t>
      </w:r>
      <w:r>
        <w:rPr>
          <w:rFonts w:ascii="宋体" w:hAnsi="宋体" w:eastAsia="宋体" w:cs="宋体"/>
          <w:i/>
          <w:iCs/>
          <w:strike/>
          <w:dstrike w:val="0"/>
          <w:color w:val="auto"/>
          <w:spacing w:val="-4"/>
          <w:sz w:val="25"/>
          <w:szCs w:val="25"/>
          <w:highlight w:val="none"/>
          <w:u w:val="single" w:color="auto"/>
        </w:rPr>
        <w:t>，</w:t>
      </w:r>
      <w:r>
        <w:rPr>
          <w:rFonts w:ascii="宋体" w:hAnsi="宋体" w:eastAsia="宋体" w:cs="宋体"/>
          <w:b/>
          <w:bCs/>
          <w:i/>
          <w:iCs/>
          <w:strike/>
          <w:dstrike w:val="0"/>
          <w:color w:val="auto"/>
          <w:spacing w:val="-4"/>
          <w:sz w:val="25"/>
          <w:szCs w:val="25"/>
          <w:highlight w:val="none"/>
          <w:u w:val="single" w:color="auto"/>
        </w:rPr>
        <w:t>由招</w:t>
      </w:r>
      <w:r>
        <w:rPr>
          <w:rFonts w:ascii="宋体" w:hAnsi="宋体" w:eastAsia="宋体" w:cs="宋体"/>
          <w:strike/>
          <w:dstrike w:val="0"/>
          <w:color w:val="auto"/>
          <w:sz w:val="25"/>
          <w:szCs w:val="25"/>
          <w:highlight w:val="none"/>
        </w:rPr>
        <w:t xml:space="preserve"> </w:t>
      </w:r>
      <w:r>
        <w:rPr>
          <w:rFonts w:ascii="宋体" w:hAnsi="宋体" w:eastAsia="宋体" w:cs="宋体"/>
          <w:b/>
          <w:bCs/>
          <w:i/>
          <w:iCs/>
          <w:strike/>
          <w:dstrike w:val="0"/>
          <w:color w:val="auto"/>
          <w:spacing w:val="-2"/>
          <w:sz w:val="25"/>
          <w:szCs w:val="25"/>
          <w:highlight w:val="none"/>
          <w:u w:val="single" w:color="auto"/>
        </w:rPr>
        <w:t>标人自主确定</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并取整数，小数点后四舍五入</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若通过商务</w:t>
      </w:r>
      <w:r>
        <w:rPr>
          <w:rFonts w:ascii="宋体" w:hAnsi="宋体" w:eastAsia="宋体" w:cs="宋体"/>
          <w:strike/>
          <w:dstrike w:val="0"/>
          <w:color w:val="auto"/>
          <w:spacing w:val="-3"/>
          <w:sz w:val="24"/>
          <w:szCs w:val="24"/>
          <w:highlight w:val="none"/>
        </w:rPr>
        <w:t>评审的投标人少于</w:t>
      </w:r>
      <w:r>
        <w:rPr>
          <w:rFonts w:ascii="Times New Roman" w:hAnsi="Times New Roman" w:eastAsia="Times New Roman" w:cs="Times New Roman"/>
          <w:strike/>
          <w:dstrike w:val="0"/>
          <w:color w:val="auto"/>
          <w:spacing w:val="-3"/>
          <w:sz w:val="24"/>
          <w:szCs w:val="24"/>
          <w:highlight w:val="none"/>
        </w:rPr>
        <w:t>5</w:t>
      </w:r>
      <w:r>
        <w:rPr>
          <w:rFonts w:ascii="Times New Roman" w:hAnsi="Times New Roman" w:eastAsia="Times New Roman" w:cs="Times New Roman"/>
          <w:strike/>
          <w:dstrike w:val="0"/>
          <w:color w:val="auto"/>
          <w:spacing w:val="2"/>
          <w:sz w:val="24"/>
          <w:szCs w:val="24"/>
          <w:highlight w:val="none"/>
        </w:rPr>
        <w:t xml:space="preserve"> </w:t>
      </w:r>
      <w:r>
        <w:rPr>
          <w:rFonts w:ascii="宋体" w:hAnsi="宋体" w:eastAsia="宋体" w:cs="宋体"/>
          <w:strike/>
          <w:dstrike w:val="0"/>
          <w:color w:val="auto"/>
          <w:spacing w:val="-1"/>
          <w:sz w:val="24"/>
          <w:szCs w:val="24"/>
          <w:highlight w:val="none"/>
        </w:rPr>
        <w:t>家时，基准价为所有通过商务评审的评标价的算术平均值下浮</w:t>
      </w:r>
      <w:r>
        <w:rPr>
          <w:rFonts w:ascii="Times New Roman" w:hAnsi="Times New Roman" w:eastAsia="Times New Roman" w:cs="Times New Roman"/>
          <w:strike/>
          <w:dstrike w:val="0"/>
          <w:color w:val="auto"/>
          <w:spacing w:val="-1"/>
          <w:sz w:val="24"/>
          <w:szCs w:val="24"/>
          <w:highlight w:val="none"/>
        </w:rPr>
        <w:t>X</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的数值。</w:t>
      </w:r>
    </w:p>
    <w:p w14:paraId="3EBCBD53">
      <w:pPr>
        <w:tabs>
          <w:tab w:val="left" w:pos="113"/>
        </w:tabs>
        <w:spacing w:before="2" w:line="344" w:lineRule="auto"/>
        <w:ind w:right="64" w:firstLine="54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8"/>
          <w:sz w:val="24"/>
          <w:szCs w:val="24"/>
          <w:highlight w:val="none"/>
        </w:rPr>
        <w:t>X</w:t>
      </w:r>
      <w:r>
        <w:rPr>
          <w:rFonts w:ascii="宋体" w:hAnsi="宋体" w:eastAsia="宋体" w:cs="宋体"/>
          <w:strike/>
          <w:dstrike w:val="0"/>
          <w:color w:val="auto"/>
          <w:spacing w:val="-8"/>
          <w:sz w:val="24"/>
          <w:szCs w:val="24"/>
          <w:highlight w:val="none"/>
        </w:rPr>
        <w:t>值在开标时由招标人在</w:t>
      </w:r>
      <w:r>
        <w:rPr>
          <w:rFonts w:ascii="宋体" w:hAnsi="宋体" w:eastAsia="宋体" w:cs="宋体"/>
          <w:strike/>
          <w:dstrike w:val="0"/>
          <w:color w:val="auto"/>
          <w:spacing w:val="56"/>
          <w:sz w:val="25"/>
          <w:szCs w:val="25"/>
          <w:highlight w:val="none"/>
          <w:u w:val="single" w:color="auto"/>
        </w:rPr>
        <w:t xml:space="preserve">  </w:t>
      </w:r>
      <w:r>
        <w:rPr>
          <w:rFonts w:ascii="宋体" w:hAnsi="宋体" w:eastAsia="宋体" w:cs="宋体"/>
          <w:i/>
          <w:iCs/>
          <w:strike/>
          <w:dstrike w:val="0"/>
          <w:color w:val="auto"/>
          <w:spacing w:val="-8"/>
          <w:sz w:val="25"/>
          <w:szCs w:val="25"/>
          <w:highlight w:val="none"/>
          <w:u w:val="single" w:color="auto"/>
        </w:rPr>
        <w:t>（由招标人在</w:t>
      </w:r>
      <w:r>
        <w:rPr>
          <w:rFonts w:ascii="Times New Roman" w:hAnsi="Times New Roman" w:eastAsia="Times New Roman" w:cs="Times New Roman"/>
          <w:i/>
          <w:iCs/>
          <w:strike/>
          <w:dstrike w:val="0"/>
          <w:color w:val="auto"/>
          <w:spacing w:val="-8"/>
          <w:sz w:val="24"/>
          <w:szCs w:val="24"/>
          <w:highlight w:val="none"/>
          <w:u w:val="single" w:color="auto"/>
        </w:rPr>
        <w:t>0</w:t>
      </w:r>
      <w:r>
        <w:rPr>
          <w:rFonts w:ascii="宋体" w:hAnsi="宋体" w:eastAsia="宋体" w:cs="宋体"/>
          <w:i/>
          <w:iCs/>
          <w:strike/>
          <w:dstrike w:val="0"/>
          <w:color w:val="auto"/>
          <w:spacing w:val="-8"/>
          <w:sz w:val="25"/>
          <w:szCs w:val="25"/>
          <w:highlight w:val="none"/>
          <w:u w:val="single" w:color="auto"/>
        </w:rPr>
        <w:t>～</w:t>
      </w:r>
      <w:r>
        <w:rPr>
          <w:rFonts w:ascii="Times New Roman" w:hAnsi="Times New Roman" w:eastAsia="Times New Roman" w:cs="Times New Roman"/>
          <w:i/>
          <w:iCs/>
          <w:strike/>
          <w:dstrike w:val="0"/>
          <w:color w:val="auto"/>
          <w:spacing w:val="-8"/>
          <w:sz w:val="24"/>
          <w:szCs w:val="24"/>
          <w:highlight w:val="none"/>
          <w:u w:val="single" w:color="auto"/>
        </w:rPr>
        <w:t>3</w:t>
      </w:r>
      <w:r>
        <w:rPr>
          <w:rFonts w:ascii="宋体" w:hAnsi="宋体" w:eastAsia="宋体" w:cs="宋体"/>
          <w:i/>
          <w:iCs/>
          <w:strike/>
          <w:dstrike w:val="0"/>
          <w:color w:val="auto"/>
          <w:spacing w:val="-8"/>
          <w:sz w:val="25"/>
          <w:szCs w:val="25"/>
          <w:highlight w:val="none"/>
          <w:u w:val="single" w:color="auto"/>
        </w:rPr>
        <w:t>之间自行确定，但应为</w:t>
      </w:r>
      <w:r>
        <w:rPr>
          <w:rFonts w:ascii="Times New Roman" w:hAnsi="Times New Roman" w:eastAsia="Times New Roman" w:cs="Times New Roman"/>
          <w:i/>
          <w:iCs/>
          <w:strike/>
          <w:dstrike w:val="0"/>
          <w:color w:val="auto"/>
          <w:spacing w:val="-8"/>
          <w:sz w:val="24"/>
          <w:szCs w:val="24"/>
          <w:highlight w:val="none"/>
          <w:u w:val="single" w:color="auto"/>
        </w:rPr>
        <w:t>5</w:t>
      </w:r>
      <w:r>
        <w:rPr>
          <w:rFonts w:ascii="宋体" w:hAnsi="宋体" w:eastAsia="宋体" w:cs="宋体"/>
          <w:i/>
          <w:iCs/>
          <w:strike/>
          <w:dstrike w:val="0"/>
          <w:color w:val="auto"/>
          <w:spacing w:val="-8"/>
          <w:sz w:val="25"/>
          <w:szCs w:val="25"/>
          <w:highlight w:val="none"/>
          <w:u w:val="single" w:color="auto"/>
        </w:rPr>
        <w:t>个数组成</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z w:val="25"/>
          <w:szCs w:val="25"/>
          <w:highlight w:val="none"/>
          <w:u w:val="single" w:color="auto"/>
        </w:rPr>
        <w:tab/>
      </w:r>
      <w:r>
        <w:rPr>
          <w:rFonts w:ascii="宋体" w:hAnsi="宋体" w:eastAsia="宋体" w:cs="宋体"/>
          <w:i/>
          <w:iCs/>
          <w:strike/>
          <w:dstrike w:val="0"/>
          <w:color w:val="auto"/>
          <w:spacing w:val="-11"/>
          <w:sz w:val="25"/>
          <w:szCs w:val="25"/>
          <w:highlight w:val="none"/>
          <w:u w:val="single" w:color="auto"/>
        </w:rPr>
        <w:t>的等差递增数列，最小公差大于等于</w:t>
      </w:r>
      <w:r>
        <w:rPr>
          <w:rFonts w:ascii="Times New Roman" w:hAnsi="Times New Roman" w:eastAsia="Times New Roman" w:cs="Times New Roman"/>
          <w:i/>
          <w:iCs/>
          <w:strike/>
          <w:dstrike w:val="0"/>
          <w:color w:val="auto"/>
          <w:spacing w:val="-11"/>
          <w:sz w:val="24"/>
          <w:szCs w:val="24"/>
          <w:highlight w:val="none"/>
          <w:u w:val="single" w:color="auto"/>
        </w:rPr>
        <w:t>0.5</w:t>
      </w:r>
      <w:r>
        <w:rPr>
          <w:rFonts w:ascii="宋体" w:hAnsi="宋体" w:eastAsia="宋体" w:cs="宋体"/>
          <w:i/>
          <w:iCs/>
          <w:strike/>
          <w:dstrike w:val="0"/>
          <w:color w:val="auto"/>
          <w:spacing w:val="-11"/>
          <w:sz w:val="25"/>
          <w:szCs w:val="25"/>
          <w:highlight w:val="none"/>
          <w:u w:val="single" w:color="auto"/>
        </w:rPr>
        <w:t>）</w:t>
      </w:r>
      <w:r>
        <w:rPr>
          <w:rFonts w:ascii="宋体" w:hAnsi="宋体" w:eastAsia="宋体" w:cs="宋体"/>
          <w:strike/>
          <w:dstrike w:val="0"/>
          <w:color w:val="auto"/>
          <w:spacing w:val="108"/>
          <w:sz w:val="25"/>
          <w:szCs w:val="25"/>
          <w:highlight w:val="none"/>
          <w:u w:val="single" w:color="auto"/>
        </w:rPr>
        <w:t xml:space="preserve"> </w:t>
      </w:r>
      <w:r>
        <w:rPr>
          <w:rFonts w:ascii="宋体" w:hAnsi="宋体" w:eastAsia="宋体" w:cs="宋体"/>
          <w:strike/>
          <w:dstrike w:val="0"/>
          <w:color w:val="auto"/>
          <w:spacing w:val="-114"/>
          <w:sz w:val="25"/>
          <w:szCs w:val="25"/>
          <w:highlight w:val="none"/>
        </w:rPr>
        <w:t xml:space="preserve"> </w:t>
      </w:r>
      <w:r>
        <w:rPr>
          <w:rFonts w:ascii="宋体" w:hAnsi="宋体" w:eastAsia="宋体" w:cs="宋体"/>
          <w:strike/>
          <w:dstrike w:val="0"/>
          <w:color w:val="auto"/>
          <w:spacing w:val="-11"/>
          <w:sz w:val="24"/>
          <w:szCs w:val="24"/>
          <w:highlight w:val="none"/>
        </w:rPr>
        <w:t>之中随机抽取确定。</w:t>
      </w:r>
    </w:p>
    <w:p w14:paraId="584500A1">
      <w:pPr>
        <w:spacing w:before="1" w:line="220" w:lineRule="auto"/>
        <w:ind w:left="48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方法</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w:t>
      </w:r>
    </w:p>
    <w:p w14:paraId="58878363">
      <w:pPr>
        <w:spacing w:before="181" w:line="328" w:lineRule="auto"/>
        <w:ind w:left="9"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）平均报价值的确定：若通过商务评审的投标人大于等于</w:t>
      </w:r>
      <w:r>
        <w:rPr>
          <w:rFonts w:ascii="Times New Roman" w:hAnsi="Times New Roman" w:eastAsia="Times New Roman" w:cs="Times New Roman"/>
          <w:strike/>
          <w:dstrike w:val="0"/>
          <w:color w:val="auto"/>
          <w:spacing w:val="-5"/>
          <w:sz w:val="24"/>
          <w:szCs w:val="24"/>
          <w:highlight w:val="none"/>
        </w:rPr>
        <w:t>5</w:t>
      </w:r>
      <w:r>
        <w:rPr>
          <w:rFonts w:ascii="宋体" w:hAnsi="宋体" w:eastAsia="宋体" w:cs="宋体"/>
          <w:strike/>
          <w:dstrike w:val="0"/>
          <w:color w:val="auto"/>
          <w:spacing w:val="-5"/>
          <w:sz w:val="24"/>
          <w:szCs w:val="24"/>
          <w:highlight w:val="none"/>
        </w:rPr>
        <w:t>家，平均报价值为</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6"/>
          <w:sz w:val="24"/>
          <w:szCs w:val="24"/>
          <w:highlight w:val="none"/>
        </w:rPr>
        <w:t>通过商务评审的评标价中剔除投标评标价由高到低排</w:t>
      </w:r>
      <w:r>
        <w:rPr>
          <w:rFonts w:ascii="宋体" w:hAnsi="宋体" w:eastAsia="宋体" w:cs="宋体"/>
          <w:strike/>
          <w:dstrike w:val="0"/>
          <w:color w:val="auto"/>
          <w:spacing w:val="5"/>
          <w:sz w:val="24"/>
          <w:szCs w:val="24"/>
          <w:highlight w:val="none"/>
        </w:rPr>
        <w:t>序前</w:t>
      </w:r>
      <w:r>
        <w:rPr>
          <w:rFonts w:ascii="Times New Roman" w:hAnsi="Times New Roman" w:eastAsia="Times New Roman" w:cs="Times New Roman"/>
          <w:strike/>
          <w:dstrike w:val="0"/>
          <w:color w:val="auto"/>
          <w:spacing w:val="5"/>
          <w:sz w:val="24"/>
          <w:szCs w:val="24"/>
          <w:highlight w:val="none"/>
        </w:rPr>
        <w:t>A</w:t>
      </w:r>
      <w:r>
        <w:rPr>
          <w:rFonts w:ascii="宋体" w:hAnsi="宋体" w:eastAsia="宋体" w:cs="宋体"/>
          <w:strike/>
          <w:dstrike w:val="0"/>
          <w:color w:val="auto"/>
          <w:spacing w:val="5"/>
          <w:sz w:val="24"/>
          <w:szCs w:val="24"/>
          <w:highlight w:val="none"/>
        </w:rPr>
        <w:t>个投标评标价和投标评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标价由低到高排序前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个投标评标价后的算术平均值［</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为通过商务评</w:t>
      </w:r>
      <w:r>
        <w:rPr>
          <w:rFonts w:ascii="宋体" w:hAnsi="宋体" w:eastAsia="宋体" w:cs="宋体"/>
          <w:strike/>
          <w:dstrike w:val="0"/>
          <w:color w:val="auto"/>
          <w:sz w:val="24"/>
          <w:szCs w:val="24"/>
          <w:highlight w:val="none"/>
        </w:rPr>
        <w:t xml:space="preserve">审的投标人个 </w:t>
      </w:r>
      <w:r>
        <w:rPr>
          <w:rFonts w:ascii="宋体" w:hAnsi="宋体" w:eastAsia="宋体" w:cs="宋体"/>
          <w:strike/>
          <w:dstrike w:val="0"/>
          <w:color w:val="auto"/>
          <w:spacing w:val="-5"/>
          <w:sz w:val="24"/>
          <w:szCs w:val="24"/>
          <w:highlight w:val="none"/>
        </w:rPr>
        <w:t>数的</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20%</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 xml:space="preserve">30% </w:t>
      </w:r>
      <w:r>
        <w:rPr>
          <w:rFonts w:ascii="宋体" w:hAnsi="宋体" w:eastAsia="宋体" w:cs="宋体"/>
          <w:i/>
          <w:iCs/>
          <w:strike/>
          <w:dstrike w:val="0"/>
          <w:color w:val="auto"/>
          <w:spacing w:val="-5"/>
          <w:sz w:val="25"/>
          <w:szCs w:val="25"/>
          <w:highlight w:val="none"/>
          <w:u w:val="single" w:color="auto"/>
        </w:rPr>
        <w:t>，由招标人自主确定）</w:t>
      </w:r>
      <w:r>
        <w:rPr>
          <w:rFonts w:ascii="宋体" w:hAnsi="宋体" w:eastAsia="宋体" w:cs="宋体"/>
          <w:strike/>
          <w:dstrike w:val="0"/>
          <w:color w:val="auto"/>
          <w:spacing w:val="-5"/>
          <w:sz w:val="24"/>
          <w:szCs w:val="24"/>
          <w:highlight w:val="none"/>
        </w:rPr>
        <w:t>，并取整</w:t>
      </w:r>
      <w:r>
        <w:rPr>
          <w:rFonts w:ascii="宋体" w:hAnsi="宋体" w:eastAsia="宋体" w:cs="宋体"/>
          <w:strike/>
          <w:dstrike w:val="0"/>
          <w:color w:val="auto"/>
          <w:spacing w:val="-6"/>
          <w:sz w:val="24"/>
          <w:szCs w:val="24"/>
          <w:highlight w:val="none"/>
        </w:rPr>
        <w:t>数，小数点后四舍五入</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pacing w:val="-6"/>
          <w:sz w:val="24"/>
          <w:szCs w:val="24"/>
          <w:highlight w:val="none"/>
        </w:rPr>
        <w:t>若通过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商务评审的投标人少于</w:t>
      </w:r>
      <w:r>
        <w:rPr>
          <w:rFonts w:ascii="Times New Roman" w:hAnsi="Times New Roman" w:eastAsia="Times New Roman" w:cs="Times New Roman"/>
          <w:strike/>
          <w:dstrike w:val="0"/>
          <w:color w:val="auto"/>
          <w:spacing w:val="-4"/>
          <w:sz w:val="24"/>
          <w:szCs w:val="24"/>
          <w:highlight w:val="none"/>
        </w:rPr>
        <w:t>5</w:t>
      </w:r>
      <w:r>
        <w:rPr>
          <w:rFonts w:ascii="宋体" w:hAnsi="宋体" w:eastAsia="宋体" w:cs="宋体"/>
          <w:strike/>
          <w:dstrike w:val="0"/>
          <w:color w:val="auto"/>
          <w:spacing w:val="-4"/>
          <w:sz w:val="24"/>
          <w:szCs w:val="24"/>
          <w:highlight w:val="none"/>
        </w:rPr>
        <w:t>家，平均报价值为所有通过商务评审的评标价的算术平均值。</w:t>
      </w:r>
    </w:p>
    <w:p w14:paraId="40DC0B5C">
      <w:pPr>
        <w:spacing w:before="182" w:line="289" w:lineRule="auto"/>
        <w:ind w:left="8" w:right="96" w:firstLine="487"/>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 xml:space="preserve">）评分基准价的确定：平均报价值与参与计算平均报价的次低评标价的算术 </w:t>
      </w:r>
      <w:r>
        <w:rPr>
          <w:rFonts w:ascii="宋体" w:hAnsi="宋体" w:eastAsia="宋体" w:cs="宋体"/>
          <w:strike/>
          <w:dstrike w:val="0"/>
          <w:color w:val="auto"/>
          <w:spacing w:val="-3"/>
          <w:sz w:val="24"/>
          <w:szCs w:val="24"/>
          <w:highlight w:val="none"/>
        </w:rPr>
        <w:t>平均值再下浮</w:t>
      </w:r>
      <w:r>
        <w:rPr>
          <w:rFonts w:ascii="Times New Roman" w:hAnsi="Times New Roman" w:eastAsia="Times New Roman" w:cs="Times New Roman"/>
          <w:strike/>
          <w:dstrike w:val="0"/>
          <w:color w:val="auto"/>
          <w:spacing w:val="-3"/>
          <w:sz w:val="24"/>
          <w:szCs w:val="24"/>
          <w:highlight w:val="none"/>
        </w:rPr>
        <w:t>X%</w:t>
      </w:r>
      <w:r>
        <w:rPr>
          <w:rFonts w:ascii="宋体" w:hAnsi="宋体" w:eastAsia="宋体" w:cs="宋体"/>
          <w:strike/>
          <w:dstrike w:val="0"/>
          <w:color w:val="auto"/>
          <w:spacing w:val="-3"/>
          <w:sz w:val="24"/>
          <w:szCs w:val="24"/>
          <w:highlight w:val="none"/>
        </w:rPr>
        <w:t>作为评分基准价。</w:t>
      </w:r>
    </w:p>
    <w:p w14:paraId="56F555B5">
      <w:pPr>
        <w:spacing w:before="183" w:line="345" w:lineRule="auto"/>
        <w:ind w:left="78" w:right="64" w:firstLine="46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8"/>
          <w:sz w:val="24"/>
          <w:szCs w:val="24"/>
          <w:highlight w:val="none"/>
        </w:rPr>
        <w:t>X</w:t>
      </w:r>
      <w:r>
        <w:rPr>
          <w:rFonts w:ascii="宋体" w:hAnsi="宋体" w:eastAsia="宋体" w:cs="宋体"/>
          <w:strike/>
          <w:dstrike w:val="0"/>
          <w:color w:val="auto"/>
          <w:spacing w:val="-8"/>
          <w:sz w:val="24"/>
          <w:szCs w:val="24"/>
          <w:highlight w:val="none"/>
        </w:rPr>
        <w:t>值在开标时由招标人在</w:t>
      </w:r>
      <w:r>
        <w:rPr>
          <w:rFonts w:ascii="宋体" w:hAnsi="宋体" w:eastAsia="宋体" w:cs="宋体"/>
          <w:strike/>
          <w:dstrike w:val="0"/>
          <w:color w:val="auto"/>
          <w:spacing w:val="56"/>
          <w:sz w:val="25"/>
          <w:szCs w:val="25"/>
          <w:highlight w:val="none"/>
          <w:u w:val="single" w:color="auto"/>
        </w:rPr>
        <w:t xml:space="preserve">  </w:t>
      </w:r>
      <w:r>
        <w:rPr>
          <w:rFonts w:ascii="宋体" w:hAnsi="宋体" w:eastAsia="宋体" w:cs="宋体"/>
          <w:i/>
          <w:iCs/>
          <w:strike/>
          <w:dstrike w:val="0"/>
          <w:color w:val="auto"/>
          <w:spacing w:val="-8"/>
          <w:sz w:val="25"/>
          <w:szCs w:val="25"/>
          <w:highlight w:val="none"/>
          <w:u w:val="single" w:color="auto"/>
        </w:rPr>
        <w:t>（由招标人在</w:t>
      </w:r>
      <w:r>
        <w:rPr>
          <w:rFonts w:ascii="Times New Roman" w:hAnsi="Times New Roman" w:eastAsia="Times New Roman" w:cs="Times New Roman"/>
          <w:i/>
          <w:iCs/>
          <w:strike/>
          <w:dstrike w:val="0"/>
          <w:color w:val="auto"/>
          <w:spacing w:val="-8"/>
          <w:sz w:val="24"/>
          <w:szCs w:val="24"/>
          <w:highlight w:val="none"/>
          <w:u w:val="single" w:color="auto"/>
        </w:rPr>
        <w:t>0</w:t>
      </w:r>
      <w:r>
        <w:rPr>
          <w:rFonts w:ascii="宋体" w:hAnsi="宋体" w:eastAsia="宋体" w:cs="宋体"/>
          <w:i/>
          <w:iCs/>
          <w:strike/>
          <w:dstrike w:val="0"/>
          <w:color w:val="auto"/>
          <w:spacing w:val="-8"/>
          <w:sz w:val="25"/>
          <w:szCs w:val="25"/>
          <w:highlight w:val="none"/>
          <w:u w:val="single" w:color="auto"/>
        </w:rPr>
        <w:t>～</w:t>
      </w:r>
      <w:r>
        <w:rPr>
          <w:rFonts w:ascii="Times New Roman" w:hAnsi="Times New Roman" w:eastAsia="Times New Roman" w:cs="Times New Roman"/>
          <w:i/>
          <w:iCs/>
          <w:strike/>
          <w:dstrike w:val="0"/>
          <w:color w:val="auto"/>
          <w:spacing w:val="-8"/>
          <w:sz w:val="24"/>
          <w:szCs w:val="24"/>
          <w:highlight w:val="none"/>
          <w:u w:val="single" w:color="auto"/>
        </w:rPr>
        <w:t>2</w:t>
      </w:r>
      <w:r>
        <w:rPr>
          <w:rFonts w:ascii="宋体" w:hAnsi="宋体" w:eastAsia="宋体" w:cs="宋体"/>
          <w:i/>
          <w:iCs/>
          <w:strike/>
          <w:dstrike w:val="0"/>
          <w:color w:val="auto"/>
          <w:spacing w:val="-8"/>
          <w:sz w:val="25"/>
          <w:szCs w:val="25"/>
          <w:highlight w:val="none"/>
          <w:u w:val="single" w:color="auto"/>
        </w:rPr>
        <w:t>之间自行确定，但应为</w:t>
      </w:r>
      <w:r>
        <w:rPr>
          <w:rFonts w:ascii="Times New Roman" w:hAnsi="Times New Roman" w:eastAsia="Times New Roman" w:cs="Times New Roman"/>
          <w:i/>
          <w:iCs/>
          <w:strike/>
          <w:dstrike w:val="0"/>
          <w:color w:val="auto"/>
          <w:spacing w:val="-8"/>
          <w:sz w:val="24"/>
          <w:szCs w:val="24"/>
          <w:highlight w:val="none"/>
          <w:u w:val="single" w:color="auto"/>
        </w:rPr>
        <w:t>5</w:t>
      </w:r>
      <w:r>
        <w:rPr>
          <w:rFonts w:ascii="宋体" w:hAnsi="宋体" w:eastAsia="宋体" w:cs="宋体"/>
          <w:i/>
          <w:iCs/>
          <w:strike/>
          <w:dstrike w:val="0"/>
          <w:color w:val="auto"/>
          <w:spacing w:val="-8"/>
          <w:sz w:val="25"/>
          <w:szCs w:val="25"/>
          <w:highlight w:val="none"/>
          <w:u w:val="single" w:color="auto"/>
        </w:rPr>
        <w:t>个数组成</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0"/>
          <w:sz w:val="25"/>
          <w:szCs w:val="25"/>
          <w:highlight w:val="none"/>
          <w:u w:val="single" w:color="auto"/>
        </w:rPr>
        <w:t>的等差递增数列</w:t>
      </w:r>
      <w:r>
        <w:rPr>
          <w:rFonts w:ascii="Times New Roman" w:hAnsi="Times New Roman" w:eastAsia="Times New Roman" w:cs="Times New Roman"/>
          <w:i/>
          <w:iCs/>
          <w:strike/>
          <w:dstrike w:val="0"/>
          <w:color w:val="auto"/>
          <w:spacing w:val="-10"/>
          <w:sz w:val="24"/>
          <w:szCs w:val="24"/>
          <w:highlight w:val="none"/>
          <w:u w:val="single" w:color="auto"/>
        </w:rPr>
        <w:t xml:space="preserve">,   </w:t>
      </w:r>
      <w:r>
        <w:rPr>
          <w:rFonts w:ascii="宋体" w:hAnsi="宋体" w:eastAsia="宋体" w:cs="宋体"/>
          <w:i/>
          <w:iCs/>
          <w:strike/>
          <w:dstrike w:val="0"/>
          <w:color w:val="auto"/>
          <w:spacing w:val="-10"/>
          <w:sz w:val="25"/>
          <w:szCs w:val="25"/>
          <w:highlight w:val="none"/>
          <w:u w:val="single" w:color="auto"/>
        </w:rPr>
        <w:t>最小公差大于等于</w:t>
      </w:r>
      <w:r>
        <w:rPr>
          <w:rFonts w:ascii="Times New Roman" w:hAnsi="Times New Roman" w:eastAsia="Times New Roman" w:cs="Times New Roman"/>
          <w:i/>
          <w:iCs/>
          <w:strike/>
          <w:dstrike w:val="0"/>
          <w:color w:val="auto"/>
          <w:spacing w:val="-10"/>
          <w:sz w:val="24"/>
          <w:szCs w:val="24"/>
          <w:highlight w:val="none"/>
          <w:u w:val="single" w:color="auto"/>
        </w:rPr>
        <w:t>0.5</w:t>
      </w:r>
      <w:r>
        <w:rPr>
          <w:rFonts w:ascii="宋体" w:hAnsi="宋体" w:eastAsia="宋体" w:cs="宋体"/>
          <w:i/>
          <w:iCs/>
          <w:strike/>
          <w:dstrike w:val="0"/>
          <w:color w:val="auto"/>
          <w:spacing w:val="-10"/>
          <w:sz w:val="25"/>
          <w:szCs w:val="25"/>
          <w:highlight w:val="none"/>
          <w:u w:val="single" w:color="auto"/>
        </w:rPr>
        <w:t>）</w:t>
      </w:r>
      <w:r>
        <w:rPr>
          <w:rFonts w:ascii="宋体" w:hAnsi="宋体" w:eastAsia="宋体" w:cs="宋体"/>
          <w:strike/>
          <w:dstrike w:val="0"/>
          <w:color w:val="auto"/>
          <w:spacing w:val="-11"/>
          <w:sz w:val="25"/>
          <w:szCs w:val="25"/>
          <w:highlight w:val="none"/>
          <w:u w:val="single" w:color="auto"/>
        </w:rPr>
        <w:t xml:space="preserve">  </w:t>
      </w:r>
      <w:r>
        <w:rPr>
          <w:rFonts w:ascii="宋体" w:hAnsi="宋体" w:eastAsia="宋体" w:cs="宋体"/>
          <w:strike/>
          <w:dstrike w:val="0"/>
          <w:color w:val="auto"/>
          <w:spacing w:val="-113"/>
          <w:sz w:val="25"/>
          <w:szCs w:val="25"/>
          <w:highlight w:val="none"/>
        </w:rPr>
        <w:t xml:space="preserve"> </w:t>
      </w:r>
      <w:r>
        <w:rPr>
          <w:rFonts w:ascii="宋体" w:hAnsi="宋体" w:eastAsia="宋体" w:cs="宋体"/>
          <w:strike/>
          <w:dstrike w:val="0"/>
          <w:color w:val="auto"/>
          <w:spacing w:val="-11"/>
          <w:sz w:val="24"/>
          <w:szCs w:val="24"/>
          <w:highlight w:val="none"/>
        </w:rPr>
        <w:t>之中随机抽取确定。</w:t>
      </w:r>
    </w:p>
    <w:p w14:paraId="0E2CB670">
      <w:pPr>
        <w:spacing w:before="1" w:line="359" w:lineRule="auto"/>
        <w:ind w:left="10" w:right="84" w:firstLine="53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评分基准价由评标委员会依据上述方法计算，除计算差错外，确认后的评分基准</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4"/>
          <w:sz w:val="24"/>
          <w:szCs w:val="24"/>
          <w:highlight w:val="none"/>
        </w:rPr>
        <w:t>价在本次招标期间保持不变。</w:t>
      </w:r>
    </w:p>
    <w:p w14:paraId="291FF492">
      <w:pPr>
        <w:spacing w:before="1" w:line="360" w:lineRule="auto"/>
        <w:ind w:left="10" w:right="86"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计算差错，仅限于以下两种情况</w:t>
      </w:r>
      <w:r>
        <w:rPr>
          <w:rFonts w:ascii="宋体" w:hAnsi="宋体" w:eastAsia="宋体" w:cs="宋体"/>
          <w:strike/>
          <w:dstrike w:val="0"/>
          <w:color w:val="auto"/>
          <w:spacing w:val="-40"/>
          <w:sz w:val="24"/>
          <w:szCs w:val="24"/>
          <w:highlight w:val="none"/>
        </w:rPr>
        <w:t>：（</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）纯算术性四则运算差错</w:t>
      </w:r>
      <w:r>
        <w:rPr>
          <w:rFonts w:ascii="宋体" w:hAnsi="宋体" w:eastAsia="宋体" w:cs="宋体"/>
          <w:strike/>
          <w:dstrike w:val="0"/>
          <w:color w:val="auto"/>
          <w:spacing w:val="-40"/>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）未按约定</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6"/>
          <w:sz w:val="24"/>
          <w:szCs w:val="24"/>
          <w:highlight w:val="none"/>
        </w:rPr>
        <w:t>的计算方法，多计或者少计投标人报价的。由于评标差错导致否决投标错误， 重新评</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3"/>
          <w:sz w:val="24"/>
          <w:szCs w:val="24"/>
          <w:highlight w:val="none"/>
        </w:rPr>
        <w:t>标纠正等情况，不属于计算差错。</w:t>
      </w:r>
    </w:p>
    <w:p w14:paraId="4D8F9426">
      <w:pPr>
        <w:spacing w:line="360" w:lineRule="auto"/>
        <w:rPr>
          <w:rFonts w:ascii="宋体" w:hAnsi="宋体" w:eastAsia="宋体" w:cs="宋体"/>
          <w:strike/>
          <w:dstrike w:val="0"/>
          <w:color w:val="auto"/>
          <w:sz w:val="24"/>
          <w:szCs w:val="24"/>
          <w:highlight w:val="none"/>
        </w:rPr>
        <w:sectPr>
          <w:footerReference r:id="rId50" w:type="default"/>
          <w:pgSz w:w="11905" w:h="16840"/>
          <w:pgMar w:top="1428" w:right="1444" w:bottom="1255" w:left="1587" w:header="0" w:footer="1093" w:gutter="0"/>
          <w:pgNumType w:fmt="decimal"/>
          <w:cols w:space="720" w:num="1"/>
        </w:sectPr>
      </w:pPr>
    </w:p>
    <w:p w14:paraId="2BBF030C">
      <w:pPr>
        <w:spacing w:before="48" w:line="359" w:lineRule="auto"/>
        <w:ind w:left="4" w:right="13" w:firstLine="53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2"/>
          <w:sz w:val="24"/>
          <w:szCs w:val="24"/>
          <w:highlight w:val="none"/>
        </w:rPr>
        <w:t>2</w:t>
      </w:r>
      <w:r>
        <w:rPr>
          <w:rFonts w:ascii="Times New Roman" w:hAnsi="Times New Roman" w:eastAsia="Times New Roman" w:cs="Times New Roman"/>
          <w:strike/>
          <w:dstrike w:val="0"/>
          <w:color w:val="auto"/>
          <w:spacing w:val="-29"/>
          <w:sz w:val="24"/>
          <w:szCs w:val="24"/>
          <w:highlight w:val="none"/>
        </w:rPr>
        <w:t xml:space="preserve"> </w:t>
      </w:r>
      <w:r>
        <w:rPr>
          <w:rFonts w:ascii="宋体" w:hAnsi="宋体" w:eastAsia="宋体" w:cs="宋体"/>
          <w:strike/>
          <w:dstrike w:val="0"/>
          <w:color w:val="auto"/>
          <w:spacing w:val="-2"/>
          <w:sz w:val="24"/>
          <w:szCs w:val="24"/>
          <w:highlight w:val="none"/>
        </w:rPr>
        <w:t>．报价评分值的计算：以评分基准价为基础，将各投标人的评标价与评分基准</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价比较，计算出偏离基准价的百分数后，再进行计分。即：</w:t>
      </w:r>
    </w:p>
    <w:p w14:paraId="0364AB49">
      <w:pPr>
        <w:spacing w:line="218" w:lineRule="auto"/>
        <w:ind w:left="47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a.  </w:t>
      </w:r>
      <w:r>
        <w:rPr>
          <w:rFonts w:ascii="宋体" w:hAnsi="宋体" w:eastAsia="宋体" w:cs="宋体"/>
          <w:strike/>
          <w:dstrike w:val="0"/>
          <w:color w:val="auto"/>
          <w:spacing w:val="-1"/>
          <w:sz w:val="24"/>
          <w:szCs w:val="24"/>
          <w:highlight w:val="none"/>
        </w:rPr>
        <w:t>投标评标价等于评分基准价时，得</w:t>
      </w:r>
      <w:r>
        <w:rPr>
          <w:rFonts w:ascii="宋体" w:hAnsi="宋体" w:eastAsia="宋体" w:cs="宋体"/>
          <w:strike/>
          <w:dstrike w:val="0"/>
          <w:color w:val="auto"/>
          <w:spacing w:val="-2"/>
          <w:sz w:val="24"/>
          <w:szCs w:val="24"/>
          <w:highlight w:val="none"/>
        </w:rPr>
        <w:t>满分（</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2"/>
          <w:sz w:val="24"/>
          <w:szCs w:val="24"/>
          <w:highlight w:val="none"/>
        </w:rPr>
        <w:t>分）。</w:t>
      </w:r>
    </w:p>
    <w:p w14:paraId="1D8179EC">
      <w:pPr>
        <w:spacing w:before="182" w:line="279" w:lineRule="auto"/>
        <w:ind w:left="8" w:right="7" w:firstLine="45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4"/>
          <w:sz w:val="24"/>
          <w:szCs w:val="24"/>
          <w:highlight w:val="none"/>
        </w:rPr>
        <w:t xml:space="preserve">b.  </w:t>
      </w:r>
      <w:r>
        <w:rPr>
          <w:rFonts w:ascii="宋体" w:hAnsi="宋体" w:eastAsia="宋体" w:cs="宋体"/>
          <w:strike/>
          <w:dstrike w:val="0"/>
          <w:color w:val="auto"/>
          <w:spacing w:val="-4"/>
          <w:sz w:val="24"/>
          <w:szCs w:val="24"/>
          <w:highlight w:val="none"/>
        </w:rPr>
        <w:t xml:space="preserve">投标评标价每低于评分基准价 </w:t>
      </w:r>
      <w:r>
        <w:rPr>
          <w:rFonts w:ascii="Times New Roman" w:hAnsi="Times New Roman" w:eastAsia="Times New Roman" w:cs="Times New Roman"/>
          <w:strike/>
          <w:dstrike w:val="0"/>
          <w:color w:val="auto"/>
          <w:spacing w:val="-4"/>
          <w:sz w:val="24"/>
          <w:szCs w:val="24"/>
          <w:highlight w:val="none"/>
        </w:rPr>
        <w:t xml:space="preserve">1  </w:t>
      </w:r>
      <w:r>
        <w:rPr>
          <w:rFonts w:ascii="宋体" w:hAnsi="宋体" w:eastAsia="宋体" w:cs="宋体"/>
          <w:strike/>
          <w:dstrike w:val="0"/>
          <w:color w:val="auto"/>
          <w:spacing w:val="-4"/>
          <w:sz w:val="24"/>
          <w:szCs w:val="24"/>
          <w:highlight w:val="none"/>
        </w:rPr>
        <w:t>个百分点，扣</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4"/>
          <w:sz w:val="24"/>
          <w:szCs w:val="24"/>
          <w:highlight w:val="none"/>
        </w:rPr>
        <w:t>分。（</w:t>
      </w:r>
      <w:r>
        <w:rPr>
          <w:rFonts w:ascii="宋体" w:hAnsi="宋体" w:eastAsia="宋体" w:cs="宋体"/>
          <w:strike/>
          <w:dstrike w:val="0"/>
          <w:color w:val="auto"/>
          <w:spacing w:val="-53"/>
          <w:sz w:val="24"/>
          <w:szCs w:val="24"/>
          <w:highlight w:val="none"/>
        </w:rPr>
        <w:t xml:space="preserve"> </w:t>
      </w:r>
      <w:r>
        <w:rPr>
          <w:rFonts w:ascii="宋体" w:hAnsi="宋体" w:eastAsia="宋体" w:cs="宋体"/>
          <w:i/>
          <w:iCs/>
          <w:strike/>
          <w:dstrike w:val="0"/>
          <w:color w:val="auto"/>
          <w:spacing w:val="-5"/>
          <w:sz w:val="25"/>
          <w:szCs w:val="25"/>
          <w:highlight w:val="none"/>
        </w:rPr>
        <w:t>扣分区间由招标人</w:t>
      </w:r>
      <w:r>
        <w:rPr>
          <w:rFonts w:ascii="宋体" w:hAnsi="宋体" w:eastAsia="宋体" w:cs="宋体"/>
          <w:strike/>
          <w:dstrike w:val="0"/>
          <w:color w:val="auto"/>
          <w:sz w:val="25"/>
          <w:szCs w:val="25"/>
          <w:highlight w:val="none"/>
        </w:rPr>
        <w:t xml:space="preserve"> </w:t>
      </w:r>
      <w:r>
        <w:rPr>
          <w:rFonts w:ascii="Times New Roman" w:hAnsi="Times New Roman" w:eastAsia="Times New Roman" w:cs="Times New Roman"/>
          <w:i/>
          <w:iCs/>
          <w:strike/>
          <w:dstrike w:val="0"/>
          <w:color w:val="auto"/>
          <w:spacing w:val="-9"/>
          <w:sz w:val="24"/>
          <w:szCs w:val="24"/>
          <w:highlight w:val="none"/>
        </w:rPr>
        <w:t xml:space="preserve">0.5~1  </w:t>
      </w:r>
      <w:r>
        <w:rPr>
          <w:rFonts w:ascii="宋体" w:hAnsi="宋体" w:eastAsia="宋体" w:cs="宋体"/>
          <w:i/>
          <w:iCs/>
          <w:strike/>
          <w:dstrike w:val="0"/>
          <w:color w:val="auto"/>
          <w:spacing w:val="-9"/>
          <w:sz w:val="25"/>
          <w:szCs w:val="25"/>
          <w:highlight w:val="none"/>
        </w:rPr>
        <w:t>之间自行确定</w:t>
      </w:r>
      <w:r>
        <w:rPr>
          <w:rFonts w:ascii="宋体" w:hAnsi="宋体" w:eastAsia="宋体" w:cs="宋体"/>
          <w:strike/>
          <w:dstrike w:val="0"/>
          <w:color w:val="auto"/>
          <w:spacing w:val="-9"/>
          <w:sz w:val="24"/>
          <w:szCs w:val="24"/>
          <w:highlight w:val="none"/>
        </w:rPr>
        <w:t>）</w:t>
      </w:r>
    </w:p>
    <w:p w14:paraId="538C2CEB">
      <w:pPr>
        <w:spacing w:before="179" w:line="278" w:lineRule="auto"/>
        <w:ind w:left="8" w:right="7" w:firstLine="46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4"/>
          <w:sz w:val="24"/>
          <w:szCs w:val="24"/>
          <w:highlight w:val="none"/>
        </w:rPr>
        <w:t xml:space="preserve">c.  </w:t>
      </w:r>
      <w:r>
        <w:rPr>
          <w:rFonts w:ascii="宋体" w:hAnsi="宋体" w:eastAsia="宋体" w:cs="宋体"/>
          <w:strike/>
          <w:dstrike w:val="0"/>
          <w:color w:val="auto"/>
          <w:spacing w:val="-4"/>
          <w:sz w:val="24"/>
          <w:szCs w:val="24"/>
          <w:highlight w:val="none"/>
        </w:rPr>
        <w:t xml:space="preserve">投标评标价每高于评分基准价 </w:t>
      </w:r>
      <w:r>
        <w:rPr>
          <w:rFonts w:ascii="Times New Roman" w:hAnsi="Times New Roman" w:eastAsia="Times New Roman" w:cs="Times New Roman"/>
          <w:strike/>
          <w:dstrike w:val="0"/>
          <w:color w:val="auto"/>
          <w:spacing w:val="-4"/>
          <w:sz w:val="24"/>
          <w:szCs w:val="24"/>
          <w:highlight w:val="none"/>
        </w:rPr>
        <w:t>1</w:t>
      </w:r>
      <w:r>
        <w:rPr>
          <w:rFonts w:ascii="Times New Roman" w:hAnsi="Times New Roman" w:eastAsia="Times New Roman" w:cs="Times New Roman"/>
          <w:strike/>
          <w:dstrike w:val="0"/>
          <w:color w:val="auto"/>
          <w:spacing w:val="-5"/>
          <w:sz w:val="24"/>
          <w:szCs w:val="24"/>
          <w:highlight w:val="none"/>
        </w:rPr>
        <w:t xml:space="preserve">  </w:t>
      </w:r>
      <w:r>
        <w:rPr>
          <w:rFonts w:ascii="宋体" w:hAnsi="宋体" w:eastAsia="宋体" w:cs="宋体"/>
          <w:strike/>
          <w:dstrike w:val="0"/>
          <w:color w:val="auto"/>
          <w:spacing w:val="-5"/>
          <w:sz w:val="24"/>
          <w:szCs w:val="24"/>
          <w:highlight w:val="none"/>
        </w:rPr>
        <w:t>个百分点，扣</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5"/>
          <w:sz w:val="24"/>
          <w:szCs w:val="24"/>
          <w:highlight w:val="none"/>
        </w:rPr>
        <w:t>分。（</w:t>
      </w:r>
      <w:r>
        <w:rPr>
          <w:rFonts w:ascii="宋体" w:hAnsi="宋体" w:eastAsia="宋体" w:cs="宋体"/>
          <w:strike/>
          <w:dstrike w:val="0"/>
          <w:color w:val="auto"/>
          <w:spacing w:val="-53"/>
          <w:sz w:val="24"/>
          <w:szCs w:val="24"/>
          <w:highlight w:val="none"/>
        </w:rPr>
        <w:t xml:space="preserve"> </w:t>
      </w:r>
      <w:r>
        <w:rPr>
          <w:rFonts w:ascii="宋体" w:hAnsi="宋体" w:eastAsia="宋体" w:cs="宋体"/>
          <w:i/>
          <w:iCs/>
          <w:strike/>
          <w:dstrike w:val="0"/>
          <w:color w:val="auto"/>
          <w:spacing w:val="-5"/>
          <w:sz w:val="25"/>
          <w:szCs w:val="25"/>
          <w:highlight w:val="none"/>
        </w:rPr>
        <w:t>扣分区间由招标人</w:t>
      </w:r>
      <w:r>
        <w:rPr>
          <w:rFonts w:ascii="宋体" w:hAnsi="宋体" w:eastAsia="宋体" w:cs="宋体"/>
          <w:strike/>
          <w:dstrike w:val="0"/>
          <w:color w:val="auto"/>
          <w:sz w:val="25"/>
          <w:szCs w:val="25"/>
          <w:highlight w:val="none"/>
        </w:rPr>
        <w:t xml:space="preserve"> </w:t>
      </w:r>
      <w:r>
        <w:rPr>
          <w:rFonts w:ascii="Times New Roman" w:hAnsi="Times New Roman" w:eastAsia="Times New Roman" w:cs="Times New Roman"/>
          <w:i/>
          <w:iCs/>
          <w:strike/>
          <w:dstrike w:val="0"/>
          <w:color w:val="auto"/>
          <w:spacing w:val="-10"/>
          <w:sz w:val="24"/>
          <w:szCs w:val="24"/>
          <w:highlight w:val="none"/>
        </w:rPr>
        <w:t xml:space="preserve">1~1.5  </w:t>
      </w:r>
      <w:r>
        <w:rPr>
          <w:rFonts w:ascii="宋体" w:hAnsi="宋体" w:eastAsia="宋体" w:cs="宋体"/>
          <w:i/>
          <w:iCs/>
          <w:strike/>
          <w:dstrike w:val="0"/>
          <w:color w:val="auto"/>
          <w:spacing w:val="-10"/>
          <w:sz w:val="25"/>
          <w:szCs w:val="25"/>
          <w:highlight w:val="none"/>
        </w:rPr>
        <w:t>之间自行确定，且大于等于</w:t>
      </w:r>
      <w:r>
        <w:rPr>
          <w:rFonts w:ascii="宋体" w:hAnsi="宋体" w:eastAsia="宋体" w:cs="宋体"/>
          <w:strike/>
          <w:dstrike w:val="0"/>
          <w:color w:val="auto"/>
          <w:spacing w:val="-48"/>
          <w:sz w:val="25"/>
          <w:szCs w:val="25"/>
          <w:highlight w:val="none"/>
        </w:rPr>
        <w:t xml:space="preserve"> </w:t>
      </w:r>
      <w:r>
        <w:rPr>
          <w:rFonts w:ascii="Times New Roman" w:hAnsi="Times New Roman" w:eastAsia="Times New Roman" w:cs="Times New Roman"/>
          <w:i/>
          <w:iCs/>
          <w:strike/>
          <w:dstrike w:val="0"/>
          <w:color w:val="auto"/>
          <w:spacing w:val="-10"/>
          <w:sz w:val="24"/>
          <w:szCs w:val="24"/>
          <w:highlight w:val="none"/>
        </w:rPr>
        <w:t xml:space="preserve">b  </w:t>
      </w:r>
      <w:r>
        <w:rPr>
          <w:rFonts w:ascii="宋体" w:hAnsi="宋体" w:eastAsia="宋体" w:cs="宋体"/>
          <w:i/>
          <w:iCs/>
          <w:strike/>
          <w:dstrike w:val="0"/>
          <w:color w:val="auto"/>
          <w:spacing w:val="-10"/>
          <w:sz w:val="25"/>
          <w:szCs w:val="25"/>
          <w:highlight w:val="none"/>
        </w:rPr>
        <w:t>款扣</w:t>
      </w:r>
      <w:r>
        <w:rPr>
          <w:rFonts w:ascii="宋体" w:hAnsi="宋体" w:eastAsia="宋体" w:cs="宋体"/>
          <w:i/>
          <w:iCs/>
          <w:strike/>
          <w:dstrike w:val="0"/>
          <w:color w:val="auto"/>
          <w:spacing w:val="-11"/>
          <w:sz w:val="25"/>
          <w:szCs w:val="25"/>
          <w:highlight w:val="none"/>
        </w:rPr>
        <w:t>分值</w:t>
      </w:r>
      <w:r>
        <w:rPr>
          <w:rFonts w:ascii="宋体" w:hAnsi="宋体" w:eastAsia="宋体" w:cs="宋体"/>
          <w:strike/>
          <w:dstrike w:val="0"/>
          <w:color w:val="auto"/>
          <w:spacing w:val="-72"/>
          <w:sz w:val="25"/>
          <w:szCs w:val="25"/>
          <w:highlight w:val="none"/>
        </w:rPr>
        <w:t xml:space="preserve"> </w:t>
      </w:r>
      <w:r>
        <w:rPr>
          <w:rFonts w:ascii="Times New Roman" w:hAnsi="Times New Roman" w:eastAsia="Times New Roman" w:cs="Times New Roman"/>
          <w:i/>
          <w:iCs/>
          <w:strike/>
          <w:dstrike w:val="0"/>
          <w:color w:val="auto"/>
          <w:spacing w:val="-11"/>
          <w:sz w:val="24"/>
          <w:szCs w:val="24"/>
          <w:highlight w:val="none"/>
        </w:rPr>
        <w:t>0.5</w:t>
      </w:r>
      <w:r>
        <w:rPr>
          <w:rFonts w:ascii="宋体" w:hAnsi="宋体" w:eastAsia="宋体" w:cs="宋体"/>
          <w:strike/>
          <w:dstrike w:val="0"/>
          <w:color w:val="auto"/>
          <w:spacing w:val="-11"/>
          <w:sz w:val="24"/>
          <w:szCs w:val="24"/>
          <w:highlight w:val="none"/>
        </w:rPr>
        <w:t>）</w:t>
      </w:r>
    </w:p>
    <w:p w14:paraId="39E8B187">
      <w:pPr>
        <w:spacing w:before="181" w:line="354" w:lineRule="auto"/>
        <w:ind w:left="25" w:right="12" w:firstLine="54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以上评分计算过程保留小数</w:t>
      </w:r>
      <w:r>
        <w:rPr>
          <w:rFonts w:ascii="Times New Roman" w:hAnsi="Times New Roman" w:eastAsia="Times New Roman" w:cs="Times New Roman"/>
          <w:strike/>
          <w:dstrike w:val="0"/>
          <w:color w:val="auto"/>
          <w:spacing w:val="-5"/>
          <w:sz w:val="24"/>
          <w:szCs w:val="24"/>
          <w:highlight w:val="none"/>
        </w:rPr>
        <w:t>3</w:t>
      </w:r>
      <w:r>
        <w:rPr>
          <w:rFonts w:ascii="宋体" w:hAnsi="宋体" w:eastAsia="宋体" w:cs="宋体"/>
          <w:strike/>
          <w:dstrike w:val="0"/>
          <w:color w:val="auto"/>
          <w:spacing w:val="-5"/>
          <w:sz w:val="24"/>
          <w:szCs w:val="24"/>
          <w:highlight w:val="none"/>
        </w:rPr>
        <w:t>位，第</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位四舍五入，最终结果保留小数</w:t>
      </w:r>
      <w:r>
        <w:rPr>
          <w:rFonts w:ascii="Times New Roman" w:hAnsi="Times New Roman" w:eastAsia="Times New Roman" w:cs="Times New Roman"/>
          <w:strike/>
          <w:dstrike w:val="0"/>
          <w:color w:val="auto"/>
          <w:spacing w:val="-5"/>
          <w:sz w:val="24"/>
          <w:szCs w:val="24"/>
          <w:highlight w:val="none"/>
        </w:rPr>
        <w:t>2</w:t>
      </w:r>
      <w:r>
        <w:rPr>
          <w:rFonts w:ascii="宋体" w:hAnsi="宋体" w:eastAsia="宋体" w:cs="宋体"/>
          <w:strike/>
          <w:dstrike w:val="0"/>
          <w:color w:val="auto"/>
          <w:spacing w:val="-5"/>
          <w:sz w:val="24"/>
          <w:szCs w:val="24"/>
          <w:highlight w:val="none"/>
        </w:rPr>
        <w:t>位</w:t>
      </w:r>
      <w:r>
        <w:rPr>
          <w:rFonts w:ascii="宋体" w:hAnsi="宋体" w:eastAsia="宋体" w:cs="宋体"/>
          <w:strike/>
          <w:dstrike w:val="0"/>
          <w:color w:val="auto"/>
          <w:spacing w:val="-6"/>
          <w:sz w:val="24"/>
          <w:szCs w:val="24"/>
          <w:highlight w:val="none"/>
        </w:rPr>
        <w:t>，第</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四舍五入，评分不足一个百分点时，使用直线插入法</w:t>
      </w:r>
      <w:r>
        <w:rPr>
          <w:rFonts w:ascii="宋体" w:hAnsi="宋体" w:eastAsia="宋体" w:cs="宋体"/>
          <w:strike/>
          <w:dstrike w:val="0"/>
          <w:color w:val="auto"/>
          <w:spacing w:val="-10"/>
          <w:sz w:val="24"/>
          <w:szCs w:val="24"/>
          <w:highlight w:val="none"/>
        </w:rPr>
        <w:t>计算。商务报价评分最低分</w:t>
      </w:r>
      <w:r>
        <w:rPr>
          <w:rFonts w:ascii="宋体" w:hAnsi="宋体" w:eastAsia="宋体" w:cs="宋体"/>
          <w:strike/>
          <w:dstrike w:val="0"/>
          <w:color w:val="auto"/>
          <w:spacing w:val="-10"/>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0"/>
          <w:sz w:val="24"/>
          <w:szCs w:val="24"/>
          <w:highlight w:val="none"/>
        </w:rPr>
        <w:t>分</w:t>
      </w:r>
      <w:r>
        <w:rPr>
          <w:rFonts w:ascii="宋体" w:hAnsi="宋体" w:eastAsia="宋体" w:cs="宋体"/>
          <w:strike/>
          <w:dstrike w:val="0"/>
          <w:color w:val="auto"/>
          <w:sz w:val="24"/>
          <w:szCs w:val="24"/>
          <w:highlight w:val="none"/>
        </w:rPr>
        <w:t xml:space="preserve"> </w:t>
      </w:r>
      <w:r>
        <w:rPr>
          <w:rFonts w:ascii="宋体" w:hAnsi="宋体" w:eastAsia="宋体" w:cs="宋体"/>
          <w:i/>
          <w:iCs/>
          <w:strike/>
          <w:dstrike w:val="0"/>
          <w:color w:val="auto"/>
          <w:spacing w:val="-7"/>
          <w:sz w:val="25"/>
          <w:szCs w:val="25"/>
          <w:highlight w:val="none"/>
        </w:rPr>
        <w:t>（不得低于</w:t>
      </w:r>
      <w:r>
        <w:rPr>
          <w:rFonts w:ascii="Times New Roman" w:hAnsi="Times New Roman" w:eastAsia="Times New Roman" w:cs="Times New Roman"/>
          <w:i/>
          <w:iCs/>
          <w:strike/>
          <w:dstrike w:val="0"/>
          <w:color w:val="auto"/>
          <w:spacing w:val="-7"/>
          <w:sz w:val="24"/>
          <w:szCs w:val="24"/>
          <w:highlight w:val="none"/>
        </w:rPr>
        <w:t>30</w:t>
      </w:r>
      <w:r>
        <w:rPr>
          <w:rFonts w:ascii="宋体" w:hAnsi="宋体" w:eastAsia="宋体" w:cs="宋体"/>
          <w:i/>
          <w:iCs/>
          <w:strike/>
          <w:dstrike w:val="0"/>
          <w:color w:val="auto"/>
          <w:spacing w:val="-7"/>
          <w:sz w:val="25"/>
          <w:szCs w:val="25"/>
          <w:highlight w:val="none"/>
        </w:rPr>
        <w:t>分）</w:t>
      </w:r>
      <w:r>
        <w:rPr>
          <w:rFonts w:ascii="宋体" w:hAnsi="宋体" w:eastAsia="宋体" w:cs="宋体"/>
          <w:strike/>
          <w:dstrike w:val="0"/>
          <w:color w:val="auto"/>
          <w:spacing w:val="-7"/>
          <w:sz w:val="24"/>
          <w:szCs w:val="24"/>
          <w:highlight w:val="none"/>
        </w:rPr>
        <w:t>。</w:t>
      </w:r>
    </w:p>
    <w:p w14:paraId="2FCC630F">
      <w:pPr>
        <w:spacing w:line="227"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4.6  </w:t>
      </w:r>
      <w:r>
        <w:rPr>
          <w:rFonts w:ascii="楷体" w:hAnsi="楷体" w:eastAsia="楷体" w:cs="楷体"/>
          <w:b/>
          <w:bCs/>
          <w:strike/>
          <w:dstrike w:val="0"/>
          <w:color w:val="auto"/>
          <w:spacing w:val="-2"/>
          <w:sz w:val="24"/>
          <w:szCs w:val="24"/>
          <w:highlight w:val="none"/>
        </w:rPr>
        <w:t>询标</w:t>
      </w:r>
    </w:p>
    <w:p w14:paraId="075112F6">
      <w:pPr>
        <w:spacing w:before="171" w:line="324" w:lineRule="auto"/>
        <w:ind w:left="5" w:firstLine="49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1.</w:t>
      </w:r>
      <w:r>
        <w:rPr>
          <w:rFonts w:ascii="Times New Roman" w:hAnsi="Times New Roman" w:eastAsia="Times New Roman" w:cs="Times New Roman"/>
          <w:strike/>
          <w:dstrike w:val="0"/>
          <w:color w:val="auto"/>
          <w:spacing w:val="20"/>
          <w:sz w:val="24"/>
          <w:szCs w:val="24"/>
          <w:highlight w:val="none"/>
        </w:rPr>
        <w:t xml:space="preserve"> </w:t>
      </w:r>
      <w:r>
        <w:rPr>
          <w:rFonts w:ascii="宋体" w:hAnsi="宋体" w:eastAsia="宋体" w:cs="宋体"/>
          <w:strike/>
          <w:dstrike w:val="0"/>
          <w:color w:val="auto"/>
          <w:spacing w:val="-3"/>
          <w:sz w:val="24"/>
          <w:szCs w:val="24"/>
          <w:highlight w:val="none"/>
        </w:rPr>
        <w:t>凡评标委员会拟作出否决投标决定的，应</w:t>
      </w:r>
      <w:r>
        <w:rPr>
          <w:rFonts w:ascii="宋体" w:hAnsi="宋体" w:eastAsia="宋体" w:cs="宋体"/>
          <w:strike/>
          <w:dstrike w:val="0"/>
          <w:color w:val="auto"/>
          <w:spacing w:val="-4"/>
          <w:sz w:val="24"/>
          <w:szCs w:val="24"/>
          <w:highlight w:val="none"/>
        </w:rPr>
        <w:t>先向投标人进行书面询问核实。未进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5"/>
          <w:sz w:val="24"/>
          <w:szCs w:val="24"/>
          <w:highlight w:val="none"/>
        </w:rPr>
        <w:t>行询问核实程序的，不得做出否决投标决定，投标人放弃接受询问核实机会的除外。投标</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22"/>
          <w:sz w:val="24"/>
          <w:szCs w:val="24"/>
          <w:highlight w:val="none"/>
        </w:rPr>
        <w:t>人应自行关注系统中评标委员会发出的澄清并及时答复，在规定的时限内投标人不参加核实</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3"/>
          <w:sz w:val="24"/>
          <w:szCs w:val="24"/>
          <w:highlight w:val="none"/>
        </w:rPr>
        <w:t>或不予答复的，视为放弃接受询问核实机会。</w:t>
      </w:r>
    </w:p>
    <w:p w14:paraId="60EE3E24">
      <w:pPr>
        <w:spacing w:before="183" w:line="289" w:lineRule="auto"/>
        <w:ind w:left="2" w:right="169" w:firstLine="500"/>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5"/>
          <w:sz w:val="24"/>
          <w:szCs w:val="24"/>
          <w:highlight w:val="none"/>
        </w:rPr>
        <w:t>2.</w:t>
      </w:r>
      <w:r>
        <w:rPr>
          <w:rFonts w:ascii="Times New Roman" w:hAnsi="Times New Roman" w:eastAsia="Times New Roman" w:cs="Times New Roman"/>
          <w:strike/>
          <w:dstrike w:val="0"/>
          <w:color w:val="auto"/>
          <w:spacing w:val="36"/>
          <w:w w:val="101"/>
          <w:sz w:val="24"/>
          <w:szCs w:val="24"/>
          <w:highlight w:val="none"/>
        </w:rPr>
        <w:t xml:space="preserve"> </w:t>
      </w:r>
      <w:r>
        <w:rPr>
          <w:rFonts w:ascii="宋体" w:hAnsi="宋体" w:eastAsia="宋体" w:cs="宋体"/>
          <w:strike/>
          <w:dstrike w:val="0"/>
          <w:color w:val="auto"/>
          <w:spacing w:val="-15"/>
          <w:sz w:val="24"/>
          <w:szCs w:val="24"/>
          <w:highlight w:val="none"/>
        </w:rPr>
        <w:t>除本评标办法规定的否决情形以外，招标文件中其他条款均不得作为否决投标文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件的依据。</w:t>
      </w:r>
    </w:p>
    <w:p w14:paraId="43571B4B">
      <w:pPr>
        <w:spacing w:before="182"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4.7  </w:t>
      </w:r>
      <w:r>
        <w:rPr>
          <w:rFonts w:ascii="楷体" w:hAnsi="楷体" w:eastAsia="楷体" w:cs="楷体"/>
          <w:b/>
          <w:bCs/>
          <w:strike/>
          <w:dstrike w:val="0"/>
          <w:color w:val="auto"/>
          <w:spacing w:val="-2"/>
          <w:sz w:val="24"/>
          <w:szCs w:val="24"/>
          <w:highlight w:val="none"/>
        </w:rPr>
        <w:t>投标文件的综合评分</w:t>
      </w:r>
    </w:p>
    <w:p w14:paraId="6BCE2403">
      <w:pPr>
        <w:spacing w:before="177" w:line="359" w:lineRule="auto"/>
        <w:ind w:left="4" w:right="14" w:firstLine="54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投标文件的综合评分为投标人的技术评分、资信评分与投标文件的商务评分之</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3"/>
          <w:sz w:val="24"/>
          <w:szCs w:val="24"/>
          <w:highlight w:val="none"/>
        </w:rPr>
        <w:t>和，满分为</w:t>
      </w:r>
      <w:r>
        <w:rPr>
          <w:rFonts w:ascii="Times New Roman" w:hAnsi="Times New Roman" w:eastAsia="Times New Roman" w:cs="Times New Roman"/>
          <w:strike/>
          <w:dstrike w:val="0"/>
          <w:color w:val="auto"/>
          <w:spacing w:val="-3"/>
          <w:sz w:val="24"/>
          <w:szCs w:val="24"/>
          <w:highlight w:val="none"/>
        </w:rPr>
        <w:t>100</w:t>
      </w:r>
      <w:r>
        <w:rPr>
          <w:rFonts w:ascii="宋体" w:hAnsi="宋体" w:eastAsia="宋体" w:cs="宋体"/>
          <w:strike/>
          <w:dstrike w:val="0"/>
          <w:color w:val="auto"/>
          <w:spacing w:val="-3"/>
          <w:sz w:val="24"/>
          <w:szCs w:val="24"/>
          <w:highlight w:val="none"/>
        </w:rPr>
        <w:t>分。</w:t>
      </w:r>
    </w:p>
    <w:p w14:paraId="4AAFA77D">
      <w:pPr>
        <w:spacing w:line="225"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4.8  </w:t>
      </w:r>
      <w:r>
        <w:rPr>
          <w:rFonts w:ascii="楷体" w:hAnsi="楷体" w:eastAsia="楷体" w:cs="楷体"/>
          <w:b/>
          <w:bCs/>
          <w:strike/>
          <w:dstrike w:val="0"/>
          <w:color w:val="auto"/>
          <w:spacing w:val="-2"/>
          <w:sz w:val="24"/>
          <w:szCs w:val="24"/>
          <w:highlight w:val="none"/>
        </w:rPr>
        <w:t>推荐中标候选人</w:t>
      </w:r>
    </w:p>
    <w:p w14:paraId="0E7314A1">
      <w:pPr>
        <w:spacing w:before="176" w:line="359" w:lineRule="auto"/>
        <w:ind w:left="3" w:right="12"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评标委员会根据综合评分对通过商务评审的投标文件按照由高到低的顺序进行</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9"/>
          <w:sz w:val="24"/>
          <w:szCs w:val="24"/>
          <w:highlight w:val="none"/>
        </w:rPr>
        <w:t>排序，推荐中标候选人。综合评分相同时，报价低者优先；综合评分、报价均相同时，</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技术评分高者优先；综合评分、报价、技术评分均相同时，</w:t>
      </w:r>
      <w:r>
        <w:rPr>
          <w:rFonts w:ascii="宋体" w:hAnsi="宋体" w:eastAsia="宋体" w:cs="宋体"/>
          <w:strike/>
          <w:dstrike w:val="0"/>
          <w:color w:val="auto"/>
          <w:spacing w:val="37"/>
          <w:sz w:val="24"/>
          <w:szCs w:val="24"/>
          <w:highlight w:val="none"/>
        </w:rPr>
        <w:t xml:space="preserve"> </w:t>
      </w:r>
      <w:r>
        <w:rPr>
          <w:rFonts w:ascii="宋体" w:hAnsi="宋体" w:eastAsia="宋体" w:cs="宋体"/>
          <w:strike/>
          <w:dstrike w:val="0"/>
          <w:color w:val="auto"/>
          <w:spacing w:val="-7"/>
          <w:sz w:val="24"/>
          <w:szCs w:val="24"/>
          <w:highlight w:val="none"/>
        </w:rPr>
        <w:t>由评标委员会全体成员按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照少数服从多数的原则记名投票（不得弃权）决定中标候选人。</w:t>
      </w:r>
    </w:p>
    <w:p w14:paraId="05717D95">
      <w:pPr>
        <w:spacing w:before="1" w:line="218" w:lineRule="auto"/>
        <w:ind w:left="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本评标办法未尽事宜由评标委员会集体讨论决定。</w:t>
      </w:r>
    </w:p>
    <w:p w14:paraId="440D6794">
      <w:pPr>
        <w:spacing w:before="182"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4.9  </w:t>
      </w:r>
      <w:r>
        <w:rPr>
          <w:rFonts w:ascii="楷体" w:hAnsi="楷体" w:eastAsia="楷体" w:cs="楷体"/>
          <w:b/>
          <w:bCs/>
          <w:strike/>
          <w:dstrike w:val="0"/>
          <w:color w:val="auto"/>
          <w:spacing w:val="-2"/>
          <w:sz w:val="24"/>
          <w:szCs w:val="24"/>
          <w:highlight w:val="none"/>
        </w:rPr>
        <w:t>评标报告</w:t>
      </w:r>
    </w:p>
    <w:p w14:paraId="586012C8">
      <w:pPr>
        <w:spacing w:before="178" w:line="289" w:lineRule="auto"/>
        <w:ind w:left="4" w:right="32" w:firstLine="47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4.9.1  </w:t>
      </w:r>
      <w:r>
        <w:rPr>
          <w:rFonts w:ascii="宋体" w:hAnsi="宋体" w:eastAsia="宋体" w:cs="宋体"/>
          <w:strike/>
          <w:dstrike w:val="0"/>
          <w:color w:val="auto"/>
          <w:sz w:val="24"/>
          <w:szCs w:val="24"/>
          <w:highlight w:val="none"/>
        </w:rPr>
        <w:t>评标委员会对投标文件作出的评审结论，应当符合有关法律、法规、规章</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5"/>
          <w:sz w:val="24"/>
          <w:szCs w:val="24"/>
          <w:highlight w:val="none"/>
        </w:rPr>
        <w:t>和招标文件的规定。</w:t>
      </w:r>
    </w:p>
    <w:p w14:paraId="053D92AC">
      <w:pPr>
        <w:spacing w:before="181" w:line="218" w:lineRule="auto"/>
        <w:ind w:left="48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6"/>
          <w:sz w:val="24"/>
          <w:szCs w:val="24"/>
          <w:highlight w:val="none"/>
        </w:rPr>
        <w:t xml:space="preserve">4.9.2  </w:t>
      </w:r>
      <w:r>
        <w:rPr>
          <w:rFonts w:ascii="宋体" w:hAnsi="宋体" w:eastAsia="宋体" w:cs="宋体"/>
          <w:strike/>
          <w:dstrike w:val="0"/>
          <w:color w:val="auto"/>
          <w:spacing w:val="-6"/>
          <w:sz w:val="24"/>
          <w:szCs w:val="24"/>
          <w:highlight w:val="none"/>
        </w:rPr>
        <w:t>评标委员会应根据评标情况，推荐中标候选人，</w:t>
      </w:r>
      <w:r>
        <w:rPr>
          <w:rFonts w:ascii="宋体" w:hAnsi="宋体" w:eastAsia="宋体" w:cs="宋体"/>
          <w:strike/>
          <w:dstrike w:val="0"/>
          <w:color w:val="auto"/>
          <w:spacing w:val="-7"/>
          <w:sz w:val="24"/>
          <w:szCs w:val="24"/>
          <w:highlight w:val="none"/>
        </w:rPr>
        <w:t>并向招标人提交评标报告。</w:t>
      </w:r>
    </w:p>
    <w:p w14:paraId="54DA0F9D">
      <w:pPr>
        <w:spacing w:line="218" w:lineRule="auto"/>
        <w:rPr>
          <w:rFonts w:ascii="宋体" w:hAnsi="宋体" w:eastAsia="宋体" w:cs="宋体"/>
          <w:strike/>
          <w:dstrike w:val="0"/>
          <w:color w:val="auto"/>
          <w:sz w:val="24"/>
          <w:szCs w:val="24"/>
          <w:highlight w:val="none"/>
        </w:rPr>
        <w:sectPr>
          <w:footerReference r:id="rId51" w:type="default"/>
          <w:pgSz w:w="11905" w:h="16840"/>
          <w:pgMar w:top="1428" w:right="1515" w:bottom="1255" w:left="1593" w:header="0" w:footer="1093" w:gutter="0"/>
          <w:pgNumType w:fmt="decimal"/>
          <w:cols w:space="720" w:num="1"/>
        </w:sectPr>
      </w:pPr>
    </w:p>
    <w:p w14:paraId="2A214709">
      <w:pPr>
        <w:spacing w:before="48" w:line="359" w:lineRule="auto"/>
        <w:ind w:left="1" w:hanging="1"/>
        <w:jc w:val="both"/>
        <w:rPr>
          <w:rFonts w:ascii="宋体" w:hAnsi="宋体" w:eastAsia="宋体" w:cs="宋体"/>
          <w:strike/>
          <w:dstrike w:val="0"/>
          <w:color w:val="auto"/>
          <w:sz w:val="24"/>
          <w:szCs w:val="24"/>
          <w:highlight w:val="none"/>
        </w:rPr>
      </w:pPr>
      <w:bookmarkStart w:id="76" w:name="bookmark382"/>
      <w:bookmarkEnd w:id="76"/>
      <w:r>
        <w:rPr>
          <w:rFonts w:ascii="宋体" w:hAnsi="宋体" w:eastAsia="宋体" w:cs="宋体"/>
          <w:strike/>
          <w:dstrike w:val="0"/>
          <w:color w:val="auto"/>
          <w:spacing w:val="-3"/>
          <w:sz w:val="24"/>
          <w:szCs w:val="24"/>
          <w:highlight w:val="none"/>
        </w:rPr>
        <w:t>评标报告由评标委员会成员起草，评标委员会全体成员应在评标报告上签字确认，评</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标专家如有保留意见可以在评标报告中阐明。评标委员会成员拒绝在评标报告上签字</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又不书面说明其不同意见和理由的，视为同意评标结果。</w:t>
      </w:r>
    </w:p>
    <w:p w14:paraId="43A2C7F1">
      <w:pPr>
        <w:spacing w:line="218" w:lineRule="auto"/>
        <w:ind w:left="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 xml:space="preserve">4.9.3  </w:t>
      </w:r>
      <w:r>
        <w:rPr>
          <w:rFonts w:ascii="宋体" w:hAnsi="宋体" w:eastAsia="宋体" w:cs="宋体"/>
          <w:strike/>
          <w:dstrike w:val="0"/>
          <w:color w:val="auto"/>
          <w:spacing w:val="-3"/>
          <w:sz w:val="24"/>
          <w:szCs w:val="24"/>
          <w:highlight w:val="none"/>
        </w:rPr>
        <w:t>评标报告应包括以下内容：</w:t>
      </w:r>
    </w:p>
    <w:p w14:paraId="5F04F759">
      <w:pPr>
        <w:spacing w:before="183" w:line="220"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）开标记录。</w:t>
      </w:r>
    </w:p>
    <w:p w14:paraId="096A618F">
      <w:pPr>
        <w:spacing w:before="179" w:line="220"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）评标内容、过程和结果。</w:t>
      </w:r>
    </w:p>
    <w:p w14:paraId="26C262D9">
      <w:pPr>
        <w:spacing w:before="181" w:line="219"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）被否决情况说明及依据。</w:t>
      </w:r>
    </w:p>
    <w:p w14:paraId="03040E7B">
      <w:pPr>
        <w:spacing w:before="182" w:line="220"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）询标澄清纪要。</w:t>
      </w:r>
    </w:p>
    <w:p w14:paraId="1DDECFC2">
      <w:pPr>
        <w:spacing w:before="182" w:line="219"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5</w:t>
      </w:r>
      <w:r>
        <w:rPr>
          <w:rFonts w:ascii="宋体" w:hAnsi="宋体" w:eastAsia="宋体" w:cs="宋体"/>
          <w:strike/>
          <w:dstrike w:val="0"/>
          <w:color w:val="auto"/>
          <w:spacing w:val="-3"/>
          <w:sz w:val="24"/>
          <w:szCs w:val="24"/>
          <w:highlight w:val="none"/>
        </w:rPr>
        <w:t>）中标侯选人的优劣对比和存在问题。</w:t>
      </w:r>
    </w:p>
    <w:p w14:paraId="4F289CB1">
      <w:pPr>
        <w:spacing w:before="181" w:line="220"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）中标候选人投标业绩。</w:t>
      </w:r>
    </w:p>
    <w:p w14:paraId="5FA0293D">
      <w:pPr>
        <w:spacing w:before="182" w:line="220"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7</w:t>
      </w:r>
      <w:r>
        <w:rPr>
          <w:rFonts w:ascii="宋体" w:hAnsi="宋体" w:eastAsia="宋体" w:cs="宋体"/>
          <w:strike/>
          <w:dstrike w:val="0"/>
          <w:color w:val="auto"/>
          <w:spacing w:val="-6"/>
          <w:sz w:val="24"/>
          <w:szCs w:val="24"/>
          <w:highlight w:val="none"/>
        </w:rPr>
        <w:t>）其他建议。</w:t>
      </w:r>
    </w:p>
    <w:p w14:paraId="2E22A449">
      <w:pPr>
        <w:spacing w:line="220" w:lineRule="auto"/>
        <w:rPr>
          <w:rFonts w:ascii="宋体" w:hAnsi="宋体" w:eastAsia="宋体" w:cs="宋体"/>
          <w:strike/>
          <w:dstrike w:val="0"/>
          <w:color w:val="auto"/>
          <w:sz w:val="24"/>
          <w:szCs w:val="24"/>
          <w:highlight w:val="none"/>
        </w:rPr>
        <w:sectPr>
          <w:footerReference r:id="rId52" w:type="default"/>
          <w:pgSz w:w="11905" w:h="16840"/>
          <w:pgMar w:top="1428" w:right="1527" w:bottom="1255" w:left="1596" w:header="0" w:footer="1093" w:gutter="0"/>
          <w:pgNumType w:fmt="decimal"/>
          <w:cols w:space="720" w:num="1"/>
        </w:sectPr>
      </w:pPr>
    </w:p>
    <w:p w14:paraId="3C3BDB4E">
      <w:pPr>
        <w:spacing w:before="55" w:line="214" w:lineRule="auto"/>
        <w:ind w:left="1027"/>
        <w:rPr>
          <w:rFonts w:ascii="宋体" w:hAnsi="宋体" w:eastAsia="宋体" w:cs="宋体"/>
          <w:color w:val="auto"/>
          <w:sz w:val="27"/>
          <w:szCs w:val="27"/>
          <w:highlight w:val="none"/>
        </w:rPr>
      </w:pPr>
      <w:r>
        <w:rPr>
          <w:rFonts w:ascii="宋体" w:hAnsi="宋体" w:eastAsia="宋体" w:cs="宋体"/>
          <w:b/>
          <w:bCs/>
          <w:color w:val="auto"/>
          <w:spacing w:val="-3"/>
          <w:sz w:val="27"/>
          <w:szCs w:val="27"/>
          <w:highlight w:val="none"/>
        </w:rPr>
        <w:t>方法五：定性和定量相结合评审法（</w:t>
      </w:r>
      <w:r>
        <w:rPr>
          <w:rFonts w:ascii="宋体" w:hAnsi="宋体" w:eastAsia="宋体" w:cs="宋体"/>
          <w:color w:val="auto"/>
          <w:spacing w:val="-22"/>
          <w:sz w:val="27"/>
          <w:szCs w:val="27"/>
          <w:highlight w:val="none"/>
        </w:rPr>
        <w:t xml:space="preserve"> </w:t>
      </w:r>
      <w:r>
        <w:rPr>
          <w:rFonts w:ascii="宋体" w:hAnsi="宋体" w:eastAsia="宋体" w:cs="宋体"/>
          <w:b/>
          <w:bCs/>
          <w:i/>
          <w:iCs/>
          <w:color w:val="auto"/>
          <w:spacing w:val="-3"/>
          <w:sz w:val="29"/>
          <w:szCs w:val="29"/>
          <w:highlight w:val="none"/>
        </w:rPr>
        <w:t>适用于评定分离</w:t>
      </w:r>
      <w:r>
        <w:rPr>
          <w:rFonts w:ascii="宋体" w:hAnsi="宋体" w:eastAsia="宋体" w:cs="宋体"/>
          <w:b/>
          <w:bCs/>
          <w:color w:val="auto"/>
          <w:spacing w:val="-3"/>
          <w:sz w:val="27"/>
          <w:szCs w:val="27"/>
          <w:highlight w:val="none"/>
        </w:rPr>
        <w:t>）</w:t>
      </w:r>
    </w:p>
    <w:p w14:paraId="11E0C168">
      <w:pPr>
        <w:pStyle w:val="8"/>
        <w:rPr>
          <w:color w:val="auto"/>
          <w:highlight w:val="none"/>
        </w:rPr>
      </w:pPr>
    </w:p>
    <w:p w14:paraId="23886319">
      <w:pPr>
        <w:spacing w:before="88" w:line="225" w:lineRule="auto"/>
        <w:ind w:left="13"/>
        <w:rPr>
          <w:rFonts w:ascii="宋体" w:hAnsi="宋体" w:eastAsia="宋体" w:cs="宋体"/>
          <w:color w:val="auto"/>
          <w:sz w:val="27"/>
          <w:szCs w:val="27"/>
          <w:highlight w:val="none"/>
        </w:rPr>
      </w:pPr>
      <w:r>
        <w:rPr>
          <w:rFonts w:ascii="Times New Roman" w:hAnsi="Times New Roman" w:eastAsia="Times New Roman" w:cs="Times New Roman"/>
          <w:b/>
          <w:bCs/>
          <w:color w:val="auto"/>
          <w:spacing w:val="-5"/>
          <w:sz w:val="27"/>
          <w:szCs w:val="27"/>
          <w:highlight w:val="none"/>
        </w:rPr>
        <w:t>1</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5"/>
          <w:sz w:val="27"/>
          <w:szCs w:val="27"/>
          <w:highlight w:val="none"/>
        </w:rPr>
        <w:t>依据</w:t>
      </w:r>
    </w:p>
    <w:p w14:paraId="65C1BD30">
      <w:pPr>
        <w:pStyle w:val="8"/>
        <w:spacing w:line="246" w:lineRule="auto"/>
        <w:rPr>
          <w:color w:val="auto"/>
          <w:highlight w:val="none"/>
        </w:rPr>
      </w:pPr>
    </w:p>
    <w:p w14:paraId="2528A114">
      <w:pPr>
        <w:spacing w:before="78" w:line="360" w:lineRule="auto"/>
        <w:ind w:left="5" w:firstLine="481"/>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为规范招标的评标工作，根据《中华人民共和国招标投标法》、《中华人民共和</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国招标投标法实施条例》、《评标委员会和评标办法暂行规定》（原国家发</w:t>
      </w:r>
      <w:r>
        <w:rPr>
          <w:rFonts w:ascii="宋体" w:hAnsi="宋体" w:eastAsia="宋体" w:cs="宋体"/>
          <w:color w:val="auto"/>
          <w:spacing w:val="-4"/>
          <w:sz w:val="24"/>
          <w:szCs w:val="24"/>
          <w:highlight w:val="none"/>
        </w:rPr>
        <w:t>展计划委</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员会等七部委令第</w:t>
      </w:r>
      <w:r>
        <w:rPr>
          <w:rFonts w:ascii="Times New Roman" w:hAnsi="Times New Roman" w:eastAsia="Times New Roman" w:cs="Times New Roman"/>
          <w:color w:val="auto"/>
          <w:spacing w:val="-3"/>
          <w:sz w:val="24"/>
          <w:szCs w:val="24"/>
          <w:highlight w:val="none"/>
        </w:rPr>
        <w:t>12</w:t>
      </w:r>
      <w:r>
        <w:rPr>
          <w:rFonts w:ascii="宋体" w:hAnsi="宋体" w:eastAsia="宋体" w:cs="宋体"/>
          <w:color w:val="auto"/>
          <w:spacing w:val="-3"/>
          <w:sz w:val="24"/>
          <w:szCs w:val="24"/>
          <w:highlight w:val="none"/>
        </w:rPr>
        <w:t>号）、《工程建设项目施工招标投标办法》（原国家发展计划委</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员会等七部委令第</w:t>
      </w:r>
      <w:r>
        <w:rPr>
          <w:rFonts w:ascii="Times New Roman" w:hAnsi="Times New Roman" w:eastAsia="Times New Roman" w:cs="Times New Roman"/>
          <w:color w:val="auto"/>
          <w:spacing w:val="-9"/>
          <w:sz w:val="24"/>
          <w:szCs w:val="24"/>
          <w:highlight w:val="none"/>
        </w:rPr>
        <w:t>30</w:t>
      </w:r>
      <w:r>
        <w:rPr>
          <w:rFonts w:ascii="宋体" w:hAnsi="宋体" w:eastAsia="宋体" w:cs="宋体"/>
          <w:color w:val="auto"/>
          <w:spacing w:val="-9"/>
          <w:sz w:val="24"/>
          <w:szCs w:val="24"/>
          <w:highlight w:val="none"/>
        </w:rPr>
        <w:t>号）、《关于废止和修改部分招标投标规章和规范性文件的决定》</w:t>
      </w:r>
      <w:r>
        <w:rPr>
          <w:rFonts w:ascii="宋体" w:hAnsi="宋体" w:eastAsia="宋体" w:cs="宋体"/>
          <w:color w:val="auto"/>
          <w:spacing w:val="7"/>
          <w:sz w:val="24"/>
          <w:szCs w:val="24"/>
          <w:highlight w:val="none"/>
        </w:rPr>
        <w:t xml:space="preserve"> </w:t>
      </w:r>
      <w:r>
        <w:rPr>
          <w:rFonts w:ascii="宋体" w:hAnsi="宋体" w:eastAsia="宋体" w:cs="宋体"/>
          <w:color w:val="auto"/>
          <w:spacing w:val="-9"/>
          <w:sz w:val="24"/>
          <w:szCs w:val="24"/>
          <w:highlight w:val="none"/>
        </w:rPr>
        <w:t>（九部委第</w:t>
      </w:r>
      <w:r>
        <w:rPr>
          <w:rFonts w:ascii="Times New Roman" w:hAnsi="Times New Roman" w:eastAsia="Times New Roman" w:cs="Times New Roman"/>
          <w:color w:val="auto"/>
          <w:spacing w:val="-9"/>
          <w:sz w:val="24"/>
          <w:szCs w:val="24"/>
          <w:highlight w:val="none"/>
        </w:rPr>
        <w:t>23</w:t>
      </w:r>
      <w:r>
        <w:rPr>
          <w:rFonts w:ascii="宋体" w:hAnsi="宋体" w:eastAsia="宋体" w:cs="宋体"/>
          <w:color w:val="auto"/>
          <w:spacing w:val="-9"/>
          <w:sz w:val="24"/>
          <w:szCs w:val="24"/>
          <w:highlight w:val="none"/>
        </w:rPr>
        <w:t>号令）、</w:t>
      </w:r>
      <w:r>
        <w:rPr>
          <w:rFonts w:ascii="宋体" w:hAnsi="宋体" w:eastAsia="宋体" w:cs="宋体"/>
          <w:strike/>
          <w:dstrike w:val="0"/>
          <w:color w:val="auto"/>
          <w:spacing w:val="-9"/>
          <w:sz w:val="24"/>
          <w:szCs w:val="24"/>
          <w:highlight w:val="none"/>
        </w:rPr>
        <w:t>《浙江省招标投标条例》</w:t>
      </w:r>
      <w:r>
        <w:rPr>
          <w:rFonts w:ascii="宋体" w:hAnsi="宋体" w:eastAsia="宋体" w:cs="宋体"/>
          <w:color w:val="auto"/>
          <w:spacing w:val="-9"/>
          <w:sz w:val="24"/>
          <w:szCs w:val="24"/>
          <w:highlight w:val="none"/>
        </w:rPr>
        <w:t>等有关的法律、法规和规章制度规定，</w:t>
      </w:r>
      <w:r>
        <w:rPr>
          <w:rFonts w:ascii="宋体" w:hAnsi="宋体" w:eastAsia="宋体" w:cs="宋体"/>
          <w:color w:val="auto"/>
          <w:spacing w:val="7"/>
          <w:sz w:val="24"/>
          <w:szCs w:val="24"/>
          <w:highlight w:val="none"/>
        </w:rPr>
        <w:t xml:space="preserve"> </w:t>
      </w:r>
      <w:r>
        <w:rPr>
          <w:rFonts w:ascii="宋体" w:hAnsi="宋体" w:eastAsia="宋体" w:cs="宋体"/>
          <w:color w:val="auto"/>
          <w:spacing w:val="-7"/>
          <w:sz w:val="24"/>
          <w:szCs w:val="24"/>
          <w:highlight w:val="none"/>
        </w:rPr>
        <w:t>制定本办法。</w:t>
      </w:r>
    </w:p>
    <w:p w14:paraId="6E26D192">
      <w:pPr>
        <w:spacing w:before="122" w:line="227" w:lineRule="auto"/>
        <w:ind w:left="2"/>
        <w:rPr>
          <w:rFonts w:ascii="宋体" w:hAnsi="宋体" w:eastAsia="宋体" w:cs="宋体"/>
          <w:color w:val="auto"/>
          <w:sz w:val="27"/>
          <w:szCs w:val="27"/>
          <w:highlight w:val="none"/>
        </w:rPr>
      </w:pPr>
      <w:r>
        <w:rPr>
          <w:rFonts w:ascii="Times New Roman" w:hAnsi="Times New Roman" w:eastAsia="Times New Roman" w:cs="Times New Roman"/>
          <w:b/>
          <w:bCs/>
          <w:color w:val="auto"/>
          <w:spacing w:val="3"/>
          <w:sz w:val="27"/>
          <w:szCs w:val="27"/>
          <w:highlight w:val="none"/>
        </w:rPr>
        <w:t>2</w:t>
      </w:r>
      <w:r>
        <w:rPr>
          <w:rFonts w:ascii="Times New Roman" w:hAnsi="Times New Roman" w:eastAsia="Times New Roman" w:cs="Times New Roman"/>
          <w:b/>
          <w:bCs/>
          <w:color w:val="auto"/>
          <w:spacing w:val="9"/>
          <w:sz w:val="27"/>
          <w:szCs w:val="27"/>
          <w:highlight w:val="none"/>
        </w:rPr>
        <w:t xml:space="preserve">  </w:t>
      </w:r>
      <w:r>
        <w:rPr>
          <w:rFonts w:ascii="宋体" w:hAnsi="宋体" w:eastAsia="宋体" w:cs="宋体"/>
          <w:b/>
          <w:bCs/>
          <w:color w:val="auto"/>
          <w:spacing w:val="3"/>
          <w:sz w:val="27"/>
          <w:szCs w:val="27"/>
          <w:highlight w:val="none"/>
        </w:rPr>
        <w:t>评标原则</w:t>
      </w:r>
    </w:p>
    <w:p w14:paraId="47C4BBC3">
      <w:pPr>
        <w:pStyle w:val="8"/>
        <w:spacing w:line="246" w:lineRule="auto"/>
        <w:rPr>
          <w:color w:val="auto"/>
          <w:highlight w:val="none"/>
        </w:rPr>
      </w:pPr>
    </w:p>
    <w:p w14:paraId="4CE93D02">
      <w:pPr>
        <w:spacing w:before="78" w:line="219" w:lineRule="auto"/>
        <w:ind w:left="48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评标应遵循公平、公正、科学、择优的原则。</w:t>
      </w:r>
    </w:p>
    <w:p w14:paraId="2FF5B1E6">
      <w:pPr>
        <w:spacing w:before="308" w:line="227" w:lineRule="auto"/>
        <w:rPr>
          <w:rFonts w:ascii="宋体" w:hAnsi="宋体" w:eastAsia="宋体" w:cs="宋体"/>
          <w:color w:val="auto"/>
          <w:sz w:val="27"/>
          <w:szCs w:val="27"/>
          <w:highlight w:val="none"/>
        </w:rPr>
      </w:pPr>
      <w:r>
        <w:rPr>
          <w:rFonts w:ascii="Times New Roman" w:hAnsi="Times New Roman" w:eastAsia="Times New Roman" w:cs="Times New Roman"/>
          <w:b/>
          <w:bCs/>
          <w:color w:val="auto"/>
          <w:spacing w:val="4"/>
          <w:sz w:val="27"/>
          <w:szCs w:val="27"/>
          <w:highlight w:val="none"/>
        </w:rPr>
        <w:t>3</w:t>
      </w:r>
      <w:r>
        <w:rPr>
          <w:rFonts w:ascii="Times New Roman" w:hAnsi="Times New Roman" w:eastAsia="Times New Roman" w:cs="Times New Roman"/>
          <w:b/>
          <w:bCs/>
          <w:color w:val="auto"/>
          <w:spacing w:val="7"/>
          <w:sz w:val="27"/>
          <w:szCs w:val="27"/>
          <w:highlight w:val="none"/>
        </w:rPr>
        <w:t xml:space="preserve">  </w:t>
      </w:r>
      <w:r>
        <w:rPr>
          <w:rFonts w:ascii="宋体" w:hAnsi="宋体" w:eastAsia="宋体" w:cs="宋体"/>
          <w:b/>
          <w:bCs/>
          <w:color w:val="auto"/>
          <w:spacing w:val="4"/>
          <w:sz w:val="27"/>
          <w:szCs w:val="27"/>
          <w:highlight w:val="none"/>
        </w:rPr>
        <w:t>评标组织</w:t>
      </w:r>
    </w:p>
    <w:p w14:paraId="6150EB50">
      <w:pPr>
        <w:pStyle w:val="8"/>
        <w:spacing w:line="246" w:lineRule="auto"/>
        <w:rPr>
          <w:color w:val="auto"/>
          <w:highlight w:val="none"/>
        </w:rPr>
      </w:pPr>
    </w:p>
    <w:p w14:paraId="654F63A6">
      <w:pPr>
        <w:spacing w:before="78" w:line="361" w:lineRule="auto"/>
        <w:ind w:left="6" w:firstLine="47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评标工作由招标人依法组建的评标委员会负责，评标委员会的组建办法详见投标</w:t>
      </w:r>
      <w:r>
        <w:rPr>
          <w:rFonts w:ascii="宋体" w:hAnsi="宋体" w:eastAsia="宋体" w:cs="宋体"/>
          <w:color w:val="auto"/>
          <w:spacing w:val="3"/>
          <w:sz w:val="24"/>
          <w:szCs w:val="24"/>
          <w:highlight w:val="none"/>
        </w:rPr>
        <w:t xml:space="preserve"> </w:t>
      </w:r>
      <w:r>
        <w:rPr>
          <w:rFonts w:ascii="宋体" w:hAnsi="宋体" w:eastAsia="宋体" w:cs="宋体"/>
          <w:color w:val="auto"/>
          <w:spacing w:val="-6"/>
          <w:sz w:val="24"/>
          <w:szCs w:val="24"/>
          <w:highlight w:val="none"/>
        </w:rPr>
        <w:t>人须知前附表。</w:t>
      </w:r>
    </w:p>
    <w:p w14:paraId="098D2541">
      <w:pPr>
        <w:spacing w:before="122" w:line="226" w:lineRule="auto"/>
        <w:ind w:left="2"/>
        <w:rPr>
          <w:rFonts w:ascii="宋体" w:hAnsi="宋体" w:eastAsia="宋体" w:cs="宋体"/>
          <w:color w:val="auto"/>
          <w:sz w:val="27"/>
          <w:szCs w:val="27"/>
          <w:highlight w:val="none"/>
        </w:rPr>
      </w:pPr>
      <w:r>
        <w:rPr>
          <w:rFonts w:ascii="Times New Roman" w:hAnsi="Times New Roman" w:eastAsia="Times New Roman" w:cs="Times New Roman"/>
          <w:b/>
          <w:bCs/>
          <w:color w:val="auto"/>
          <w:spacing w:val="5"/>
          <w:sz w:val="27"/>
          <w:szCs w:val="27"/>
          <w:highlight w:val="none"/>
        </w:rPr>
        <w:t xml:space="preserve">4  </w:t>
      </w:r>
      <w:r>
        <w:rPr>
          <w:rFonts w:ascii="宋体" w:hAnsi="宋体" w:eastAsia="宋体" w:cs="宋体"/>
          <w:b/>
          <w:bCs/>
          <w:color w:val="auto"/>
          <w:spacing w:val="5"/>
          <w:sz w:val="27"/>
          <w:szCs w:val="27"/>
          <w:highlight w:val="none"/>
        </w:rPr>
        <w:t>评标程序和内容</w:t>
      </w:r>
    </w:p>
    <w:p w14:paraId="5A4837C6">
      <w:pPr>
        <w:pStyle w:val="8"/>
        <w:spacing w:line="248" w:lineRule="auto"/>
        <w:rPr>
          <w:color w:val="auto"/>
          <w:highlight w:val="none"/>
        </w:rPr>
      </w:pPr>
    </w:p>
    <w:p w14:paraId="0D33E6E4">
      <w:pPr>
        <w:spacing w:before="78" w:line="223" w:lineRule="auto"/>
        <w:ind w:left="1"/>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4.1  </w:t>
      </w:r>
      <w:r>
        <w:rPr>
          <w:rFonts w:ascii="楷体" w:hAnsi="楷体" w:eastAsia="楷体" w:cs="楷体"/>
          <w:b/>
          <w:bCs/>
          <w:color w:val="auto"/>
          <w:spacing w:val="-2"/>
          <w:sz w:val="24"/>
          <w:szCs w:val="24"/>
          <w:highlight w:val="none"/>
        </w:rPr>
        <w:t>评标的一般程序</w:t>
      </w:r>
    </w:p>
    <w:p w14:paraId="195B81AE">
      <w:pPr>
        <w:spacing w:before="177"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）熟悉招标文件和评标办法。</w:t>
      </w:r>
    </w:p>
    <w:p w14:paraId="3FFD5D92">
      <w:pPr>
        <w:spacing w:before="180" w:line="220" w:lineRule="auto"/>
        <w:ind w:left="56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2</w:t>
      </w:r>
      <w:r>
        <w:rPr>
          <w:rFonts w:ascii="宋体" w:hAnsi="宋体" w:eastAsia="宋体" w:cs="宋体"/>
          <w:color w:val="auto"/>
          <w:spacing w:val="-4"/>
          <w:sz w:val="24"/>
          <w:szCs w:val="24"/>
          <w:highlight w:val="none"/>
        </w:rPr>
        <w:t>）投标文件的符合性审查。</w:t>
      </w:r>
    </w:p>
    <w:p w14:paraId="1BD76C15">
      <w:pPr>
        <w:spacing w:before="181"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）投标文件的技术评分。</w:t>
      </w:r>
    </w:p>
    <w:p w14:paraId="399CFD5A">
      <w:pPr>
        <w:spacing w:before="181"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4</w:t>
      </w:r>
      <w:r>
        <w:rPr>
          <w:rFonts w:ascii="宋体" w:hAnsi="宋体" w:eastAsia="宋体" w:cs="宋体"/>
          <w:color w:val="auto"/>
          <w:spacing w:val="-4"/>
          <w:sz w:val="24"/>
          <w:szCs w:val="24"/>
          <w:highlight w:val="none"/>
        </w:rPr>
        <w:t>）投标文件的资信评分。</w:t>
      </w:r>
    </w:p>
    <w:p w14:paraId="37D92563">
      <w:pPr>
        <w:spacing w:before="181"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5</w:t>
      </w:r>
      <w:r>
        <w:rPr>
          <w:rFonts w:ascii="宋体" w:hAnsi="宋体" w:eastAsia="宋体" w:cs="宋体"/>
          <w:color w:val="auto"/>
          <w:spacing w:val="-4"/>
          <w:sz w:val="24"/>
          <w:szCs w:val="24"/>
          <w:highlight w:val="none"/>
        </w:rPr>
        <w:t>）投标文件的商务评审。</w:t>
      </w:r>
    </w:p>
    <w:p w14:paraId="1B34B741">
      <w:pPr>
        <w:spacing w:before="181" w:line="290" w:lineRule="auto"/>
        <w:ind w:left="7" w:right="6" w:firstLine="51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6</w:t>
      </w:r>
      <w:r>
        <w:rPr>
          <w:rFonts w:ascii="宋体" w:hAnsi="宋体" w:eastAsia="宋体" w:cs="宋体"/>
          <w:color w:val="auto"/>
          <w:spacing w:val="-1"/>
          <w:sz w:val="24"/>
          <w:szCs w:val="24"/>
          <w:highlight w:val="none"/>
        </w:rPr>
        <w:t>）必要时对投标文件中的问题进行询标，拟作出否决投标决定前，应对相关</w:t>
      </w:r>
      <w:r>
        <w:rPr>
          <w:rFonts w:ascii="宋体" w:hAnsi="宋体" w:eastAsia="宋体" w:cs="宋体"/>
          <w:color w:val="auto"/>
          <w:spacing w:val="3"/>
          <w:sz w:val="24"/>
          <w:szCs w:val="24"/>
          <w:highlight w:val="none"/>
        </w:rPr>
        <w:t xml:space="preserve"> </w:t>
      </w:r>
      <w:r>
        <w:rPr>
          <w:rFonts w:ascii="宋体" w:hAnsi="宋体" w:eastAsia="宋体" w:cs="宋体"/>
          <w:color w:val="auto"/>
          <w:spacing w:val="-5"/>
          <w:sz w:val="24"/>
          <w:szCs w:val="24"/>
          <w:highlight w:val="none"/>
        </w:rPr>
        <w:t>投标人进行询问核实。</w:t>
      </w:r>
    </w:p>
    <w:p w14:paraId="1250A663">
      <w:pPr>
        <w:spacing w:before="181" w:line="219" w:lineRule="auto"/>
        <w:ind w:left="52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7</w:t>
      </w:r>
      <w:r>
        <w:rPr>
          <w:rFonts w:ascii="宋体" w:hAnsi="宋体" w:eastAsia="宋体" w:cs="宋体"/>
          <w:color w:val="auto"/>
          <w:spacing w:val="-5"/>
          <w:sz w:val="24"/>
          <w:szCs w:val="24"/>
          <w:highlight w:val="none"/>
        </w:rPr>
        <w:t>）推荐中标候选人。</w:t>
      </w:r>
    </w:p>
    <w:p w14:paraId="2BE21515">
      <w:pPr>
        <w:spacing w:before="182" w:line="218" w:lineRule="auto"/>
        <w:ind w:left="52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8</w:t>
      </w:r>
      <w:r>
        <w:rPr>
          <w:rFonts w:ascii="宋体" w:hAnsi="宋体" w:eastAsia="宋体" w:cs="宋体"/>
          <w:color w:val="auto"/>
          <w:spacing w:val="-5"/>
          <w:sz w:val="24"/>
          <w:szCs w:val="24"/>
          <w:highlight w:val="none"/>
        </w:rPr>
        <w:t>）完成评标报告。</w:t>
      </w:r>
    </w:p>
    <w:p w14:paraId="734E01D8">
      <w:pPr>
        <w:spacing w:line="218" w:lineRule="auto"/>
        <w:rPr>
          <w:rFonts w:ascii="宋体" w:hAnsi="宋体" w:eastAsia="宋体" w:cs="宋体"/>
          <w:color w:val="auto"/>
          <w:sz w:val="24"/>
          <w:szCs w:val="24"/>
          <w:highlight w:val="none"/>
        </w:rPr>
        <w:sectPr>
          <w:footerReference r:id="rId53" w:type="default"/>
          <w:pgSz w:w="11905" w:h="16840"/>
          <w:pgMar w:top="1427" w:right="1528" w:bottom="1255" w:left="1592" w:header="0" w:footer="1093" w:gutter="0"/>
          <w:pgNumType w:fmt="decimal"/>
          <w:cols w:space="720" w:num="1"/>
        </w:sectPr>
      </w:pPr>
    </w:p>
    <w:p w14:paraId="4D529A36">
      <w:pPr>
        <w:spacing w:before="55" w:line="216" w:lineRule="auto"/>
        <w:ind w:left="3345"/>
        <w:rPr>
          <w:rFonts w:ascii="等线" w:hAnsi="等线" w:eastAsia="等线" w:cs="等线"/>
          <w:color w:val="auto"/>
          <w:sz w:val="27"/>
          <w:szCs w:val="27"/>
          <w:highlight w:val="none"/>
        </w:rPr>
      </w:pPr>
      <w:r>
        <w:rPr>
          <w:rFonts w:ascii="等线" w:hAnsi="等线" w:eastAsia="等线" w:cs="等线"/>
          <w:b/>
          <w:bCs/>
          <w:color w:val="auto"/>
          <w:spacing w:val="7"/>
          <w:sz w:val="27"/>
          <w:szCs w:val="27"/>
          <w:highlight w:val="none"/>
        </w:rPr>
        <w:t>第⼀节</w:t>
      </w:r>
      <w:r>
        <w:rPr>
          <w:rFonts w:ascii="等线" w:hAnsi="等线" w:eastAsia="等线" w:cs="等线"/>
          <w:b/>
          <w:bCs/>
          <w:color w:val="auto"/>
          <w:spacing w:val="1"/>
          <w:sz w:val="27"/>
          <w:szCs w:val="27"/>
          <w:highlight w:val="none"/>
        </w:rPr>
        <w:t xml:space="preserve">  </w:t>
      </w:r>
      <w:r>
        <w:rPr>
          <w:rFonts w:ascii="等线" w:hAnsi="等线" w:eastAsia="等线" w:cs="等线"/>
          <w:b/>
          <w:bCs/>
          <w:color w:val="auto"/>
          <w:spacing w:val="7"/>
          <w:sz w:val="27"/>
          <w:szCs w:val="27"/>
          <w:highlight w:val="none"/>
        </w:rPr>
        <w:t>评标办法</w:t>
      </w:r>
    </w:p>
    <w:p w14:paraId="02C150D8">
      <w:pPr>
        <w:pStyle w:val="8"/>
        <w:spacing w:line="269" w:lineRule="auto"/>
        <w:rPr>
          <w:color w:val="auto"/>
          <w:highlight w:val="none"/>
        </w:rPr>
      </w:pPr>
    </w:p>
    <w:p w14:paraId="27B4F465">
      <w:pPr>
        <w:spacing w:before="78"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4.2  </w:t>
      </w:r>
      <w:r>
        <w:rPr>
          <w:rFonts w:ascii="楷体" w:hAnsi="楷体" w:eastAsia="楷体" w:cs="楷体"/>
          <w:b/>
          <w:bCs/>
          <w:color w:val="auto"/>
          <w:spacing w:val="-2"/>
          <w:sz w:val="24"/>
          <w:szCs w:val="24"/>
          <w:highlight w:val="none"/>
        </w:rPr>
        <w:t>投标文件的符合性审查</w:t>
      </w:r>
    </w:p>
    <w:p w14:paraId="5CF8737F">
      <w:pPr>
        <w:spacing w:before="177" w:line="324" w:lineRule="auto"/>
        <w:ind w:left="2" w:firstLine="54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4.2.1  </w:t>
      </w:r>
      <w:r>
        <w:rPr>
          <w:rFonts w:ascii="宋体" w:hAnsi="宋体" w:eastAsia="宋体" w:cs="宋体"/>
          <w:color w:val="auto"/>
          <w:spacing w:val="-1"/>
          <w:sz w:val="24"/>
          <w:szCs w:val="24"/>
          <w:highlight w:val="none"/>
        </w:rPr>
        <w:t>评标委员会应依照招标文件的要求和规定，</w:t>
      </w:r>
      <w:r>
        <w:rPr>
          <w:rFonts w:ascii="宋体" w:hAnsi="宋体" w:eastAsia="宋体" w:cs="宋体"/>
          <w:color w:val="auto"/>
          <w:spacing w:val="-2"/>
          <w:sz w:val="24"/>
          <w:szCs w:val="24"/>
          <w:highlight w:val="none"/>
        </w:rPr>
        <w:t>首先对投标人的投标资格和投</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标文件进行符合性审查，符合性审查应包括三个方面内容：投标人资格审查、投标文</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件实质性格式要求响应性审查、投标文件实质性内容要求响应性审查。符合性审查未</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通过的投标文件不再进入后续评审。</w:t>
      </w:r>
    </w:p>
    <w:p w14:paraId="44863928">
      <w:pPr>
        <w:spacing w:before="181" w:line="289" w:lineRule="auto"/>
        <w:ind w:left="23" w:right="1" w:firstLine="52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4.2.2  </w:t>
      </w:r>
      <w:r>
        <w:rPr>
          <w:rFonts w:ascii="宋体" w:hAnsi="宋体" w:eastAsia="宋体" w:cs="宋体"/>
          <w:color w:val="auto"/>
          <w:spacing w:val="-1"/>
          <w:sz w:val="24"/>
          <w:szCs w:val="24"/>
          <w:highlight w:val="none"/>
        </w:rPr>
        <w:t>投标人不得通过补充、修改或撤销投标文件中的内容使</w:t>
      </w:r>
      <w:r>
        <w:rPr>
          <w:rFonts w:ascii="宋体" w:hAnsi="宋体" w:eastAsia="宋体" w:cs="宋体"/>
          <w:color w:val="auto"/>
          <w:spacing w:val="-2"/>
          <w:sz w:val="24"/>
          <w:szCs w:val="24"/>
          <w:highlight w:val="none"/>
        </w:rPr>
        <w:t>其成为实质性响应</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的投标。投标人在投标截止以后不得提交任何资料作为</w:t>
      </w:r>
      <w:r>
        <w:rPr>
          <w:rFonts w:ascii="宋体" w:hAnsi="宋体" w:eastAsia="宋体" w:cs="宋体"/>
          <w:color w:val="auto"/>
          <w:spacing w:val="-3"/>
          <w:sz w:val="24"/>
          <w:szCs w:val="24"/>
          <w:highlight w:val="none"/>
        </w:rPr>
        <w:t>评标依据。</w:t>
      </w:r>
    </w:p>
    <w:p w14:paraId="3487EE62">
      <w:pPr>
        <w:spacing w:before="181" w:line="313" w:lineRule="auto"/>
        <w:ind w:left="1" w:firstLine="53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4.2.3  </w:t>
      </w:r>
      <w:r>
        <w:rPr>
          <w:rFonts w:ascii="宋体" w:hAnsi="宋体" w:eastAsia="宋体" w:cs="宋体"/>
          <w:color w:val="auto"/>
          <w:spacing w:val="-1"/>
          <w:sz w:val="24"/>
          <w:szCs w:val="24"/>
          <w:highlight w:val="none"/>
        </w:rPr>
        <w:t>投标文件如存在以下情况之一的，由评标委员会全体成员按照少数服从多</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数的原则记名投票（不得弃权）认定，作为符合性审查未通过予以否决其投标，不再</w:t>
      </w:r>
      <w:r>
        <w:rPr>
          <w:rFonts w:ascii="宋体" w:hAnsi="宋体" w:eastAsia="宋体" w:cs="宋体"/>
          <w:color w:val="auto"/>
          <w:spacing w:val="11"/>
          <w:sz w:val="24"/>
          <w:szCs w:val="24"/>
          <w:highlight w:val="none"/>
        </w:rPr>
        <w:t xml:space="preserve"> </w:t>
      </w:r>
      <w:r>
        <w:rPr>
          <w:rFonts w:ascii="宋体" w:hAnsi="宋体" w:eastAsia="宋体" w:cs="宋体"/>
          <w:color w:val="auto"/>
          <w:spacing w:val="-6"/>
          <w:sz w:val="24"/>
          <w:szCs w:val="24"/>
          <w:highlight w:val="none"/>
        </w:rPr>
        <w:t>进行技术和商务的评审：</w:t>
      </w:r>
    </w:p>
    <w:p w14:paraId="02EC42B5">
      <w:pPr>
        <w:spacing w:before="181" w:line="220" w:lineRule="auto"/>
        <w:ind w:left="571"/>
        <w:rPr>
          <w:rFonts w:ascii="宋体" w:hAnsi="宋体" w:eastAsia="宋体" w:cs="宋体"/>
          <w:color w:val="auto"/>
          <w:sz w:val="24"/>
          <w:szCs w:val="24"/>
          <w:highlight w:val="none"/>
        </w:rPr>
      </w:pPr>
      <w:r>
        <w:rPr>
          <w:rFonts w:ascii="Times New Roman" w:hAnsi="Times New Roman" w:eastAsia="Times New Roman" w:cs="Times New Roman"/>
          <w:color w:val="auto"/>
          <w:spacing w:val="-7"/>
          <w:sz w:val="24"/>
          <w:szCs w:val="24"/>
          <w:highlight w:val="none"/>
        </w:rPr>
        <w:t>1</w:t>
      </w:r>
      <w:r>
        <w:rPr>
          <w:rFonts w:ascii="Times New Roman" w:hAnsi="Times New Roman" w:eastAsia="Times New Roman" w:cs="Times New Roman"/>
          <w:color w:val="auto"/>
          <w:spacing w:val="-21"/>
          <w:sz w:val="24"/>
          <w:szCs w:val="24"/>
          <w:highlight w:val="none"/>
        </w:rPr>
        <w:t xml:space="preserve"> </w:t>
      </w:r>
      <w:r>
        <w:rPr>
          <w:rFonts w:ascii="宋体" w:hAnsi="宋体" w:eastAsia="宋体" w:cs="宋体"/>
          <w:color w:val="auto"/>
          <w:spacing w:val="-7"/>
          <w:sz w:val="24"/>
          <w:szCs w:val="24"/>
          <w:highlight w:val="none"/>
        </w:rPr>
        <w:t>．技术标符合性审查未通过的情形：</w:t>
      </w:r>
    </w:p>
    <w:p w14:paraId="052BF351">
      <w:pPr>
        <w:spacing w:before="181" w:line="289" w:lineRule="auto"/>
        <w:ind w:left="2" w:right="11" w:firstLine="55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）投标人未按招标文件要求加盖单位印章或投标人的法定代表人（或其委托</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代理人）未按招标文件要求签字或盖章的。</w:t>
      </w:r>
    </w:p>
    <w:p w14:paraId="30C18852">
      <w:pPr>
        <w:spacing w:before="183" w:line="289" w:lineRule="auto"/>
        <w:ind w:left="8" w:right="11" w:firstLine="55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）投标人法定代表人授权委托代理人签署投标文件，未提供有效的授权委托</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书的或投标人法定代表人亲自签署投标文件</w:t>
      </w:r>
      <w:r>
        <w:rPr>
          <w:rFonts w:ascii="宋体" w:hAnsi="宋体" w:eastAsia="宋体" w:cs="宋体"/>
          <w:color w:val="auto"/>
          <w:spacing w:val="-2"/>
          <w:sz w:val="24"/>
          <w:szCs w:val="24"/>
          <w:highlight w:val="none"/>
        </w:rPr>
        <w:t>，未提供法定代表人身份证明的。</w:t>
      </w:r>
    </w:p>
    <w:p w14:paraId="7529B196">
      <w:pPr>
        <w:spacing w:before="182" w:line="219" w:lineRule="auto"/>
        <w:ind w:left="559"/>
        <w:rPr>
          <w:rFonts w:ascii="宋体" w:hAnsi="宋体" w:eastAsia="宋体" w:cs="宋体"/>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31495F07">
      <w:pPr>
        <w:spacing w:before="182" w:line="289" w:lineRule="auto"/>
        <w:ind w:left="22" w:right="14" w:firstLine="53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）投标人的投标资格不满足招标文件载明的强制性要求的（以投标人</w:t>
      </w:r>
      <w:r>
        <w:rPr>
          <w:rFonts w:ascii="宋体" w:hAnsi="宋体" w:eastAsia="宋体" w:cs="宋体"/>
          <w:color w:val="auto"/>
          <w:spacing w:val="-3"/>
          <w:sz w:val="24"/>
          <w:szCs w:val="24"/>
          <w:highlight w:val="none"/>
        </w:rPr>
        <w:t>须知前</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附表第</w:t>
      </w:r>
      <w:r>
        <w:rPr>
          <w:rFonts w:ascii="Times New Roman" w:hAnsi="Times New Roman" w:eastAsia="Times New Roman" w:cs="Times New Roman"/>
          <w:color w:val="auto"/>
          <w:spacing w:val="-2"/>
          <w:sz w:val="24"/>
          <w:szCs w:val="24"/>
          <w:highlight w:val="none"/>
        </w:rPr>
        <w:t>10.3</w:t>
      </w:r>
      <w:r>
        <w:rPr>
          <w:rFonts w:ascii="宋体" w:hAnsi="宋体" w:eastAsia="宋体" w:cs="宋体"/>
          <w:color w:val="auto"/>
          <w:spacing w:val="-2"/>
          <w:sz w:val="24"/>
          <w:szCs w:val="24"/>
          <w:highlight w:val="none"/>
        </w:rPr>
        <w:t>款实质性响应招标文件资料为准</w:t>
      </w:r>
      <w:r>
        <w:rPr>
          <w:rFonts w:ascii="宋体" w:hAnsi="宋体" w:eastAsia="宋体" w:cs="宋体"/>
          <w:color w:val="auto"/>
          <w:spacing w:val="1"/>
          <w:sz w:val="24"/>
          <w:szCs w:val="24"/>
          <w:highlight w:val="none"/>
        </w:rPr>
        <w:t>），</w:t>
      </w:r>
      <w:r>
        <w:rPr>
          <w:rFonts w:ascii="宋体" w:hAnsi="宋体" w:eastAsia="宋体" w:cs="宋体"/>
          <w:color w:val="auto"/>
          <w:spacing w:val="-2"/>
          <w:sz w:val="24"/>
          <w:szCs w:val="24"/>
          <w:highlight w:val="none"/>
        </w:rPr>
        <w:t>或不满足国家有关规定的。</w:t>
      </w:r>
    </w:p>
    <w:p w14:paraId="4C335316">
      <w:pPr>
        <w:spacing w:before="182" w:line="289" w:lineRule="auto"/>
        <w:ind w:left="4" w:right="12" w:firstLine="555"/>
        <w:rPr>
          <w:rFonts w:ascii="宋体" w:hAnsi="宋体" w:eastAsia="宋体" w:cs="宋体"/>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715BAE4D">
      <w:pPr>
        <w:spacing w:before="183" w:line="289" w:lineRule="auto"/>
        <w:ind w:left="2" w:right="15" w:firstLine="55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）同一投标人提交两个以上不同的投标文件且未声明哪一个有效的</w:t>
      </w:r>
      <w:r>
        <w:rPr>
          <w:rFonts w:ascii="宋体" w:hAnsi="宋体" w:eastAsia="宋体" w:cs="宋体"/>
          <w:color w:val="auto"/>
          <w:spacing w:val="-3"/>
          <w:sz w:val="24"/>
          <w:szCs w:val="24"/>
          <w:highlight w:val="none"/>
        </w:rPr>
        <w:t>（招标文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件要求提交备选投标的除外）。</w:t>
      </w:r>
    </w:p>
    <w:p w14:paraId="121DB8EF">
      <w:pPr>
        <w:spacing w:before="182" w:line="290" w:lineRule="auto"/>
        <w:ind w:left="4" w:right="10" w:firstLine="55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7</w:t>
      </w:r>
      <w:r>
        <w:rPr>
          <w:rFonts w:ascii="宋体" w:hAnsi="宋体" w:eastAsia="宋体" w:cs="宋体"/>
          <w:color w:val="auto"/>
          <w:spacing w:val="-2"/>
          <w:sz w:val="24"/>
          <w:szCs w:val="24"/>
          <w:highlight w:val="none"/>
        </w:rPr>
        <w:t>）投标人不以自己的名义或未按招标文件要求提供投标保证金或提供的投标</w:t>
      </w:r>
      <w:r>
        <w:rPr>
          <w:rFonts w:ascii="宋体" w:hAnsi="宋体" w:eastAsia="宋体" w:cs="宋体"/>
          <w:color w:val="auto"/>
          <w:spacing w:val="1"/>
          <w:sz w:val="24"/>
          <w:szCs w:val="24"/>
          <w:highlight w:val="none"/>
        </w:rPr>
        <w:t xml:space="preserve"> </w:t>
      </w:r>
      <w:r>
        <w:rPr>
          <w:rFonts w:ascii="宋体" w:hAnsi="宋体" w:eastAsia="宋体" w:cs="宋体"/>
          <w:color w:val="auto"/>
          <w:spacing w:val="-4"/>
          <w:sz w:val="24"/>
          <w:szCs w:val="24"/>
          <w:highlight w:val="none"/>
        </w:rPr>
        <w:t>保证金有缺陷而不能接受的。</w:t>
      </w:r>
    </w:p>
    <w:p w14:paraId="3AC37E62">
      <w:pPr>
        <w:spacing w:before="180" w:line="290" w:lineRule="auto"/>
        <w:ind w:left="7" w:firstLine="552"/>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8</w:t>
      </w:r>
      <w:r>
        <w:rPr>
          <w:rFonts w:ascii="宋体" w:hAnsi="宋体" w:eastAsia="宋体" w:cs="宋体"/>
          <w:color w:val="auto"/>
          <w:spacing w:val="-7"/>
          <w:sz w:val="24"/>
          <w:szCs w:val="24"/>
          <w:highlight w:val="none"/>
        </w:rPr>
        <w:t>）投标工期和质量不满足招标文件要求的（以投标人须知前附表第</w:t>
      </w:r>
      <w:r>
        <w:rPr>
          <w:rFonts w:ascii="Times New Roman" w:hAnsi="Times New Roman" w:eastAsia="Times New Roman" w:cs="Times New Roman"/>
          <w:color w:val="auto"/>
          <w:spacing w:val="-7"/>
          <w:sz w:val="24"/>
          <w:szCs w:val="24"/>
          <w:highlight w:val="none"/>
        </w:rPr>
        <w:t>1.3.2</w:t>
      </w: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1</w:t>
      </w:r>
      <w:r>
        <w:rPr>
          <w:rFonts w:ascii="Times New Roman" w:hAnsi="Times New Roman" w:eastAsia="Times New Roman" w:cs="Times New Roman"/>
          <w:color w:val="auto"/>
          <w:spacing w:val="-8"/>
          <w:sz w:val="24"/>
          <w:szCs w:val="24"/>
          <w:highlight w:val="none"/>
        </w:rPr>
        <w:t>.3.3</w:t>
      </w:r>
      <w:r>
        <w:rPr>
          <w:rFonts w:ascii="Times New Roman" w:hAnsi="Times New Roman" w:eastAsia="Times New Roman" w:cs="Times New Roman"/>
          <w:color w:val="auto"/>
          <w:sz w:val="24"/>
          <w:szCs w:val="24"/>
          <w:highlight w:val="none"/>
        </w:rPr>
        <w:t xml:space="preserve"> </w:t>
      </w:r>
      <w:r>
        <w:rPr>
          <w:rFonts w:ascii="宋体" w:hAnsi="宋体" w:eastAsia="宋体" w:cs="宋体"/>
          <w:color w:val="auto"/>
          <w:spacing w:val="-8"/>
          <w:sz w:val="24"/>
          <w:szCs w:val="24"/>
          <w:highlight w:val="none"/>
        </w:rPr>
        <w:t>项为准）。</w:t>
      </w:r>
    </w:p>
    <w:p w14:paraId="551E60CD">
      <w:pPr>
        <w:spacing w:before="179" w:line="290" w:lineRule="auto"/>
        <w:ind w:left="4" w:right="11" w:firstLine="55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9</w:t>
      </w:r>
      <w:r>
        <w:rPr>
          <w:rFonts w:ascii="宋体" w:hAnsi="宋体" w:eastAsia="宋体" w:cs="宋体"/>
          <w:color w:val="auto"/>
          <w:spacing w:val="-2"/>
          <w:sz w:val="24"/>
          <w:szCs w:val="24"/>
          <w:highlight w:val="none"/>
        </w:rPr>
        <w:t>）采用的验收标准或主要技术指标达不到国家强制性标准或招标文件以下条</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款规定的：</w:t>
      </w:r>
    </w:p>
    <w:p w14:paraId="3923086A">
      <w:pPr>
        <w:spacing w:line="290" w:lineRule="auto"/>
        <w:rPr>
          <w:rFonts w:ascii="宋体" w:hAnsi="宋体" w:eastAsia="宋体" w:cs="宋体"/>
          <w:color w:val="auto"/>
          <w:sz w:val="24"/>
          <w:szCs w:val="24"/>
          <w:highlight w:val="none"/>
        </w:rPr>
        <w:sectPr>
          <w:footerReference r:id="rId54" w:type="default"/>
          <w:pgSz w:w="11905" w:h="16840"/>
          <w:pgMar w:top="1431" w:right="1527" w:bottom="1255" w:left="1593" w:header="0" w:footer="1093" w:gutter="0"/>
          <w:pgNumType w:fmt="decimal"/>
          <w:cols w:space="720" w:num="1"/>
        </w:sectPr>
      </w:pPr>
    </w:p>
    <w:p w14:paraId="767748FC">
      <w:pPr>
        <w:spacing w:before="47" w:line="213" w:lineRule="auto"/>
        <w:ind w:left="596"/>
        <w:rPr>
          <w:rFonts w:ascii="宋体" w:hAnsi="宋体" w:eastAsia="宋体" w:cs="宋体"/>
          <w:color w:val="auto"/>
          <w:sz w:val="25"/>
          <w:szCs w:val="25"/>
          <w:highlight w:val="none"/>
        </w:rPr>
      </w:pPr>
      <w:r>
        <w:rPr>
          <w:rFonts w:hint="eastAsia" w:ascii="宋体" w:hAnsi="宋体" w:eastAsia="宋体" w:cs="宋体"/>
          <w:i/>
          <w:iCs/>
          <w:color w:val="auto"/>
          <w:spacing w:val="-17"/>
          <w:sz w:val="25"/>
          <w:szCs w:val="25"/>
          <w:highlight w:val="none"/>
          <w:lang w:val="en-US" w:eastAsia="zh-CN"/>
        </w:rPr>
        <w:t>无</w:t>
      </w:r>
      <w:r>
        <w:rPr>
          <w:rFonts w:ascii="宋体" w:hAnsi="宋体" w:eastAsia="宋体" w:cs="宋体"/>
          <w:i/>
          <w:iCs/>
          <w:color w:val="auto"/>
          <w:spacing w:val="-17"/>
          <w:sz w:val="25"/>
          <w:szCs w:val="25"/>
          <w:highlight w:val="none"/>
        </w:rPr>
        <w:t>（由招标人自行扩充，如无，请填“无”）</w:t>
      </w:r>
    </w:p>
    <w:p w14:paraId="76029344">
      <w:pPr>
        <w:spacing w:before="178" w:line="290" w:lineRule="auto"/>
        <w:ind w:left="4" w:right="95" w:firstLine="55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10</w:t>
      </w:r>
      <w:r>
        <w:rPr>
          <w:rFonts w:ascii="宋体" w:hAnsi="宋体" w:eastAsia="宋体" w:cs="宋体"/>
          <w:color w:val="auto"/>
          <w:spacing w:val="1"/>
          <w:sz w:val="24"/>
          <w:szCs w:val="24"/>
          <w:highlight w:val="none"/>
        </w:rPr>
        <w:t>）采用的施工工艺、方法或质量安全管理措施不能满足国家强制性标准或</w:t>
      </w:r>
      <w:r>
        <w:rPr>
          <w:rFonts w:ascii="宋体" w:hAnsi="宋体" w:eastAsia="宋体" w:cs="宋体"/>
          <w:color w:val="auto"/>
          <w:spacing w:val="16"/>
          <w:sz w:val="24"/>
          <w:szCs w:val="24"/>
          <w:highlight w:val="none"/>
        </w:rPr>
        <w:t xml:space="preserve"> </w:t>
      </w:r>
      <w:r>
        <w:rPr>
          <w:rFonts w:ascii="宋体" w:hAnsi="宋体" w:eastAsia="宋体" w:cs="宋体"/>
          <w:color w:val="auto"/>
          <w:spacing w:val="-9"/>
          <w:sz w:val="24"/>
          <w:szCs w:val="24"/>
          <w:highlight w:val="none"/>
        </w:rPr>
        <w:t>要求的。</w:t>
      </w:r>
    </w:p>
    <w:p w14:paraId="10825A64">
      <w:pPr>
        <w:spacing w:before="180" w:line="289" w:lineRule="auto"/>
        <w:ind w:left="5" w:right="84" w:firstLine="55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11</w:t>
      </w:r>
      <w:r>
        <w:rPr>
          <w:rFonts w:ascii="宋体" w:hAnsi="宋体" w:eastAsia="宋体" w:cs="宋体"/>
          <w:color w:val="auto"/>
          <w:spacing w:val="-4"/>
          <w:sz w:val="24"/>
          <w:szCs w:val="24"/>
          <w:highlight w:val="none"/>
        </w:rPr>
        <w:t>）投标人存在投标人须知第“</w:t>
      </w:r>
      <w:r>
        <w:rPr>
          <w:rFonts w:ascii="Times New Roman" w:hAnsi="Times New Roman" w:eastAsia="Times New Roman" w:cs="Times New Roman"/>
          <w:color w:val="auto"/>
          <w:spacing w:val="-4"/>
          <w:sz w:val="24"/>
          <w:szCs w:val="24"/>
          <w:highlight w:val="none"/>
        </w:rPr>
        <w:t xml:space="preserve">1.4.3  </w:t>
      </w:r>
      <w:r>
        <w:rPr>
          <w:rFonts w:ascii="宋体" w:hAnsi="宋体" w:eastAsia="宋体" w:cs="宋体"/>
          <w:color w:val="auto"/>
          <w:spacing w:val="-4"/>
          <w:sz w:val="24"/>
          <w:szCs w:val="24"/>
          <w:highlight w:val="none"/>
        </w:rPr>
        <w:t>投标人不得存在下列情形之一</w:t>
      </w:r>
      <w:r>
        <w:rPr>
          <w:rFonts w:ascii="Times New Roman" w:hAnsi="Times New Roman" w:eastAsia="Times New Roman" w:cs="Times New Roman"/>
          <w:color w:val="auto"/>
          <w:spacing w:val="-4"/>
          <w:sz w:val="24"/>
          <w:szCs w:val="24"/>
          <w:highlight w:val="none"/>
        </w:rPr>
        <w:t>”</w:t>
      </w:r>
      <w:r>
        <w:rPr>
          <w:rFonts w:ascii="宋体" w:hAnsi="宋体" w:eastAsia="宋体" w:cs="宋体"/>
          <w:color w:val="auto"/>
          <w:spacing w:val="-4"/>
          <w:sz w:val="24"/>
          <w:szCs w:val="24"/>
          <w:highlight w:val="none"/>
        </w:rPr>
        <w:t>项或</w:t>
      </w:r>
      <w:r>
        <w:rPr>
          <w:rFonts w:ascii="宋体" w:hAnsi="宋体" w:eastAsia="宋体" w:cs="宋体"/>
          <w:color w:val="auto"/>
          <w:spacing w:val="-5"/>
          <w:sz w:val="24"/>
          <w:szCs w:val="24"/>
          <w:highlight w:val="none"/>
        </w:rPr>
        <w:t>投标</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人须知</w:t>
      </w:r>
      <w:r>
        <w:rPr>
          <w:rFonts w:ascii="Times New Roman" w:hAnsi="Times New Roman" w:eastAsia="Times New Roman" w:cs="Times New Roman"/>
          <w:color w:val="auto"/>
          <w:spacing w:val="-1"/>
          <w:sz w:val="24"/>
          <w:szCs w:val="24"/>
          <w:highlight w:val="none"/>
        </w:rPr>
        <w:t xml:space="preserve">“9.2  </w:t>
      </w:r>
      <w:r>
        <w:rPr>
          <w:rFonts w:ascii="宋体" w:hAnsi="宋体" w:eastAsia="宋体" w:cs="宋体"/>
          <w:color w:val="auto"/>
          <w:spacing w:val="-1"/>
          <w:sz w:val="24"/>
          <w:szCs w:val="24"/>
          <w:highlight w:val="none"/>
        </w:rPr>
        <w:t>对投标人的纪律要求</w:t>
      </w:r>
      <w:r>
        <w:rPr>
          <w:rFonts w:ascii="Times New Roman" w:hAnsi="Times New Roman" w:eastAsia="Times New Roman" w:cs="Times New Roman"/>
          <w:color w:val="auto"/>
          <w:spacing w:val="-1"/>
          <w:sz w:val="24"/>
          <w:szCs w:val="24"/>
          <w:highlight w:val="none"/>
        </w:rPr>
        <w:t>”</w:t>
      </w:r>
      <w:r>
        <w:rPr>
          <w:rFonts w:ascii="宋体" w:hAnsi="宋体" w:eastAsia="宋体" w:cs="宋体"/>
          <w:color w:val="auto"/>
          <w:spacing w:val="-1"/>
          <w:sz w:val="24"/>
          <w:szCs w:val="24"/>
          <w:highlight w:val="none"/>
        </w:rPr>
        <w:t>项规定情形之一</w:t>
      </w:r>
      <w:r>
        <w:rPr>
          <w:rFonts w:ascii="宋体" w:hAnsi="宋体" w:eastAsia="宋体" w:cs="宋体"/>
          <w:color w:val="auto"/>
          <w:spacing w:val="-2"/>
          <w:sz w:val="24"/>
          <w:szCs w:val="24"/>
          <w:highlight w:val="none"/>
        </w:rPr>
        <w:t>的。</w:t>
      </w:r>
    </w:p>
    <w:p w14:paraId="3A649C8C">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12</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60"/>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55FCB1D8">
      <w:pPr>
        <w:spacing w:before="178" w:line="219" w:lineRule="auto"/>
        <w:ind w:left="55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13</w:t>
      </w:r>
      <w:r>
        <w:rPr>
          <w:rFonts w:ascii="宋体" w:hAnsi="宋体" w:eastAsia="宋体" w:cs="宋体"/>
          <w:color w:val="auto"/>
          <w:spacing w:val="-2"/>
          <w:sz w:val="24"/>
          <w:szCs w:val="24"/>
          <w:highlight w:val="none"/>
        </w:rPr>
        <w:t>）存在法律、法规、规章规定的其他无效投标情况的。</w:t>
      </w:r>
    </w:p>
    <w:p w14:paraId="40EDD99F">
      <w:pPr>
        <w:spacing w:before="182" w:line="220" w:lineRule="auto"/>
        <w:ind w:left="548"/>
        <w:rPr>
          <w:rFonts w:ascii="宋体" w:hAnsi="宋体" w:eastAsia="宋体" w:cs="宋体"/>
          <w:color w:val="auto"/>
          <w:sz w:val="24"/>
          <w:szCs w:val="24"/>
          <w:highlight w:val="none"/>
        </w:rPr>
      </w:pPr>
      <w:r>
        <w:rPr>
          <w:rFonts w:ascii="Times New Roman" w:hAnsi="Times New Roman" w:eastAsia="Times New Roman" w:cs="Times New Roman"/>
          <w:color w:val="auto"/>
          <w:spacing w:val="-6"/>
          <w:sz w:val="24"/>
          <w:szCs w:val="24"/>
          <w:highlight w:val="none"/>
        </w:rPr>
        <w:t>2</w:t>
      </w:r>
      <w:r>
        <w:rPr>
          <w:rFonts w:ascii="Times New Roman" w:hAnsi="Times New Roman" w:eastAsia="Times New Roman" w:cs="Times New Roman"/>
          <w:color w:val="auto"/>
          <w:spacing w:val="-15"/>
          <w:sz w:val="24"/>
          <w:szCs w:val="24"/>
          <w:highlight w:val="none"/>
        </w:rPr>
        <w:t xml:space="preserve"> </w:t>
      </w:r>
      <w:r>
        <w:rPr>
          <w:rFonts w:ascii="宋体" w:hAnsi="宋体" w:eastAsia="宋体" w:cs="宋体"/>
          <w:color w:val="auto"/>
          <w:spacing w:val="-6"/>
          <w:sz w:val="24"/>
          <w:szCs w:val="24"/>
          <w:highlight w:val="none"/>
        </w:rPr>
        <w:t>．商务标符合性审查未通过的情形：</w:t>
      </w:r>
    </w:p>
    <w:p w14:paraId="244523AC">
      <w:pPr>
        <w:spacing w:before="182" w:line="289" w:lineRule="auto"/>
        <w:ind w:left="2" w:right="95" w:firstLine="55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）投标人未按招标文件要求加盖单位印章或投标人的法定代表人（或其委托</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代理人）未按招标文件要求签字或盖章的。</w:t>
      </w:r>
    </w:p>
    <w:p w14:paraId="60EDD848">
      <w:pPr>
        <w:spacing w:before="183" w:line="289" w:lineRule="auto"/>
        <w:ind w:left="2" w:right="99" w:firstLine="55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）同一投标人提交两个以上不同的投标报价且未声明哪一个有效的</w:t>
      </w:r>
      <w:r>
        <w:rPr>
          <w:rFonts w:ascii="宋体" w:hAnsi="宋体" w:eastAsia="宋体" w:cs="宋体"/>
          <w:color w:val="auto"/>
          <w:spacing w:val="-3"/>
          <w:sz w:val="24"/>
          <w:szCs w:val="24"/>
          <w:highlight w:val="none"/>
        </w:rPr>
        <w:t>（招标文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件要求提交备选投标的除外）。</w:t>
      </w:r>
    </w:p>
    <w:p w14:paraId="0BED8835">
      <w:pPr>
        <w:spacing w:before="182" w:line="289" w:lineRule="auto"/>
        <w:ind w:left="2" w:right="96" w:firstLine="55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）投标函载明的投标工期和质量不满足招标文件要求的（以投标人须知前附</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表第</w:t>
      </w:r>
      <w:r>
        <w:rPr>
          <w:rFonts w:ascii="Times New Roman" w:hAnsi="Times New Roman" w:eastAsia="Times New Roman" w:cs="Times New Roman"/>
          <w:color w:val="auto"/>
          <w:spacing w:val="-4"/>
          <w:sz w:val="24"/>
          <w:szCs w:val="24"/>
          <w:highlight w:val="none"/>
        </w:rPr>
        <w:t>1.3.2</w:t>
      </w:r>
      <w:r>
        <w:rPr>
          <w:rFonts w:ascii="Times New Roman" w:hAnsi="Times New Roman" w:eastAsia="Times New Roman" w:cs="Times New Roman"/>
          <w:color w:val="auto"/>
          <w:spacing w:val="-26"/>
          <w:sz w:val="24"/>
          <w:szCs w:val="24"/>
          <w:highlight w:val="none"/>
        </w:rPr>
        <w:t xml:space="preserve"> </w:t>
      </w: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1.3.3</w:t>
      </w:r>
      <w:r>
        <w:rPr>
          <w:rFonts w:ascii="宋体" w:hAnsi="宋体" w:eastAsia="宋体" w:cs="宋体"/>
          <w:color w:val="auto"/>
          <w:spacing w:val="-4"/>
          <w:sz w:val="24"/>
          <w:szCs w:val="24"/>
          <w:highlight w:val="none"/>
        </w:rPr>
        <w:t>项为准）。</w:t>
      </w:r>
    </w:p>
    <w:p w14:paraId="708540F0">
      <w:pPr>
        <w:spacing w:before="182" w:line="218" w:lineRule="auto"/>
        <w:ind w:left="55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）投标报价高于招标文件设定的最高投标限价或分项限价的。</w:t>
      </w:r>
    </w:p>
    <w:p w14:paraId="035A6621">
      <w:pPr>
        <w:spacing w:before="181" w:line="313" w:lineRule="auto"/>
        <w:ind w:left="3" w:firstLine="55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5</w:t>
      </w:r>
      <w:r>
        <w:rPr>
          <w:rFonts w:ascii="宋体" w:hAnsi="宋体" w:eastAsia="宋体" w:cs="宋体"/>
          <w:color w:val="auto"/>
          <w:spacing w:val="1"/>
          <w:sz w:val="24"/>
          <w:szCs w:val="24"/>
          <w:highlight w:val="none"/>
        </w:rPr>
        <w:t>）改变招标人提供的工程量清单中的项目编码、项目名</w:t>
      </w:r>
      <w:r>
        <w:rPr>
          <w:rFonts w:ascii="宋体" w:hAnsi="宋体" w:eastAsia="宋体" w:cs="宋体"/>
          <w:color w:val="auto"/>
          <w:sz w:val="24"/>
          <w:szCs w:val="24"/>
          <w:highlight w:val="none"/>
        </w:rPr>
        <w:t xml:space="preserve">称、项目主要特征、 </w:t>
      </w:r>
      <w:r>
        <w:rPr>
          <w:rFonts w:ascii="宋体" w:hAnsi="宋体" w:eastAsia="宋体" w:cs="宋体"/>
          <w:color w:val="auto"/>
          <w:spacing w:val="-3"/>
          <w:sz w:val="24"/>
          <w:szCs w:val="24"/>
          <w:highlight w:val="none"/>
        </w:rPr>
        <w:t>计量单位、工程数量、主要技术条款编码、金额等内容的（但按照国家规范所作的修</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改和招标文件规定的除外）。</w:t>
      </w:r>
    </w:p>
    <w:p w14:paraId="4824ABDD">
      <w:pPr>
        <w:spacing w:before="181" w:line="220" w:lineRule="auto"/>
        <w:ind w:left="55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6</w:t>
      </w:r>
      <w:r>
        <w:rPr>
          <w:rFonts w:ascii="宋体" w:hAnsi="宋体" w:eastAsia="宋体" w:cs="宋体"/>
          <w:color w:val="auto"/>
          <w:spacing w:val="-1"/>
          <w:sz w:val="24"/>
          <w:szCs w:val="24"/>
          <w:highlight w:val="none"/>
        </w:rPr>
        <w:t>）投标人存在投标人须知</w:t>
      </w:r>
      <w:r>
        <w:rPr>
          <w:rFonts w:ascii="Times New Roman" w:hAnsi="Times New Roman" w:eastAsia="Times New Roman" w:cs="Times New Roman"/>
          <w:color w:val="auto"/>
          <w:spacing w:val="-1"/>
          <w:sz w:val="24"/>
          <w:szCs w:val="24"/>
          <w:highlight w:val="none"/>
        </w:rPr>
        <w:t xml:space="preserve">“9.2  </w:t>
      </w:r>
      <w:r>
        <w:rPr>
          <w:rFonts w:ascii="宋体" w:hAnsi="宋体" w:eastAsia="宋体" w:cs="宋体"/>
          <w:color w:val="auto"/>
          <w:spacing w:val="-1"/>
          <w:sz w:val="24"/>
          <w:szCs w:val="24"/>
          <w:highlight w:val="none"/>
        </w:rPr>
        <w:t>对投标人的纪律要求</w:t>
      </w:r>
      <w:r>
        <w:rPr>
          <w:rFonts w:ascii="Times New Roman" w:hAnsi="Times New Roman" w:eastAsia="Times New Roman" w:cs="Times New Roman"/>
          <w:color w:val="auto"/>
          <w:spacing w:val="-1"/>
          <w:sz w:val="24"/>
          <w:szCs w:val="24"/>
          <w:highlight w:val="none"/>
        </w:rPr>
        <w:t>”</w:t>
      </w:r>
      <w:r>
        <w:rPr>
          <w:rFonts w:ascii="宋体" w:hAnsi="宋体" w:eastAsia="宋体" w:cs="宋体"/>
          <w:color w:val="auto"/>
          <w:spacing w:val="-1"/>
          <w:sz w:val="24"/>
          <w:szCs w:val="24"/>
          <w:highlight w:val="none"/>
        </w:rPr>
        <w:t>项规定情形之一的。</w:t>
      </w:r>
    </w:p>
    <w:p w14:paraId="266B8D11">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7</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22D90E8F">
      <w:pPr>
        <w:spacing w:before="179" w:line="219" w:lineRule="auto"/>
        <w:ind w:left="55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8</w:t>
      </w:r>
      <w:r>
        <w:rPr>
          <w:rFonts w:ascii="宋体" w:hAnsi="宋体" w:eastAsia="宋体" w:cs="宋体"/>
          <w:color w:val="auto"/>
          <w:spacing w:val="-2"/>
          <w:sz w:val="24"/>
          <w:szCs w:val="24"/>
          <w:highlight w:val="none"/>
        </w:rPr>
        <w:t>）存在法律、法规、规章规定的其他无效投标情况的。</w:t>
      </w:r>
    </w:p>
    <w:p w14:paraId="47C42CC8">
      <w:pPr>
        <w:spacing w:before="182"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  </w:t>
      </w:r>
      <w:r>
        <w:rPr>
          <w:rFonts w:ascii="楷体" w:hAnsi="楷体" w:eastAsia="楷体" w:cs="楷体"/>
          <w:b/>
          <w:bCs/>
          <w:color w:val="auto"/>
          <w:spacing w:val="-2"/>
          <w:sz w:val="24"/>
          <w:szCs w:val="24"/>
          <w:highlight w:val="none"/>
        </w:rPr>
        <w:t>投标文件的技术评分</w:t>
      </w:r>
    </w:p>
    <w:p w14:paraId="786B57F5">
      <w:pPr>
        <w:spacing w:before="179" w:line="355" w:lineRule="auto"/>
        <w:ind w:left="2" w:right="84" w:firstLine="539"/>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评标委员会对通过符合性评审的投标文件进行技术评分，评标专家对投标文件</w:t>
      </w:r>
      <w:r>
        <w:rPr>
          <w:rFonts w:ascii="宋体" w:hAnsi="宋体" w:eastAsia="宋体" w:cs="宋体"/>
          <w:color w:val="auto"/>
          <w:spacing w:val="9"/>
          <w:sz w:val="24"/>
          <w:szCs w:val="24"/>
          <w:highlight w:val="none"/>
        </w:rPr>
        <w:t xml:space="preserve"> </w:t>
      </w:r>
      <w:r>
        <w:rPr>
          <w:rFonts w:ascii="宋体" w:hAnsi="宋体" w:eastAsia="宋体" w:cs="宋体"/>
          <w:color w:val="auto"/>
          <w:spacing w:val="4"/>
          <w:sz w:val="24"/>
          <w:szCs w:val="24"/>
          <w:highlight w:val="none"/>
        </w:rPr>
        <w:t>的技术部分进行详细评审后采用记名方式各自评分，技术评分为全体</w:t>
      </w:r>
      <w:r>
        <w:rPr>
          <w:rFonts w:ascii="宋体" w:hAnsi="宋体" w:eastAsia="宋体" w:cs="宋体"/>
          <w:color w:val="auto"/>
          <w:spacing w:val="3"/>
          <w:sz w:val="24"/>
          <w:szCs w:val="24"/>
          <w:highlight w:val="none"/>
        </w:rPr>
        <w:t>评标专家评分</w:t>
      </w:r>
      <w:r>
        <w:rPr>
          <w:rFonts w:ascii="宋体" w:hAnsi="宋体" w:eastAsia="宋体" w:cs="宋体"/>
          <w:color w:val="auto"/>
          <w:sz w:val="24"/>
          <w:szCs w:val="24"/>
          <w:highlight w:val="none"/>
        </w:rPr>
        <w:t xml:space="preserve"> （扣除一个最高和一个最低分）的算术平均值（保留</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位小数，四舍五入）。如某一</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份评分表的某一项评分，超过评分细则所规定的分值范围，则该份评分表无效。技术</w:t>
      </w:r>
      <w:r>
        <w:rPr>
          <w:rFonts w:ascii="宋体" w:hAnsi="宋体" w:eastAsia="宋体" w:cs="宋体"/>
          <w:color w:val="auto"/>
          <w:spacing w:val="8"/>
          <w:sz w:val="24"/>
          <w:szCs w:val="24"/>
          <w:highlight w:val="none"/>
        </w:rPr>
        <w:t xml:space="preserve"> </w:t>
      </w:r>
      <w:r>
        <w:rPr>
          <w:rFonts w:ascii="宋体" w:hAnsi="宋体" w:eastAsia="宋体" w:cs="宋体"/>
          <w:color w:val="auto"/>
          <w:spacing w:val="-8"/>
          <w:sz w:val="24"/>
          <w:szCs w:val="24"/>
          <w:highlight w:val="none"/>
        </w:rPr>
        <w:t>评分满分</w:t>
      </w:r>
      <w:r>
        <w:rPr>
          <w:rFonts w:ascii="Times New Roman" w:hAnsi="Times New Roman" w:eastAsia="Times New Roman" w:cs="Times New Roman"/>
          <w:color w:val="auto"/>
          <w:spacing w:val="-8"/>
          <w:sz w:val="24"/>
          <w:szCs w:val="24"/>
          <w:highlight w:val="none"/>
          <w:u w:val="single" w:color="auto"/>
        </w:rPr>
        <w:t>12</w:t>
      </w:r>
      <w:r>
        <w:rPr>
          <w:rFonts w:ascii="宋体" w:hAnsi="宋体" w:eastAsia="宋体" w:cs="宋体"/>
          <w:color w:val="auto"/>
          <w:spacing w:val="-8"/>
          <w:sz w:val="24"/>
          <w:szCs w:val="24"/>
          <w:highlight w:val="none"/>
        </w:rPr>
        <w:t>分</w:t>
      </w:r>
      <w:r>
        <w:rPr>
          <w:rFonts w:ascii="宋体" w:hAnsi="宋体" w:eastAsia="宋体" w:cs="宋体"/>
          <w:i/>
          <w:iCs/>
          <w:color w:val="auto"/>
          <w:spacing w:val="-8"/>
          <w:sz w:val="25"/>
          <w:szCs w:val="25"/>
          <w:highlight w:val="none"/>
        </w:rPr>
        <w:t>（各分项最低得分不得低于分项最</w:t>
      </w:r>
      <w:r>
        <w:rPr>
          <w:rFonts w:ascii="宋体" w:hAnsi="宋体" w:eastAsia="宋体" w:cs="宋体"/>
          <w:i/>
          <w:iCs/>
          <w:color w:val="auto"/>
          <w:spacing w:val="-9"/>
          <w:sz w:val="25"/>
          <w:szCs w:val="25"/>
          <w:highlight w:val="none"/>
        </w:rPr>
        <w:t>高得分的</w:t>
      </w:r>
      <w:r>
        <w:rPr>
          <w:rFonts w:ascii="Times New Roman" w:hAnsi="Times New Roman" w:eastAsia="Times New Roman" w:cs="Times New Roman"/>
          <w:i/>
          <w:iCs/>
          <w:color w:val="auto"/>
          <w:spacing w:val="-9"/>
          <w:sz w:val="24"/>
          <w:szCs w:val="24"/>
          <w:highlight w:val="none"/>
        </w:rPr>
        <w:t xml:space="preserve">60% </w:t>
      </w:r>
      <w:r>
        <w:rPr>
          <w:rFonts w:ascii="宋体" w:hAnsi="宋体" w:eastAsia="宋体" w:cs="宋体"/>
          <w:i/>
          <w:iCs/>
          <w:color w:val="auto"/>
          <w:spacing w:val="-9"/>
          <w:sz w:val="25"/>
          <w:szCs w:val="25"/>
          <w:highlight w:val="none"/>
        </w:rPr>
        <w:t>，缺项不受最低分</w:t>
      </w:r>
      <w:r>
        <w:rPr>
          <w:rFonts w:ascii="宋体" w:hAnsi="宋体" w:eastAsia="宋体" w:cs="宋体"/>
          <w:i/>
          <w:iCs/>
          <w:color w:val="auto"/>
          <w:spacing w:val="-6"/>
          <w:sz w:val="25"/>
          <w:szCs w:val="25"/>
          <w:highlight w:val="none"/>
        </w:rPr>
        <w:t>限制按零分计）</w:t>
      </w:r>
      <w:r>
        <w:rPr>
          <w:rFonts w:ascii="宋体" w:hAnsi="宋体" w:eastAsia="宋体" w:cs="宋体"/>
          <w:color w:val="auto"/>
          <w:spacing w:val="-6"/>
          <w:sz w:val="24"/>
          <w:szCs w:val="24"/>
          <w:highlight w:val="none"/>
        </w:rPr>
        <w:t>。</w:t>
      </w:r>
    </w:p>
    <w:p w14:paraId="3ADD6EED">
      <w:pPr>
        <w:spacing w:line="355" w:lineRule="auto"/>
        <w:rPr>
          <w:rFonts w:ascii="宋体" w:hAnsi="宋体" w:eastAsia="宋体" w:cs="宋体"/>
          <w:color w:val="auto"/>
          <w:sz w:val="24"/>
          <w:szCs w:val="24"/>
          <w:highlight w:val="none"/>
        </w:rPr>
        <w:sectPr>
          <w:footerReference r:id="rId55" w:type="default"/>
          <w:pgSz w:w="11905" w:h="16840"/>
          <w:pgMar w:top="1428" w:right="1444" w:bottom="1255" w:left="1593" w:header="0" w:footer="1093" w:gutter="0"/>
          <w:pgNumType w:fmt="decimal"/>
          <w:cols w:space="720" w:num="1"/>
        </w:sectPr>
      </w:pPr>
    </w:p>
    <w:p w14:paraId="2D327EEA">
      <w:pPr>
        <w:spacing w:before="48" w:line="212" w:lineRule="auto"/>
        <w:ind w:left="3995"/>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技术评分标准表</w:t>
      </w:r>
    </w:p>
    <w:tbl>
      <w:tblPr>
        <w:tblStyle w:val="16"/>
        <w:tblW w:w="8759" w:type="dxa"/>
        <w:tblInd w:w="4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8"/>
        <w:gridCol w:w="5800"/>
        <w:gridCol w:w="1132"/>
        <w:gridCol w:w="999"/>
      </w:tblGrid>
      <w:tr w14:paraId="6379A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28" w:type="dxa"/>
            <w:vMerge w:val="restart"/>
            <w:tcBorders>
              <w:top w:val="single" w:color="000000" w:sz="6" w:space="0"/>
              <w:left w:val="single" w:color="000000" w:sz="6" w:space="0"/>
              <w:bottom w:val="nil"/>
            </w:tcBorders>
            <w:vAlign w:val="top"/>
          </w:tcPr>
          <w:p w14:paraId="3E6FF846">
            <w:pPr>
              <w:spacing w:line="288" w:lineRule="auto"/>
              <w:rPr>
                <w:rFonts w:ascii="Arial"/>
                <w:color w:val="auto"/>
                <w:sz w:val="21"/>
                <w:highlight w:val="none"/>
              </w:rPr>
            </w:pPr>
          </w:p>
          <w:p w14:paraId="39145748">
            <w:pPr>
              <w:pStyle w:val="17"/>
              <w:spacing w:before="69" w:line="221" w:lineRule="auto"/>
              <w:ind w:left="202"/>
              <w:rPr>
                <w:color w:val="auto"/>
                <w:sz w:val="21"/>
                <w:szCs w:val="21"/>
                <w:highlight w:val="none"/>
              </w:rPr>
            </w:pPr>
            <w:r>
              <w:rPr>
                <w:color w:val="auto"/>
                <w:spacing w:val="-2"/>
                <w:sz w:val="21"/>
                <w:szCs w:val="21"/>
                <w:highlight w:val="none"/>
              </w:rPr>
              <w:t>序号</w:t>
            </w:r>
          </w:p>
        </w:tc>
        <w:tc>
          <w:tcPr>
            <w:tcW w:w="5800" w:type="dxa"/>
            <w:vMerge w:val="restart"/>
            <w:tcBorders>
              <w:top w:val="single" w:color="000000" w:sz="6" w:space="0"/>
              <w:bottom w:val="nil"/>
            </w:tcBorders>
            <w:vAlign w:val="top"/>
          </w:tcPr>
          <w:p w14:paraId="7B65AD9B">
            <w:pPr>
              <w:spacing w:line="288" w:lineRule="auto"/>
              <w:rPr>
                <w:rFonts w:ascii="Arial"/>
                <w:color w:val="auto"/>
                <w:sz w:val="21"/>
                <w:highlight w:val="none"/>
              </w:rPr>
            </w:pPr>
          </w:p>
          <w:p w14:paraId="0C5A7FD3">
            <w:pPr>
              <w:pStyle w:val="17"/>
              <w:spacing w:before="68" w:line="220" w:lineRule="auto"/>
              <w:ind w:left="2195"/>
              <w:rPr>
                <w:color w:val="auto"/>
                <w:sz w:val="21"/>
                <w:szCs w:val="21"/>
                <w:highlight w:val="none"/>
              </w:rPr>
            </w:pPr>
            <w:r>
              <w:rPr>
                <w:color w:val="auto"/>
                <w:spacing w:val="-14"/>
                <w:sz w:val="21"/>
                <w:szCs w:val="21"/>
                <w:highlight w:val="none"/>
              </w:rPr>
              <w:t>内</w:t>
            </w:r>
            <w:r>
              <w:rPr>
                <w:color w:val="auto"/>
                <w:spacing w:val="6"/>
                <w:sz w:val="21"/>
                <w:szCs w:val="21"/>
                <w:highlight w:val="none"/>
              </w:rPr>
              <w:t xml:space="preserve">  </w:t>
            </w:r>
            <w:r>
              <w:rPr>
                <w:color w:val="auto"/>
                <w:spacing w:val="-14"/>
                <w:sz w:val="21"/>
                <w:szCs w:val="21"/>
                <w:highlight w:val="none"/>
              </w:rPr>
              <w:t>容</w:t>
            </w:r>
            <w:r>
              <w:rPr>
                <w:color w:val="auto"/>
                <w:spacing w:val="5"/>
                <w:sz w:val="21"/>
                <w:szCs w:val="21"/>
                <w:highlight w:val="none"/>
              </w:rPr>
              <w:t xml:space="preserve">  </w:t>
            </w:r>
            <w:r>
              <w:rPr>
                <w:color w:val="auto"/>
                <w:spacing w:val="-14"/>
                <w:sz w:val="21"/>
                <w:szCs w:val="21"/>
                <w:highlight w:val="none"/>
              </w:rPr>
              <w:t>要</w:t>
            </w:r>
            <w:r>
              <w:rPr>
                <w:color w:val="auto"/>
                <w:spacing w:val="4"/>
                <w:sz w:val="21"/>
                <w:szCs w:val="21"/>
                <w:highlight w:val="none"/>
              </w:rPr>
              <w:t xml:space="preserve">  </w:t>
            </w:r>
            <w:r>
              <w:rPr>
                <w:color w:val="auto"/>
                <w:spacing w:val="-14"/>
                <w:sz w:val="21"/>
                <w:szCs w:val="21"/>
                <w:highlight w:val="none"/>
              </w:rPr>
              <w:t>求</w:t>
            </w:r>
          </w:p>
        </w:tc>
        <w:tc>
          <w:tcPr>
            <w:tcW w:w="2131" w:type="dxa"/>
            <w:gridSpan w:val="2"/>
            <w:tcBorders>
              <w:top w:val="single" w:color="000000" w:sz="6" w:space="0"/>
              <w:right w:val="single" w:color="000000" w:sz="6" w:space="0"/>
            </w:tcBorders>
            <w:vAlign w:val="top"/>
          </w:tcPr>
          <w:p w14:paraId="55D4ED75">
            <w:pPr>
              <w:pStyle w:val="17"/>
              <w:spacing w:before="126" w:line="220" w:lineRule="auto"/>
              <w:ind w:left="706"/>
              <w:rPr>
                <w:color w:val="auto"/>
                <w:sz w:val="21"/>
                <w:szCs w:val="21"/>
                <w:highlight w:val="none"/>
              </w:rPr>
            </w:pPr>
            <w:r>
              <w:rPr>
                <w:color w:val="auto"/>
                <w:spacing w:val="-5"/>
                <w:sz w:val="21"/>
                <w:szCs w:val="21"/>
                <w:highlight w:val="none"/>
              </w:rPr>
              <w:t>得</w:t>
            </w:r>
            <w:r>
              <w:rPr>
                <w:color w:val="auto"/>
                <w:spacing w:val="3"/>
                <w:sz w:val="21"/>
                <w:szCs w:val="21"/>
                <w:highlight w:val="none"/>
              </w:rPr>
              <w:t xml:space="preserve">   </w:t>
            </w:r>
            <w:r>
              <w:rPr>
                <w:color w:val="auto"/>
                <w:spacing w:val="-5"/>
                <w:sz w:val="21"/>
                <w:szCs w:val="21"/>
                <w:highlight w:val="none"/>
              </w:rPr>
              <w:t>分</w:t>
            </w:r>
          </w:p>
        </w:tc>
      </w:tr>
      <w:tr w14:paraId="279D3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vMerge w:val="continue"/>
            <w:tcBorders>
              <w:top w:val="nil"/>
              <w:left w:val="single" w:color="000000" w:sz="6" w:space="0"/>
            </w:tcBorders>
            <w:vAlign w:val="top"/>
          </w:tcPr>
          <w:p w14:paraId="75E9274A">
            <w:pPr>
              <w:rPr>
                <w:rFonts w:ascii="Arial"/>
                <w:color w:val="auto"/>
                <w:sz w:val="21"/>
                <w:highlight w:val="none"/>
              </w:rPr>
            </w:pPr>
          </w:p>
        </w:tc>
        <w:tc>
          <w:tcPr>
            <w:tcW w:w="5800" w:type="dxa"/>
            <w:vMerge w:val="continue"/>
            <w:tcBorders>
              <w:top w:val="nil"/>
            </w:tcBorders>
            <w:vAlign w:val="top"/>
          </w:tcPr>
          <w:p w14:paraId="261111F0">
            <w:pPr>
              <w:rPr>
                <w:rFonts w:ascii="Arial"/>
                <w:color w:val="auto"/>
                <w:sz w:val="21"/>
                <w:highlight w:val="none"/>
              </w:rPr>
            </w:pPr>
          </w:p>
        </w:tc>
        <w:tc>
          <w:tcPr>
            <w:tcW w:w="1132" w:type="dxa"/>
            <w:vAlign w:val="top"/>
          </w:tcPr>
          <w:p w14:paraId="0ED6DB10">
            <w:pPr>
              <w:pStyle w:val="17"/>
              <w:spacing w:before="122" w:line="220" w:lineRule="auto"/>
              <w:ind w:left="368"/>
              <w:rPr>
                <w:color w:val="auto"/>
                <w:sz w:val="21"/>
                <w:szCs w:val="21"/>
                <w:highlight w:val="none"/>
              </w:rPr>
            </w:pPr>
            <w:r>
              <w:rPr>
                <w:color w:val="auto"/>
                <w:spacing w:val="-3"/>
                <w:sz w:val="21"/>
                <w:szCs w:val="21"/>
                <w:highlight w:val="none"/>
              </w:rPr>
              <w:t>最高</w:t>
            </w:r>
          </w:p>
        </w:tc>
        <w:tc>
          <w:tcPr>
            <w:tcW w:w="999" w:type="dxa"/>
            <w:tcBorders>
              <w:right w:val="single" w:color="000000" w:sz="6" w:space="0"/>
            </w:tcBorders>
            <w:vAlign w:val="top"/>
          </w:tcPr>
          <w:p w14:paraId="64761B4B">
            <w:pPr>
              <w:pStyle w:val="17"/>
              <w:spacing w:before="122" w:line="220" w:lineRule="auto"/>
              <w:ind w:left="299"/>
              <w:rPr>
                <w:color w:val="auto"/>
                <w:sz w:val="21"/>
                <w:szCs w:val="21"/>
                <w:highlight w:val="none"/>
              </w:rPr>
            </w:pPr>
            <w:r>
              <w:rPr>
                <w:color w:val="auto"/>
                <w:spacing w:val="-3"/>
                <w:sz w:val="21"/>
                <w:szCs w:val="21"/>
                <w:highlight w:val="none"/>
              </w:rPr>
              <w:t>最低</w:t>
            </w:r>
          </w:p>
        </w:tc>
      </w:tr>
      <w:tr w14:paraId="3B8C3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6A7FD280">
            <w:pPr>
              <w:spacing w:before="160" w:line="188" w:lineRule="auto"/>
              <w:ind w:left="37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5800" w:type="dxa"/>
            <w:vAlign w:val="top"/>
          </w:tcPr>
          <w:p w14:paraId="146029BC">
            <w:pPr>
              <w:pStyle w:val="17"/>
              <w:spacing w:before="162" w:line="158" w:lineRule="auto"/>
              <w:ind w:left="172"/>
              <w:rPr>
                <w:color w:val="auto"/>
                <w:sz w:val="22"/>
                <w:szCs w:val="22"/>
                <w:highlight w:val="none"/>
              </w:rPr>
            </w:pPr>
            <w:r>
              <w:rPr>
                <w:i/>
                <w:iCs/>
                <w:color w:val="auto"/>
                <w:spacing w:val="-16"/>
                <w:sz w:val="22"/>
                <w:szCs w:val="22"/>
                <w:highlight w:val="none"/>
              </w:rPr>
              <w:t>项目管理人员的配备和专业配置</w:t>
            </w:r>
          </w:p>
        </w:tc>
        <w:tc>
          <w:tcPr>
            <w:tcW w:w="1132" w:type="dxa"/>
            <w:vAlign w:val="center"/>
          </w:tcPr>
          <w:p w14:paraId="22D86130">
            <w:pPr>
              <w:jc w:val="center"/>
              <w:rPr>
                <w:rFonts w:ascii="Arial"/>
                <w:color w:val="auto"/>
                <w:sz w:val="21"/>
                <w:highlight w:val="none"/>
              </w:rPr>
            </w:pPr>
            <w:r>
              <w:rPr>
                <w:rFonts w:hint="eastAsia"/>
                <w:color w:val="auto"/>
                <w:highlight w:val="none"/>
                <w:lang w:val="en-US" w:eastAsia="zh-CN"/>
              </w:rPr>
              <w:t>1</w:t>
            </w:r>
          </w:p>
        </w:tc>
        <w:tc>
          <w:tcPr>
            <w:tcW w:w="999" w:type="dxa"/>
            <w:tcBorders>
              <w:right w:val="single" w:color="000000" w:sz="6" w:space="0"/>
            </w:tcBorders>
            <w:vAlign w:val="center"/>
          </w:tcPr>
          <w:p w14:paraId="1E8E80A1">
            <w:pPr>
              <w:jc w:val="center"/>
              <w:rPr>
                <w:rFonts w:ascii="Arial"/>
                <w:color w:val="auto"/>
                <w:sz w:val="21"/>
                <w:highlight w:val="none"/>
              </w:rPr>
            </w:pPr>
            <w:r>
              <w:rPr>
                <w:rFonts w:hint="eastAsia"/>
                <w:color w:val="auto"/>
                <w:highlight w:val="none"/>
                <w:lang w:val="en-US" w:eastAsia="zh-CN"/>
              </w:rPr>
              <w:t>0.6</w:t>
            </w:r>
          </w:p>
        </w:tc>
      </w:tr>
      <w:tr w14:paraId="29E51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vAlign w:val="top"/>
          </w:tcPr>
          <w:p w14:paraId="4F1B4466">
            <w:pPr>
              <w:spacing w:before="162" w:line="188" w:lineRule="auto"/>
              <w:ind w:left="35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5800" w:type="dxa"/>
            <w:vAlign w:val="top"/>
          </w:tcPr>
          <w:p w14:paraId="66A39BE3">
            <w:pPr>
              <w:pStyle w:val="17"/>
              <w:spacing w:before="167" w:line="184" w:lineRule="exact"/>
              <w:ind w:left="145"/>
              <w:rPr>
                <w:color w:val="auto"/>
                <w:sz w:val="22"/>
                <w:szCs w:val="22"/>
                <w:highlight w:val="none"/>
              </w:rPr>
            </w:pPr>
            <w:r>
              <w:rPr>
                <w:i/>
                <w:iCs/>
                <w:color w:val="auto"/>
                <w:spacing w:val="-14"/>
                <w:position w:val="-3"/>
                <w:sz w:val="22"/>
                <w:szCs w:val="22"/>
                <w:highlight w:val="none"/>
              </w:rPr>
              <w:t>施工总平面布置</w:t>
            </w:r>
          </w:p>
        </w:tc>
        <w:tc>
          <w:tcPr>
            <w:tcW w:w="1132" w:type="dxa"/>
            <w:vAlign w:val="center"/>
          </w:tcPr>
          <w:p w14:paraId="4B995369">
            <w:pPr>
              <w:jc w:val="center"/>
              <w:rPr>
                <w:rFonts w:ascii="Arial"/>
                <w:color w:val="auto"/>
                <w:sz w:val="21"/>
                <w:highlight w:val="none"/>
              </w:rPr>
            </w:pPr>
            <w:r>
              <w:rPr>
                <w:rFonts w:hint="eastAsia" w:eastAsia="宋体"/>
                <w:color w:val="auto"/>
                <w:highlight w:val="none"/>
                <w:lang w:val="en-US" w:eastAsia="zh-CN"/>
              </w:rPr>
              <w:t>1</w:t>
            </w:r>
          </w:p>
        </w:tc>
        <w:tc>
          <w:tcPr>
            <w:tcW w:w="999" w:type="dxa"/>
            <w:tcBorders>
              <w:right w:val="single" w:color="000000" w:sz="6" w:space="0"/>
            </w:tcBorders>
            <w:vAlign w:val="center"/>
          </w:tcPr>
          <w:p w14:paraId="51E30F69">
            <w:pPr>
              <w:jc w:val="center"/>
              <w:rPr>
                <w:rFonts w:ascii="Arial"/>
                <w:color w:val="auto"/>
                <w:sz w:val="21"/>
                <w:highlight w:val="none"/>
              </w:rPr>
            </w:pPr>
            <w:r>
              <w:rPr>
                <w:rFonts w:hint="eastAsia"/>
                <w:color w:val="auto"/>
                <w:highlight w:val="none"/>
                <w:lang w:val="en-US" w:eastAsia="zh-CN"/>
              </w:rPr>
              <w:t>0.6</w:t>
            </w:r>
          </w:p>
        </w:tc>
      </w:tr>
      <w:tr w14:paraId="5DAC7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65395B10">
            <w:pPr>
              <w:spacing w:before="163" w:line="188" w:lineRule="auto"/>
              <w:ind w:left="36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5800" w:type="dxa"/>
            <w:vAlign w:val="top"/>
          </w:tcPr>
          <w:p w14:paraId="11301907">
            <w:pPr>
              <w:pStyle w:val="17"/>
              <w:spacing w:before="168" w:line="184" w:lineRule="exact"/>
              <w:ind w:left="142"/>
              <w:rPr>
                <w:color w:val="auto"/>
                <w:sz w:val="22"/>
                <w:szCs w:val="22"/>
                <w:highlight w:val="none"/>
              </w:rPr>
            </w:pPr>
            <w:r>
              <w:rPr>
                <w:i/>
                <w:iCs/>
                <w:color w:val="auto"/>
                <w:spacing w:val="-14"/>
                <w:position w:val="-3"/>
                <w:sz w:val="22"/>
                <w:szCs w:val="22"/>
                <w:highlight w:val="none"/>
              </w:rPr>
              <w:t>施工进度计划</w:t>
            </w:r>
          </w:p>
        </w:tc>
        <w:tc>
          <w:tcPr>
            <w:tcW w:w="1132" w:type="dxa"/>
            <w:vAlign w:val="center"/>
          </w:tcPr>
          <w:p w14:paraId="72B94FA8">
            <w:pPr>
              <w:jc w:val="center"/>
              <w:rPr>
                <w:rFonts w:ascii="Arial"/>
                <w:color w:val="auto"/>
                <w:sz w:val="21"/>
                <w:highlight w:val="none"/>
              </w:rPr>
            </w:pPr>
            <w:r>
              <w:rPr>
                <w:rFonts w:hint="eastAsia" w:eastAsia="宋体"/>
                <w:color w:val="auto"/>
                <w:highlight w:val="none"/>
                <w:lang w:val="en-US" w:eastAsia="zh-CN"/>
              </w:rPr>
              <w:t>2</w:t>
            </w:r>
          </w:p>
        </w:tc>
        <w:tc>
          <w:tcPr>
            <w:tcW w:w="999" w:type="dxa"/>
            <w:tcBorders>
              <w:right w:val="single" w:color="000000" w:sz="6" w:space="0"/>
            </w:tcBorders>
            <w:vAlign w:val="center"/>
          </w:tcPr>
          <w:p w14:paraId="14CFED15">
            <w:pPr>
              <w:jc w:val="center"/>
              <w:rPr>
                <w:rFonts w:ascii="Arial"/>
                <w:color w:val="auto"/>
                <w:sz w:val="21"/>
                <w:highlight w:val="none"/>
              </w:rPr>
            </w:pPr>
            <w:r>
              <w:rPr>
                <w:rFonts w:hint="eastAsia" w:eastAsia="宋体"/>
                <w:color w:val="auto"/>
                <w:highlight w:val="none"/>
                <w:lang w:val="en-US" w:eastAsia="zh-CN"/>
              </w:rPr>
              <w:t>1.2</w:t>
            </w:r>
          </w:p>
        </w:tc>
      </w:tr>
      <w:tr w14:paraId="562224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090B0D4A">
            <w:pPr>
              <w:spacing w:before="164" w:line="188" w:lineRule="auto"/>
              <w:ind w:left="35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4</w:t>
            </w:r>
          </w:p>
        </w:tc>
        <w:tc>
          <w:tcPr>
            <w:tcW w:w="5800" w:type="dxa"/>
            <w:vAlign w:val="top"/>
          </w:tcPr>
          <w:p w14:paraId="1A7CFE3F">
            <w:pPr>
              <w:pStyle w:val="17"/>
              <w:spacing w:before="168" w:line="184" w:lineRule="exact"/>
              <w:ind w:left="146"/>
              <w:rPr>
                <w:color w:val="auto"/>
                <w:sz w:val="22"/>
                <w:szCs w:val="22"/>
                <w:highlight w:val="none"/>
              </w:rPr>
            </w:pPr>
            <w:r>
              <w:rPr>
                <w:i/>
                <w:iCs/>
                <w:color w:val="auto"/>
                <w:spacing w:val="-14"/>
                <w:position w:val="-2"/>
                <w:sz w:val="22"/>
                <w:szCs w:val="22"/>
                <w:highlight w:val="none"/>
              </w:rPr>
              <w:t>施工质量的控制</w:t>
            </w:r>
          </w:p>
        </w:tc>
        <w:tc>
          <w:tcPr>
            <w:tcW w:w="1132" w:type="dxa"/>
            <w:vAlign w:val="center"/>
          </w:tcPr>
          <w:p w14:paraId="0E8EF7FC">
            <w:pPr>
              <w:jc w:val="center"/>
              <w:rPr>
                <w:rFonts w:ascii="Arial"/>
                <w:color w:val="auto"/>
                <w:sz w:val="21"/>
                <w:highlight w:val="none"/>
              </w:rPr>
            </w:pPr>
            <w:r>
              <w:rPr>
                <w:rFonts w:hint="eastAsia" w:eastAsia="宋体"/>
                <w:color w:val="auto"/>
                <w:highlight w:val="none"/>
                <w:lang w:val="en-US" w:eastAsia="zh-CN"/>
              </w:rPr>
              <w:t>2</w:t>
            </w:r>
          </w:p>
        </w:tc>
        <w:tc>
          <w:tcPr>
            <w:tcW w:w="999" w:type="dxa"/>
            <w:tcBorders>
              <w:right w:val="single" w:color="000000" w:sz="6" w:space="0"/>
            </w:tcBorders>
            <w:vAlign w:val="center"/>
          </w:tcPr>
          <w:p w14:paraId="6AA0826E">
            <w:pPr>
              <w:jc w:val="center"/>
              <w:rPr>
                <w:rFonts w:ascii="Arial"/>
                <w:color w:val="auto"/>
                <w:sz w:val="21"/>
                <w:highlight w:val="none"/>
              </w:rPr>
            </w:pPr>
            <w:r>
              <w:rPr>
                <w:rFonts w:hint="eastAsia" w:eastAsia="宋体"/>
                <w:color w:val="auto"/>
                <w:highlight w:val="none"/>
                <w:lang w:val="en-US" w:eastAsia="zh-CN"/>
              </w:rPr>
              <w:t>1.2</w:t>
            </w:r>
          </w:p>
        </w:tc>
      </w:tr>
      <w:tr w14:paraId="6BF65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vAlign w:val="top"/>
          </w:tcPr>
          <w:p w14:paraId="6FF2EC0E">
            <w:pPr>
              <w:spacing w:before="168" w:line="185" w:lineRule="auto"/>
              <w:ind w:left="36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5800" w:type="dxa"/>
            <w:vAlign w:val="top"/>
          </w:tcPr>
          <w:p w14:paraId="4D6764ED">
            <w:pPr>
              <w:pStyle w:val="17"/>
              <w:spacing w:before="169" w:line="187" w:lineRule="exact"/>
              <w:ind w:left="163"/>
              <w:rPr>
                <w:color w:val="auto"/>
                <w:sz w:val="22"/>
                <w:szCs w:val="22"/>
                <w:highlight w:val="none"/>
              </w:rPr>
            </w:pPr>
            <w:r>
              <w:rPr>
                <w:i/>
                <w:iCs/>
                <w:color w:val="auto"/>
                <w:spacing w:val="-16"/>
                <w:position w:val="-1"/>
                <w:sz w:val="22"/>
                <w:szCs w:val="22"/>
                <w:highlight w:val="none"/>
              </w:rPr>
              <w:t>施工设备和检验仪器的投入</w:t>
            </w:r>
          </w:p>
        </w:tc>
        <w:tc>
          <w:tcPr>
            <w:tcW w:w="1132" w:type="dxa"/>
            <w:vAlign w:val="center"/>
          </w:tcPr>
          <w:p w14:paraId="4462C660">
            <w:pPr>
              <w:jc w:val="center"/>
              <w:rPr>
                <w:rFonts w:ascii="Arial"/>
                <w:color w:val="auto"/>
                <w:sz w:val="21"/>
                <w:highlight w:val="none"/>
              </w:rPr>
            </w:pPr>
            <w:r>
              <w:rPr>
                <w:rFonts w:hint="eastAsia"/>
                <w:color w:val="auto"/>
                <w:highlight w:val="none"/>
                <w:lang w:val="en-US" w:eastAsia="zh-CN"/>
              </w:rPr>
              <w:t>2</w:t>
            </w:r>
          </w:p>
        </w:tc>
        <w:tc>
          <w:tcPr>
            <w:tcW w:w="999" w:type="dxa"/>
            <w:tcBorders>
              <w:right w:val="single" w:color="000000" w:sz="6" w:space="0"/>
            </w:tcBorders>
            <w:vAlign w:val="center"/>
          </w:tcPr>
          <w:p w14:paraId="695B8B31">
            <w:pPr>
              <w:jc w:val="center"/>
              <w:rPr>
                <w:rFonts w:ascii="Arial"/>
                <w:color w:val="auto"/>
                <w:sz w:val="21"/>
                <w:highlight w:val="none"/>
              </w:rPr>
            </w:pPr>
            <w:r>
              <w:rPr>
                <w:rFonts w:hint="eastAsia" w:eastAsia="宋体"/>
                <w:color w:val="auto"/>
                <w:highlight w:val="none"/>
                <w:lang w:val="en-US" w:eastAsia="zh-CN"/>
              </w:rPr>
              <w:t>1.2</w:t>
            </w:r>
          </w:p>
        </w:tc>
      </w:tr>
      <w:tr w14:paraId="2A09D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1A89AD5B">
            <w:pPr>
              <w:spacing w:before="167" w:line="188" w:lineRule="auto"/>
              <w:ind w:left="36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6</w:t>
            </w:r>
          </w:p>
        </w:tc>
        <w:tc>
          <w:tcPr>
            <w:tcW w:w="5800" w:type="dxa"/>
            <w:vAlign w:val="top"/>
          </w:tcPr>
          <w:p w14:paraId="1581D012">
            <w:pPr>
              <w:pStyle w:val="17"/>
              <w:spacing w:before="171" w:line="186" w:lineRule="exact"/>
              <w:ind w:left="170"/>
              <w:rPr>
                <w:color w:val="auto"/>
                <w:sz w:val="22"/>
                <w:szCs w:val="22"/>
                <w:highlight w:val="none"/>
              </w:rPr>
            </w:pPr>
            <w:r>
              <w:rPr>
                <w:i/>
                <w:iCs/>
                <w:color w:val="auto"/>
                <w:spacing w:val="-16"/>
                <w:position w:val="-1"/>
                <w:sz w:val="22"/>
                <w:szCs w:val="22"/>
                <w:highlight w:val="none"/>
              </w:rPr>
              <w:t>各专业工种的配置和劳动力的投入</w:t>
            </w:r>
          </w:p>
        </w:tc>
        <w:tc>
          <w:tcPr>
            <w:tcW w:w="1132" w:type="dxa"/>
            <w:vAlign w:val="center"/>
          </w:tcPr>
          <w:p w14:paraId="2ADC8BA9">
            <w:pPr>
              <w:jc w:val="center"/>
              <w:rPr>
                <w:rFonts w:ascii="Arial"/>
                <w:color w:val="auto"/>
                <w:sz w:val="21"/>
                <w:highlight w:val="none"/>
              </w:rPr>
            </w:pPr>
            <w:r>
              <w:rPr>
                <w:rFonts w:hint="eastAsia"/>
                <w:color w:val="auto"/>
                <w:highlight w:val="none"/>
                <w:lang w:val="en-US" w:eastAsia="zh-CN"/>
              </w:rPr>
              <w:t>1</w:t>
            </w:r>
          </w:p>
        </w:tc>
        <w:tc>
          <w:tcPr>
            <w:tcW w:w="999" w:type="dxa"/>
            <w:tcBorders>
              <w:right w:val="single" w:color="000000" w:sz="6" w:space="0"/>
            </w:tcBorders>
            <w:vAlign w:val="center"/>
          </w:tcPr>
          <w:p w14:paraId="652A2129">
            <w:pPr>
              <w:jc w:val="center"/>
              <w:rPr>
                <w:rFonts w:ascii="Arial"/>
                <w:color w:val="auto"/>
                <w:sz w:val="21"/>
                <w:highlight w:val="none"/>
              </w:rPr>
            </w:pPr>
            <w:r>
              <w:rPr>
                <w:rFonts w:hint="eastAsia"/>
                <w:color w:val="auto"/>
                <w:highlight w:val="none"/>
                <w:lang w:val="en-US" w:eastAsia="zh-CN"/>
              </w:rPr>
              <w:t>0.6</w:t>
            </w:r>
          </w:p>
        </w:tc>
      </w:tr>
      <w:tr w14:paraId="0DA7D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30F1299E">
            <w:pPr>
              <w:spacing w:before="171" w:line="185" w:lineRule="auto"/>
              <w:ind w:left="35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7</w:t>
            </w:r>
          </w:p>
        </w:tc>
        <w:tc>
          <w:tcPr>
            <w:tcW w:w="5800" w:type="dxa"/>
            <w:vAlign w:val="top"/>
          </w:tcPr>
          <w:p w14:paraId="78144E27">
            <w:pPr>
              <w:pStyle w:val="17"/>
              <w:spacing w:before="172" w:line="185" w:lineRule="exact"/>
              <w:ind w:left="170"/>
              <w:rPr>
                <w:color w:val="auto"/>
                <w:sz w:val="22"/>
                <w:szCs w:val="22"/>
                <w:highlight w:val="none"/>
              </w:rPr>
            </w:pPr>
            <w:r>
              <w:rPr>
                <w:i/>
                <w:iCs/>
                <w:color w:val="auto"/>
                <w:spacing w:val="-16"/>
                <w:position w:val="-1"/>
                <w:sz w:val="22"/>
                <w:szCs w:val="22"/>
                <w:highlight w:val="none"/>
              </w:rPr>
              <w:t>工程的关键部位和关键施工方案</w:t>
            </w:r>
          </w:p>
        </w:tc>
        <w:tc>
          <w:tcPr>
            <w:tcW w:w="1132" w:type="dxa"/>
            <w:vAlign w:val="center"/>
          </w:tcPr>
          <w:p w14:paraId="30D17C76">
            <w:pPr>
              <w:jc w:val="center"/>
              <w:rPr>
                <w:rFonts w:ascii="Arial"/>
                <w:color w:val="auto"/>
                <w:sz w:val="21"/>
                <w:highlight w:val="none"/>
              </w:rPr>
            </w:pPr>
            <w:r>
              <w:rPr>
                <w:rFonts w:hint="eastAsia"/>
                <w:color w:val="auto"/>
                <w:highlight w:val="none"/>
                <w:lang w:val="en-US" w:eastAsia="zh-CN"/>
              </w:rPr>
              <w:t>2</w:t>
            </w:r>
          </w:p>
        </w:tc>
        <w:tc>
          <w:tcPr>
            <w:tcW w:w="999" w:type="dxa"/>
            <w:tcBorders>
              <w:right w:val="single" w:color="000000" w:sz="6" w:space="0"/>
            </w:tcBorders>
            <w:vAlign w:val="center"/>
          </w:tcPr>
          <w:p w14:paraId="20B18578">
            <w:pPr>
              <w:jc w:val="center"/>
              <w:rPr>
                <w:rFonts w:ascii="Arial"/>
                <w:color w:val="auto"/>
                <w:sz w:val="21"/>
                <w:highlight w:val="none"/>
              </w:rPr>
            </w:pPr>
            <w:r>
              <w:rPr>
                <w:rFonts w:hint="eastAsia" w:eastAsia="宋体"/>
                <w:color w:val="auto"/>
                <w:highlight w:val="none"/>
                <w:lang w:val="en-US" w:eastAsia="zh-CN"/>
              </w:rPr>
              <w:t>1.2</w:t>
            </w:r>
          </w:p>
        </w:tc>
      </w:tr>
      <w:tr w14:paraId="49E85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8" w:type="dxa"/>
            <w:tcBorders>
              <w:left w:val="single" w:color="000000" w:sz="6" w:space="0"/>
            </w:tcBorders>
            <w:vAlign w:val="top"/>
          </w:tcPr>
          <w:p w14:paraId="17B2FA6D">
            <w:pPr>
              <w:spacing w:before="169" w:line="188" w:lineRule="auto"/>
              <w:ind w:left="36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8</w:t>
            </w:r>
          </w:p>
        </w:tc>
        <w:tc>
          <w:tcPr>
            <w:tcW w:w="5800" w:type="dxa"/>
            <w:vAlign w:val="top"/>
          </w:tcPr>
          <w:p w14:paraId="60622718">
            <w:pPr>
              <w:pStyle w:val="17"/>
              <w:spacing w:before="177" w:line="166" w:lineRule="auto"/>
              <w:ind w:left="162"/>
              <w:rPr>
                <w:color w:val="auto"/>
                <w:sz w:val="22"/>
                <w:szCs w:val="22"/>
                <w:highlight w:val="none"/>
              </w:rPr>
            </w:pPr>
            <w:r>
              <w:rPr>
                <w:i/>
                <w:iCs/>
                <w:color w:val="auto"/>
                <w:spacing w:val="-16"/>
                <w:sz w:val="22"/>
                <w:szCs w:val="22"/>
                <w:highlight w:val="none"/>
              </w:rPr>
              <w:t>安全、文明施工</w:t>
            </w:r>
            <w:r>
              <w:rPr>
                <w:i/>
                <w:iCs/>
                <w:color w:val="auto"/>
                <w:spacing w:val="-16"/>
                <w:sz w:val="22"/>
                <w:szCs w:val="22"/>
                <w:highlight w:val="none"/>
                <w:lang w:eastAsia="zh-CN"/>
              </w:rPr>
              <w:t>及</w:t>
            </w:r>
            <w:r>
              <w:rPr>
                <w:rFonts w:hint="eastAsia"/>
                <w:i/>
                <w:iCs/>
                <w:color w:val="auto"/>
                <w:spacing w:val="-16"/>
                <w:sz w:val="22"/>
                <w:szCs w:val="22"/>
                <w:highlight w:val="none"/>
                <w:lang w:eastAsia="zh-CN"/>
              </w:rPr>
              <w:t>扬尘控制</w:t>
            </w:r>
          </w:p>
        </w:tc>
        <w:tc>
          <w:tcPr>
            <w:tcW w:w="1132" w:type="dxa"/>
            <w:vAlign w:val="center"/>
          </w:tcPr>
          <w:p w14:paraId="363094CD">
            <w:pPr>
              <w:jc w:val="center"/>
              <w:rPr>
                <w:rFonts w:ascii="Arial"/>
                <w:color w:val="auto"/>
                <w:sz w:val="21"/>
                <w:highlight w:val="none"/>
              </w:rPr>
            </w:pPr>
            <w:r>
              <w:rPr>
                <w:rFonts w:hint="eastAsia"/>
                <w:color w:val="auto"/>
                <w:highlight w:val="none"/>
                <w:lang w:val="en-US" w:eastAsia="zh-CN"/>
              </w:rPr>
              <w:t>1</w:t>
            </w:r>
          </w:p>
        </w:tc>
        <w:tc>
          <w:tcPr>
            <w:tcW w:w="999" w:type="dxa"/>
            <w:tcBorders>
              <w:right w:val="single" w:color="000000" w:sz="6" w:space="0"/>
            </w:tcBorders>
            <w:vAlign w:val="center"/>
          </w:tcPr>
          <w:p w14:paraId="69F6D4D4">
            <w:pPr>
              <w:jc w:val="center"/>
              <w:rPr>
                <w:rFonts w:ascii="Arial"/>
                <w:color w:val="auto"/>
                <w:sz w:val="21"/>
                <w:highlight w:val="none"/>
              </w:rPr>
            </w:pPr>
            <w:r>
              <w:rPr>
                <w:rFonts w:hint="eastAsia"/>
                <w:color w:val="auto"/>
                <w:highlight w:val="none"/>
                <w:lang w:val="en-US" w:eastAsia="zh-CN"/>
              </w:rPr>
              <w:t>0.6</w:t>
            </w:r>
          </w:p>
        </w:tc>
      </w:tr>
      <w:tr w14:paraId="46E18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28" w:type="dxa"/>
            <w:tcBorders>
              <w:left w:val="single" w:color="000000" w:sz="6" w:space="0"/>
            </w:tcBorders>
            <w:vAlign w:val="top"/>
          </w:tcPr>
          <w:p w14:paraId="28C68EFA">
            <w:pPr>
              <w:spacing w:before="171" w:line="188" w:lineRule="auto"/>
              <w:ind w:left="360"/>
              <w:rPr>
                <w:rFonts w:ascii="Times New Roman" w:hAnsi="Times New Roman" w:eastAsia="Times New Roman" w:cs="Times New Roman"/>
                <w:color w:val="auto"/>
                <w:sz w:val="21"/>
                <w:szCs w:val="21"/>
                <w:highlight w:val="none"/>
              </w:rPr>
            </w:pPr>
          </w:p>
        </w:tc>
        <w:tc>
          <w:tcPr>
            <w:tcW w:w="5800" w:type="dxa"/>
            <w:vAlign w:val="top"/>
          </w:tcPr>
          <w:p w14:paraId="1DB4C6D5">
            <w:pPr>
              <w:spacing w:before="294" w:line="66" w:lineRule="exact"/>
              <w:ind w:left="123"/>
              <w:rPr>
                <w:rFonts w:ascii="Times New Roman" w:hAnsi="Times New Roman" w:eastAsia="Times New Roman" w:cs="Times New Roman"/>
                <w:color w:val="auto"/>
                <w:sz w:val="21"/>
                <w:szCs w:val="21"/>
                <w:highlight w:val="none"/>
              </w:rPr>
            </w:pPr>
            <w:r>
              <w:rPr>
                <w:color w:val="auto"/>
                <w:spacing w:val="-5"/>
                <w:sz w:val="21"/>
                <w:szCs w:val="21"/>
                <w:highlight w:val="none"/>
              </w:rPr>
              <w:t>合</w:t>
            </w:r>
            <w:r>
              <w:rPr>
                <w:color w:val="auto"/>
                <w:spacing w:val="4"/>
                <w:sz w:val="21"/>
                <w:szCs w:val="21"/>
                <w:highlight w:val="none"/>
              </w:rPr>
              <w:t xml:space="preserve">  </w:t>
            </w:r>
            <w:r>
              <w:rPr>
                <w:color w:val="auto"/>
                <w:spacing w:val="-5"/>
                <w:sz w:val="21"/>
                <w:szCs w:val="21"/>
                <w:highlight w:val="none"/>
              </w:rPr>
              <w:t>计</w:t>
            </w:r>
          </w:p>
        </w:tc>
        <w:tc>
          <w:tcPr>
            <w:tcW w:w="1132" w:type="dxa"/>
            <w:vAlign w:val="center"/>
          </w:tcPr>
          <w:p w14:paraId="33E5F0A1">
            <w:pPr>
              <w:jc w:val="center"/>
              <w:rPr>
                <w:rFonts w:ascii="Arial"/>
                <w:color w:val="auto"/>
                <w:sz w:val="21"/>
                <w:highlight w:val="none"/>
              </w:rPr>
            </w:pPr>
            <w:r>
              <w:rPr>
                <w:rFonts w:hint="eastAsia" w:eastAsia="宋体"/>
                <w:color w:val="auto"/>
                <w:highlight w:val="none"/>
                <w:lang w:val="en-US" w:eastAsia="zh-CN"/>
              </w:rPr>
              <w:t>12</w:t>
            </w:r>
          </w:p>
        </w:tc>
        <w:tc>
          <w:tcPr>
            <w:tcW w:w="999" w:type="dxa"/>
            <w:tcBorders>
              <w:right w:val="single" w:color="000000" w:sz="6" w:space="0"/>
            </w:tcBorders>
            <w:vAlign w:val="center"/>
          </w:tcPr>
          <w:p w14:paraId="3910BAD8">
            <w:pPr>
              <w:jc w:val="center"/>
              <w:rPr>
                <w:rFonts w:ascii="Arial"/>
                <w:color w:val="auto"/>
                <w:sz w:val="21"/>
                <w:highlight w:val="none"/>
              </w:rPr>
            </w:pPr>
            <w:r>
              <w:rPr>
                <w:rFonts w:hint="eastAsia" w:eastAsia="宋体"/>
                <w:color w:val="auto"/>
                <w:highlight w:val="none"/>
                <w:lang w:val="en-US" w:eastAsia="zh-CN"/>
              </w:rPr>
              <w:t>7.2</w:t>
            </w:r>
          </w:p>
        </w:tc>
      </w:tr>
    </w:tbl>
    <w:p w14:paraId="4A2CC9B3">
      <w:pPr>
        <w:spacing w:before="32" w:line="213" w:lineRule="auto"/>
        <w:ind w:left="938"/>
        <w:rPr>
          <w:rFonts w:ascii="宋体" w:hAnsi="宋体" w:eastAsia="宋体" w:cs="宋体"/>
          <w:color w:val="auto"/>
          <w:sz w:val="22"/>
          <w:szCs w:val="22"/>
          <w:highlight w:val="none"/>
        </w:rPr>
      </w:pPr>
      <w:r>
        <w:rPr>
          <w:rFonts w:ascii="黑体" w:hAnsi="黑体" w:eastAsia="黑体" w:cs="黑体"/>
          <w:i/>
          <w:iCs/>
          <w:color w:val="auto"/>
          <w:spacing w:val="-17"/>
          <w:sz w:val="22"/>
          <w:szCs w:val="22"/>
          <w:highlight w:val="none"/>
        </w:rPr>
        <w:t>注：</w:t>
      </w:r>
      <w:r>
        <w:rPr>
          <w:rFonts w:ascii="黑体" w:hAnsi="黑体" w:eastAsia="黑体" w:cs="黑体"/>
          <w:color w:val="auto"/>
          <w:spacing w:val="-34"/>
          <w:sz w:val="22"/>
          <w:szCs w:val="22"/>
          <w:highlight w:val="none"/>
        </w:rPr>
        <w:t xml:space="preserve"> </w:t>
      </w:r>
      <w:r>
        <w:rPr>
          <w:rFonts w:ascii="宋体" w:hAnsi="宋体" w:eastAsia="宋体" w:cs="宋体"/>
          <w:i/>
          <w:iCs/>
          <w:color w:val="auto"/>
          <w:spacing w:val="-17"/>
          <w:sz w:val="22"/>
          <w:szCs w:val="22"/>
          <w:highlight w:val="none"/>
        </w:rPr>
        <w:t>技术评审内容可根据项目实际情况进行调整。</w:t>
      </w:r>
    </w:p>
    <w:p w14:paraId="2F47B91A">
      <w:pPr>
        <w:spacing w:before="160" w:line="223" w:lineRule="auto"/>
        <w:ind w:left="441"/>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  </w:t>
      </w:r>
      <w:r>
        <w:rPr>
          <w:rFonts w:ascii="楷体" w:hAnsi="楷体" w:eastAsia="楷体" w:cs="楷体"/>
          <w:b/>
          <w:bCs/>
          <w:strike/>
          <w:dstrike w:val="0"/>
          <w:color w:val="auto"/>
          <w:spacing w:val="-2"/>
          <w:sz w:val="24"/>
          <w:szCs w:val="24"/>
          <w:highlight w:val="none"/>
        </w:rPr>
        <w:t>投标文件的资信评分</w:t>
      </w:r>
    </w:p>
    <w:p w14:paraId="3DDC4F9E">
      <w:pPr>
        <w:spacing w:before="176" w:line="359" w:lineRule="auto"/>
        <w:ind w:left="465" w:right="236" w:firstLine="47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投标文件的资信评分包括投标人的诚信、企业信用等级。</w:t>
      </w:r>
      <w:r>
        <w:rPr>
          <w:rFonts w:ascii="宋体" w:hAnsi="宋体" w:eastAsia="宋体" w:cs="宋体"/>
          <w:color w:val="auto"/>
          <w:spacing w:val="-4"/>
          <w:sz w:val="24"/>
          <w:szCs w:val="24"/>
          <w:highlight w:val="none"/>
        </w:rPr>
        <w:t>评标委员会全体成员查</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阅投标文件及相关证明材料并进行集体讨论后</w:t>
      </w:r>
      <w:r>
        <w:rPr>
          <w:rFonts w:ascii="宋体" w:hAnsi="宋体" w:eastAsia="宋体" w:cs="宋体"/>
          <w:color w:val="auto"/>
          <w:spacing w:val="-3"/>
          <w:sz w:val="24"/>
          <w:szCs w:val="24"/>
          <w:highlight w:val="none"/>
        </w:rPr>
        <w:t>统一评分。</w:t>
      </w:r>
    </w:p>
    <w:p w14:paraId="18CB69F4">
      <w:pPr>
        <w:spacing w:before="1" w:line="218" w:lineRule="auto"/>
        <w:ind w:left="92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 投标人诚信（采用扣分法，扣分不设分值限定，以实际次数扣分</w:t>
      </w:r>
      <w:r>
        <w:rPr>
          <w:rFonts w:ascii="宋体" w:hAnsi="宋体" w:eastAsia="宋体" w:cs="宋体"/>
          <w:strike/>
          <w:dstrike w:val="0"/>
          <w:color w:val="auto"/>
          <w:spacing w:val="4"/>
          <w:sz w:val="24"/>
          <w:szCs w:val="24"/>
          <w:highlight w:val="none"/>
        </w:rPr>
        <w:t>）：</w:t>
      </w:r>
    </w:p>
    <w:p w14:paraId="06107A78">
      <w:pPr>
        <w:spacing w:before="182" w:line="359" w:lineRule="auto"/>
        <w:ind w:left="443" w:right="234" w:firstLine="48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投标人在投标截止时间前被浙江省发展改革委作出行政处罚决定且在公告期限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8"/>
          <w:sz w:val="24"/>
          <w:szCs w:val="24"/>
          <w:highlight w:val="none"/>
        </w:rPr>
        <w:t>内的，每次扣</w:t>
      </w:r>
      <w:r>
        <w:rPr>
          <w:rFonts w:ascii="Times New Roman" w:hAnsi="Times New Roman" w:eastAsia="Times New Roman" w:cs="Times New Roman"/>
          <w:strike/>
          <w:dstrike w:val="0"/>
          <w:color w:val="auto"/>
          <w:spacing w:val="-18"/>
          <w:sz w:val="24"/>
          <w:szCs w:val="24"/>
          <w:highlight w:val="none"/>
        </w:rPr>
        <w:t>1</w:t>
      </w:r>
      <w:r>
        <w:rPr>
          <w:rFonts w:ascii="宋体" w:hAnsi="宋体" w:eastAsia="宋体" w:cs="宋体"/>
          <w:strike/>
          <w:dstrike w:val="0"/>
          <w:color w:val="auto"/>
          <w:spacing w:val="-18"/>
          <w:sz w:val="24"/>
          <w:szCs w:val="24"/>
          <w:highlight w:val="none"/>
        </w:rPr>
        <w:t>分；以浙江政务服务网行政处罚结果信息公开内容为准，时间以省发展改革</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4"/>
          <w:sz w:val="24"/>
          <w:szCs w:val="24"/>
          <w:highlight w:val="none"/>
        </w:rPr>
        <w:t>委作出处理决定的时间为准。</w:t>
      </w:r>
    </w:p>
    <w:p w14:paraId="3AD141BF">
      <w:pPr>
        <w:spacing w:before="1" w:line="219" w:lineRule="auto"/>
        <w:ind w:left="920"/>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、企业信用等级最高评分为</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分，具体分值见下表：</w:t>
      </w:r>
    </w:p>
    <w:p w14:paraId="43B0C81F">
      <w:pPr>
        <w:spacing w:line="145" w:lineRule="exact"/>
        <w:rPr>
          <w:color w:val="auto"/>
          <w:highlight w:val="none"/>
        </w:rPr>
      </w:pPr>
    </w:p>
    <w:tbl>
      <w:tblPr>
        <w:tblStyle w:val="16"/>
        <w:tblW w:w="944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9"/>
        <w:gridCol w:w="7218"/>
        <w:gridCol w:w="1107"/>
      </w:tblGrid>
      <w:tr w14:paraId="0E399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19" w:type="dxa"/>
            <w:tcBorders>
              <w:top w:val="single" w:color="000000" w:sz="6" w:space="0"/>
              <w:left w:val="single" w:color="000000" w:sz="6" w:space="0"/>
            </w:tcBorders>
            <w:vAlign w:val="top"/>
          </w:tcPr>
          <w:p w14:paraId="590F3140">
            <w:pPr>
              <w:pStyle w:val="17"/>
              <w:spacing w:before="127" w:line="221" w:lineRule="auto"/>
              <w:ind w:left="347"/>
              <w:rPr>
                <w:color w:val="auto"/>
                <w:sz w:val="21"/>
                <w:szCs w:val="21"/>
                <w:highlight w:val="none"/>
              </w:rPr>
            </w:pPr>
            <w:r>
              <w:rPr>
                <w:color w:val="auto"/>
                <w:spacing w:val="-2"/>
                <w:sz w:val="21"/>
                <w:szCs w:val="21"/>
                <w:highlight w:val="none"/>
              </w:rPr>
              <w:t>序号</w:t>
            </w:r>
          </w:p>
        </w:tc>
        <w:tc>
          <w:tcPr>
            <w:tcW w:w="7218" w:type="dxa"/>
            <w:tcBorders>
              <w:top w:val="single" w:color="000000" w:sz="6" w:space="0"/>
            </w:tcBorders>
            <w:vAlign w:val="top"/>
          </w:tcPr>
          <w:p w14:paraId="4EB5E139">
            <w:pPr>
              <w:pStyle w:val="17"/>
              <w:spacing w:before="126" w:line="220" w:lineRule="auto"/>
              <w:ind w:left="3219"/>
              <w:rPr>
                <w:color w:val="auto"/>
                <w:sz w:val="21"/>
                <w:szCs w:val="21"/>
                <w:highlight w:val="none"/>
              </w:rPr>
            </w:pPr>
            <w:r>
              <w:rPr>
                <w:color w:val="auto"/>
                <w:spacing w:val="-17"/>
                <w:sz w:val="21"/>
                <w:szCs w:val="21"/>
                <w:highlight w:val="none"/>
              </w:rPr>
              <w:t>内</w:t>
            </w:r>
            <w:r>
              <w:rPr>
                <w:color w:val="auto"/>
                <w:spacing w:val="2"/>
                <w:sz w:val="21"/>
                <w:szCs w:val="21"/>
                <w:highlight w:val="none"/>
              </w:rPr>
              <w:t xml:space="preserve">    </w:t>
            </w:r>
            <w:r>
              <w:rPr>
                <w:color w:val="auto"/>
                <w:spacing w:val="-17"/>
                <w:sz w:val="21"/>
                <w:szCs w:val="21"/>
                <w:highlight w:val="none"/>
              </w:rPr>
              <w:t>容</w:t>
            </w:r>
          </w:p>
        </w:tc>
        <w:tc>
          <w:tcPr>
            <w:tcW w:w="1107" w:type="dxa"/>
            <w:tcBorders>
              <w:top w:val="single" w:color="000000" w:sz="6" w:space="0"/>
              <w:right w:val="single" w:color="000000" w:sz="6" w:space="0"/>
            </w:tcBorders>
            <w:vAlign w:val="top"/>
          </w:tcPr>
          <w:p w14:paraId="6A808C79">
            <w:pPr>
              <w:pStyle w:val="17"/>
              <w:spacing w:before="126" w:line="220" w:lineRule="auto"/>
              <w:ind w:left="352"/>
              <w:rPr>
                <w:color w:val="auto"/>
                <w:sz w:val="21"/>
                <w:szCs w:val="21"/>
                <w:highlight w:val="none"/>
              </w:rPr>
            </w:pPr>
            <w:r>
              <w:rPr>
                <w:color w:val="auto"/>
                <w:spacing w:val="-3"/>
                <w:sz w:val="21"/>
                <w:szCs w:val="21"/>
                <w:highlight w:val="none"/>
              </w:rPr>
              <w:t>得分</w:t>
            </w:r>
          </w:p>
        </w:tc>
      </w:tr>
      <w:tr w14:paraId="5F33E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1119" w:type="dxa"/>
            <w:tcBorders>
              <w:left w:val="single" w:color="000000" w:sz="6" w:space="0"/>
            </w:tcBorders>
            <w:vAlign w:val="top"/>
          </w:tcPr>
          <w:p w14:paraId="26903096">
            <w:pPr>
              <w:spacing w:line="278" w:lineRule="auto"/>
              <w:rPr>
                <w:rFonts w:ascii="Arial"/>
                <w:color w:val="auto"/>
                <w:sz w:val="21"/>
                <w:highlight w:val="none"/>
              </w:rPr>
            </w:pPr>
          </w:p>
          <w:p w14:paraId="12D4C3E7">
            <w:pPr>
              <w:spacing w:before="60" w:line="188" w:lineRule="auto"/>
              <w:ind w:left="52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7218" w:type="dxa"/>
            <w:vAlign w:val="top"/>
          </w:tcPr>
          <w:p w14:paraId="6E2B0738">
            <w:pPr>
              <w:pStyle w:val="17"/>
              <w:spacing w:before="32" w:line="239" w:lineRule="auto"/>
              <w:ind w:left="107" w:right="183" w:firstLine="4"/>
              <w:rPr>
                <w:color w:val="auto"/>
                <w:sz w:val="21"/>
                <w:szCs w:val="21"/>
                <w:highlight w:val="none"/>
              </w:rPr>
            </w:pPr>
            <w:r>
              <w:rPr>
                <w:color w:val="auto"/>
                <w:sz w:val="21"/>
                <w:szCs w:val="21"/>
                <w:highlight w:val="none"/>
              </w:rPr>
              <w:t>企业信用等级（由招标人</w:t>
            </w:r>
            <w:r>
              <w:rPr>
                <w:strike w:val="0"/>
                <w:dstrike w:val="0"/>
                <w:color w:val="auto"/>
                <w:sz w:val="21"/>
                <w:szCs w:val="21"/>
                <w:highlight w:val="none"/>
              </w:rPr>
              <w:t>自主选用全国水利建</w:t>
            </w:r>
            <w:r>
              <w:rPr>
                <w:strike w:val="0"/>
                <w:dstrike w:val="0"/>
                <w:color w:val="auto"/>
                <w:spacing w:val="-1"/>
                <w:sz w:val="21"/>
                <w:szCs w:val="21"/>
                <w:highlight w:val="none"/>
              </w:rPr>
              <w:t>设市场监管服务平台公布的企</w:t>
            </w:r>
            <w:r>
              <w:rPr>
                <w:strike w:val="0"/>
                <w:dstrike w:val="0"/>
                <w:color w:val="auto"/>
                <w:sz w:val="21"/>
                <w:szCs w:val="21"/>
                <w:highlight w:val="none"/>
              </w:rPr>
              <w:t xml:space="preserve"> 业信用评价等级（施工类）或</w:t>
            </w:r>
            <w:r>
              <w:rPr>
                <w:strike w:val="0"/>
                <w:color w:val="auto"/>
                <w:sz w:val="21"/>
                <w:szCs w:val="21"/>
                <w:highlight w:val="none"/>
              </w:rPr>
              <w:t>浙</w:t>
            </w:r>
            <w:r>
              <w:rPr>
                <w:color w:val="auto"/>
                <w:sz w:val="21"/>
                <w:szCs w:val="21"/>
                <w:highlight w:val="none"/>
              </w:rPr>
              <w:t>江省水利建设市场</w:t>
            </w:r>
            <w:r>
              <w:rPr>
                <w:color w:val="auto"/>
                <w:spacing w:val="-1"/>
                <w:sz w:val="21"/>
                <w:szCs w:val="21"/>
                <w:highlight w:val="none"/>
              </w:rPr>
              <w:t>信用评价等级（施工</w:t>
            </w:r>
          </w:p>
          <w:p w14:paraId="099D278A">
            <w:pPr>
              <w:pStyle w:val="17"/>
              <w:spacing w:line="206" w:lineRule="auto"/>
              <w:ind w:left="107"/>
              <w:rPr>
                <w:rFonts w:hint="default" w:eastAsia="宋体"/>
                <w:color w:val="auto"/>
                <w:sz w:val="21"/>
                <w:szCs w:val="21"/>
                <w:highlight w:val="none"/>
                <w:lang w:val="en-US" w:eastAsia="zh-CN"/>
              </w:rPr>
            </w:pPr>
            <w:r>
              <w:rPr>
                <w:color w:val="auto"/>
                <w:spacing w:val="-1"/>
                <w:sz w:val="21"/>
                <w:szCs w:val="21"/>
                <w:highlight w:val="none"/>
              </w:rPr>
              <w:t>类），并在此予以明确，本项最高得</w:t>
            </w:r>
            <w:r>
              <w:rPr>
                <w:rFonts w:ascii="Times New Roman" w:hAnsi="Times New Roman" w:eastAsia="Times New Roman" w:cs="Times New Roman"/>
                <w:color w:val="auto"/>
                <w:spacing w:val="-1"/>
                <w:sz w:val="21"/>
                <w:szCs w:val="21"/>
                <w:highlight w:val="none"/>
              </w:rPr>
              <w:t>3</w:t>
            </w:r>
            <w:r>
              <w:rPr>
                <w:color w:val="auto"/>
                <w:spacing w:val="-1"/>
                <w:sz w:val="21"/>
                <w:szCs w:val="21"/>
                <w:highlight w:val="none"/>
              </w:rPr>
              <w:t>分。）</w:t>
            </w:r>
            <w:r>
              <w:rPr>
                <w:rFonts w:hint="eastAsia"/>
                <w:color w:val="auto"/>
                <w:spacing w:val="-1"/>
                <w:sz w:val="21"/>
                <w:szCs w:val="21"/>
                <w:highlight w:val="none"/>
                <w:lang w:val="en-US" w:eastAsia="zh-CN"/>
              </w:rPr>
              <w:t>本项目采用浙江省水利建设市场信用评价等级（施工类）</w:t>
            </w:r>
          </w:p>
        </w:tc>
        <w:tc>
          <w:tcPr>
            <w:tcW w:w="1107" w:type="dxa"/>
            <w:tcBorders>
              <w:right w:val="single" w:color="000000" w:sz="6" w:space="0"/>
            </w:tcBorders>
            <w:vAlign w:val="top"/>
          </w:tcPr>
          <w:p w14:paraId="74644CF6">
            <w:pPr>
              <w:spacing w:line="278" w:lineRule="auto"/>
              <w:rPr>
                <w:rFonts w:ascii="Arial"/>
                <w:color w:val="auto"/>
                <w:sz w:val="21"/>
                <w:highlight w:val="none"/>
              </w:rPr>
            </w:pPr>
          </w:p>
          <w:p w14:paraId="219E679E">
            <w:pPr>
              <w:spacing w:before="60" w:line="188" w:lineRule="auto"/>
              <w:ind w:left="43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3.0</w:t>
            </w:r>
          </w:p>
        </w:tc>
      </w:tr>
      <w:tr w14:paraId="5E6667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119" w:type="dxa"/>
            <w:tcBorders>
              <w:left w:val="single" w:color="000000" w:sz="6" w:space="0"/>
            </w:tcBorders>
            <w:vAlign w:val="top"/>
          </w:tcPr>
          <w:p w14:paraId="28802D6D">
            <w:pPr>
              <w:pStyle w:val="17"/>
              <w:spacing w:before="123" w:line="232" w:lineRule="auto"/>
              <w:ind w:left="301"/>
              <w:rPr>
                <w:color w:val="auto"/>
                <w:sz w:val="21"/>
                <w:szCs w:val="21"/>
                <w:highlight w:val="none"/>
              </w:rPr>
            </w:pPr>
            <w:r>
              <w:rPr>
                <w:color w:val="auto"/>
                <w:spacing w:val="-5"/>
                <w:sz w:val="21"/>
                <w:szCs w:val="21"/>
                <w:highlight w:val="none"/>
              </w:rPr>
              <w:t>（</w:t>
            </w:r>
            <w:r>
              <w:rPr>
                <w:rFonts w:ascii="Times New Roman" w:hAnsi="Times New Roman" w:eastAsia="Times New Roman" w:cs="Times New Roman"/>
                <w:color w:val="auto"/>
                <w:spacing w:val="-5"/>
                <w:sz w:val="21"/>
                <w:szCs w:val="21"/>
                <w:highlight w:val="none"/>
              </w:rPr>
              <w:t>1</w:t>
            </w:r>
            <w:r>
              <w:rPr>
                <w:color w:val="auto"/>
                <w:spacing w:val="-5"/>
                <w:sz w:val="21"/>
                <w:szCs w:val="21"/>
                <w:highlight w:val="none"/>
              </w:rPr>
              <w:t>）</w:t>
            </w:r>
          </w:p>
        </w:tc>
        <w:tc>
          <w:tcPr>
            <w:tcW w:w="7218" w:type="dxa"/>
            <w:vAlign w:val="top"/>
          </w:tcPr>
          <w:p w14:paraId="44AF1FA1">
            <w:pPr>
              <w:pStyle w:val="17"/>
              <w:spacing w:before="122" w:line="220" w:lineRule="auto"/>
              <w:ind w:left="108"/>
              <w:rPr>
                <w:color w:val="auto"/>
                <w:sz w:val="21"/>
                <w:szCs w:val="21"/>
                <w:highlight w:val="none"/>
              </w:rPr>
            </w:pPr>
            <w:r>
              <w:rPr>
                <w:color w:val="auto"/>
                <w:spacing w:val="-1"/>
                <w:sz w:val="21"/>
                <w:szCs w:val="21"/>
                <w:highlight w:val="none"/>
              </w:rPr>
              <w:t>标段概算投资≤</w:t>
            </w:r>
            <w:r>
              <w:rPr>
                <w:rFonts w:ascii="Times New Roman" w:hAnsi="Times New Roman" w:eastAsia="Times New Roman" w:cs="Times New Roman"/>
                <w:color w:val="auto"/>
                <w:spacing w:val="-1"/>
                <w:sz w:val="21"/>
                <w:szCs w:val="21"/>
                <w:highlight w:val="none"/>
              </w:rPr>
              <w:t>6000</w:t>
            </w:r>
            <w:r>
              <w:rPr>
                <w:color w:val="auto"/>
                <w:spacing w:val="-1"/>
                <w:sz w:val="21"/>
                <w:szCs w:val="21"/>
                <w:highlight w:val="none"/>
              </w:rPr>
              <w:t>万元</w:t>
            </w:r>
          </w:p>
        </w:tc>
        <w:tc>
          <w:tcPr>
            <w:tcW w:w="1107" w:type="dxa"/>
            <w:tcBorders>
              <w:right w:val="single" w:color="000000" w:sz="6" w:space="0"/>
            </w:tcBorders>
            <w:vAlign w:val="top"/>
          </w:tcPr>
          <w:p w14:paraId="49542A27">
            <w:pPr>
              <w:rPr>
                <w:rFonts w:ascii="Arial"/>
                <w:color w:val="auto"/>
                <w:sz w:val="21"/>
                <w:highlight w:val="none"/>
              </w:rPr>
            </w:pPr>
          </w:p>
        </w:tc>
      </w:tr>
      <w:tr w14:paraId="39478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119" w:type="dxa"/>
            <w:tcBorders>
              <w:left w:val="single" w:color="000000" w:sz="6" w:space="0"/>
            </w:tcBorders>
            <w:vAlign w:val="top"/>
          </w:tcPr>
          <w:p w14:paraId="7F3EC7E2">
            <w:pPr>
              <w:rPr>
                <w:rFonts w:ascii="Arial"/>
                <w:color w:val="auto"/>
                <w:sz w:val="21"/>
                <w:highlight w:val="none"/>
              </w:rPr>
            </w:pPr>
          </w:p>
        </w:tc>
        <w:tc>
          <w:tcPr>
            <w:tcW w:w="7218" w:type="dxa"/>
            <w:vAlign w:val="top"/>
          </w:tcPr>
          <w:p w14:paraId="2CDC2784">
            <w:pPr>
              <w:pStyle w:val="17"/>
              <w:spacing w:before="123" w:line="220" w:lineRule="auto"/>
              <w:ind w:left="107"/>
              <w:rPr>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val="0"/>
                <w:dstrike w:val="0"/>
                <w:color w:val="auto"/>
                <w:spacing w:val="-1"/>
                <w:sz w:val="21"/>
                <w:szCs w:val="21"/>
                <w:highlight w:val="none"/>
              </w:rPr>
              <w:t>（或</w:t>
            </w:r>
            <w:r>
              <w:rPr>
                <w:strike w:val="0"/>
                <w:color w:val="auto"/>
                <w:spacing w:val="-1"/>
                <w:sz w:val="21"/>
                <w:szCs w:val="21"/>
                <w:highlight w:val="none"/>
              </w:rPr>
              <w:t>省</w:t>
            </w:r>
            <w:r>
              <w:rPr>
                <w:rFonts w:ascii="Times New Roman" w:hAnsi="Times New Roman" w:eastAsia="Times New Roman" w:cs="Times New Roman"/>
                <w:strike w:val="0"/>
                <w:color w:val="auto"/>
                <w:spacing w:val="-1"/>
                <w:sz w:val="21"/>
                <w:szCs w:val="21"/>
                <w:highlight w:val="none"/>
              </w:rPr>
              <w:t>A</w:t>
            </w:r>
            <w:r>
              <w:rPr>
                <w:strike w:val="0"/>
                <w:dstrike w:val="0"/>
                <w:color w:val="auto"/>
                <w:spacing w:val="-1"/>
                <w:sz w:val="21"/>
                <w:szCs w:val="21"/>
                <w:highlight w:val="none"/>
              </w:rPr>
              <w:t>）</w:t>
            </w:r>
          </w:p>
        </w:tc>
        <w:tc>
          <w:tcPr>
            <w:tcW w:w="1107" w:type="dxa"/>
            <w:tcBorders>
              <w:right w:val="single" w:color="000000" w:sz="6" w:space="0"/>
            </w:tcBorders>
            <w:vAlign w:val="top"/>
          </w:tcPr>
          <w:p w14:paraId="6A1ADF18">
            <w:pPr>
              <w:spacing w:before="160" w:line="188" w:lineRule="auto"/>
              <w:ind w:left="43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3.0</w:t>
            </w:r>
          </w:p>
        </w:tc>
      </w:tr>
      <w:tr w14:paraId="09141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19" w:type="dxa"/>
            <w:tcBorders>
              <w:left w:val="single" w:color="000000" w:sz="6" w:space="0"/>
            </w:tcBorders>
            <w:vAlign w:val="top"/>
          </w:tcPr>
          <w:p w14:paraId="6227693B">
            <w:pPr>
              <w:rPr>
                <w:rFonts w:ascii="Arial"/>
                <w:color w:val="auto"/>
                <w:sz w:val="21"/>
                <w:highlight w:val="none"/>
              </w:rPr>
            </w:pPr>
          </w:p>
        </w:tc>
        <w:tc>
          <w:tcPr>
            <w:tcW w:w="7218" w:type="dxa"/>
            <w:vAlign w:val="top"/>
          </w:tcPr>
          <w:p w14:paraId="5F906732">
            <w:pPr>
              <w:pStyle w:val="17"/>
              <w:spacing w:before="123" w:line="220" w:lineRule="auto"/>
              <w:ind w:left="107"/>
              <w:rPr>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val="0"/>
                <w:dstrike w:val="0"/>
                <w:color w:val="auto"/>
                <w:spacing w:val="-1"/>
                <w:sz w:val="21"/>
                <w:szCs w:val="21"/>
                <w:highlight w:val="none"/>
              </w:rPr>
              <w:t>（</w:t>
            </w:r>
            <w:r>
              <w:rPr>
                <w:strike w:val="0"/>
                <w:color w:val="auto"/>
                <w:spacing w:val="-1"/>
                <w:sz w:val="21"/>
                <w:szCs w:val="21"/>
                <w:highlight w:val="none"/>
              </w:rPr>
              <w:t>或省</w:t>
            </w:r>
            <w:r>
              <w:rPr>
                <w:rFonts w:ascii="Times New Roman" w:hAnsi="Times New Roman" w:eastAsia="Times New Roman" w:cs="Times New Roman"/>
                <w:strike w:val="0"/>
                <w:color w:val="auto"/>
                <w:spacing w:val="-1"/>
                <w:sz w:val="21"/>
                <w:szCs w:val="21"/>
                <w:highlight w:val="none"/>
              </w:rPr>
              <w:t>B</w:t>
            </w:r>
            <w:r>
              <w:rPr>
                <w:strike w:val="0"/>
                <w:dstrike w:val="0"/>
                <w:color w:val="auto"/>
                <w:spacing w:val="-1"/>
                <w:sz w:val="21"/>
                <w:szCs w:val="21"/>
                <w:highlight w:val="none"/>
              </w:rPr>
              <w:t>）</w:t>
            </w:r>
          </w:p>
        </w:tc>
        <w:tc>
          <w:tcPr>
            <w:tcW w:w="1107" w:type="dxa"/>
            <w:tcBorders>
              <w:right w:val="single" w:color="000000" w:sz="6" w:space="0"/>
            </w:tcBorders>
            <w:vAlign w:val="top"/>
          </w:tcPr>
          <w:p w14:paraId="7BB576D6">
            <w:pPr>
              <w:spacing w:before="160" w:line="188" w:lineRule="auto"/>
              <w:ind w:left="42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2.5</w:t>
            </w:r>
          </w:p>
        </w:tc>
      </w:tr>
      <w:tr w14:paraId="3C97B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119" w:type="dxa"/>
            <w:tcBorders>
              <w:left w:val="single" w:color="000000" w:sz="6" w:space="0"/>
            </w:tcBorders>
            <w:vAlign w:val="top"/>
          </w:tcPr>
          <w:p w14:paraId="0C476E81">
            <w:pPr>
              <w:rPr>
                <w:rFonts w:ascii="Arial"/>
                <w:color w:val="auto"/>
                <w:sz w:val="21"/>
                <w:highlight w:val="none"/>
              </w:rPr>
            </w:pPr>
          </w:p>
        </w:tc>
        <w:tc>
          <w:tcPr>
            <w:tcW w:w="7218" w:type="dxa"/>
            <w:vAlign w:val="top"/>
          </w:tcPr>
          <w:p w14:paraId="62FD6A3A">
            <w:pPr>
              <w:pStyle w:val="17"/>
              <w:spacing w:before="124" w:line="220" w:lineRule="auto"/>
              <w:ind w:left="107"/>
              <w:rPr>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val="0"/>
                <w:dstrike w:val="0"/>
                <w:color w:val="auto"/>
                <w:spacing w:val="-2"/>
                <w:sz w:val="21"/>
                <w:szCs w:val="21"/>
                <w:highlight w:val="none"/>
              </w:rPr>
              <w:t>（或</w:t>
            </w:r>
            <w:r>
              <w:rPr>
                <w:strike w:val="0"/>
                <w:color w:val="auto"/>
                <w:spacing w:val="-2"/>
                <w:sz w:val="21"/>
                <w:szCs w:val="21"/>
                <w:highlight w:val="none"/>
              </w:rPr>
              <w:t>省</w:t>
            </w:r>
            <w:r>
              <w:rPr>
                <w:rFonts w:ascii="Times New Roman" w:hAnsi="Times New Roman" w:eastAsia="Times New Roman" w:cs="Times New Roman"/>
                <w:strike w:val="0"/>
                <w:color w:val="auto"/>
                <w:spacing w:val="-2"/>
                <w:sz w:val="21"/>
                <w:szCs w:val="21"/>
                <w:highlight w:val="none"/>
              </w:rPr>
              <w:t>C</w:t>
            </w:r>
            <w:r>
              <w:rPr>
                <w:strike w:val="0"/>
                <w:dstrike w:val="0"/>
                <w:color w:val="auto"/>
                <w:spacing w:val="-2"/>
                <w:sz w:val="21"/>
                <w:szCs w:val="21"/>
                <w:highlight w:val="none"/>
              </w:rPr>
              <w:t>）</w:t>
            </w:r>
          </w:p>
        </w:tc>
        <w:tc>
          <w:tcPr>
            <w:tcW w:w="1107" w:type="dxa"/>
            <w:tcBorders>
              <w:right w:val="single" w:color="000000" w:sz="6" w:space="0"/>
            </w:tcBorders>
            <w:vAlign w:val="top"/>
          </w:tcPr>
          <w:p w14:paraId="0CAB6F11">
            <w:pPr>
              <w:spacing w:before="161" w:line="188" w:lineRule="auto"/>
              <w:ind w:left="44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8"/>
                <w:sz w:val="21"/>
                <w:szCs w:val="21"/>
                <w:highlight w:val="none"/>
              </w:rPr>
              <w:t>1.0</w:t>
            </w:r>
          </w:p>
        </w:tc>
      </w:tr>
      <w:tr w14:paraId="7D089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19" w:type="dxa"/>
            <w:tcBorders>
              <w:left w:val="single" w:color="000000" w:sz="6" w:space="0"/>
            </w:tcBorders>
            <w:vAlign w:val="top"/>
          </w:tcPr>
          <w:p w14:paraId="336E8DE3">
            <w:pPr>
              <w:rPr>
                <w:rFonts w:ascii="Arial"/>
                <w:color w:val="auto"/>
                <w:sz w:val="21"/>
                <w:highlight w:val="none"/>
              </w:rPr>
            </w:pPr>
          </w:p>
        </w:tc>
        <w:tc>
          <w:tcPr>
            <w:tcW w:w="7218" w:type="dxa"/>
            <w:vAlign w:val="top"/>
          </w:tcPr>
          <w:p w14:paraId="4CCC1892">
            <w:pPr>
              <w:pStyle w:val="17"/>
              <w:spacing w:before="125" w:line="218" w:lineRule="auto"/>
              <w:ind w:left="107"/>
              <w:rPr>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w:t>
            </w:r>
            <w:r>
              <w:rPr>
                <w:strike w:val="0"/>
                <w:dstrike w:val="0"/>
                <w:color w:val="auto"/>
                <w:spacing w:val="-1"/>
                <w:sz w:val="21"/>
                <w:szCs w:val="21"/>
                <w:highlight w:val="none"/>
              </w:rPr>
              <w:t>（或</w:t>
            </w:r>
            <w:r>
              <w:rPr>
                <w:color w:val="auto"/>
                <w:spacing w:val="-1"/>
                <w:sz w:val="21"/>
                <w:szCs w:val="21"/>
                <w:highlight w:val="none"/>
              </w:rPr>
              <w:t>省</w:t>
            </w:r>
            <w:r>
              <w:rPr>
                <w:rFonts w:ascii="Times New Roman" w:hAnsi="Times New Roman" w:eastAsia="Times New Roman" w:cs="Times New Roman"/>
                <w:color w:val="auto"/>
                <w:spacing w:val="-1"/>
                <w:sz w:val="21"/>
                <w:szCs w:val="21"/>
                <w:highlight w:val="none"/>
              </w:rPr>
              <w:t>D</w:t>
            </w:r>
            <w:r>
              <w:rPr>
                <w:color w:val="auto"/>
                <w:spacing w:val="-1"/>
                <w:sz w:val="21"/>
                <w:szCs w:val="21"/>
                <w:highlight w:val="none"/>
              </w:rPr>
              <w:t>及以下等级或无信用评价等级</w:t>
            </w:r>
            <w:r>
              <w:rPr>
                <w:strike w:val="0"/>
                <w:dstrike w:val="0"/>
                <w:color w:val="auto"/>
                <w:spacing w:val="-1"/>
                <w:sz w:val="21"/>
                <w:szCs w:val="21"/>
                <w:highlight w:val="none"/>
              </w:rPr>
              <w:t>）</w:t>
            </w:r>
          </w:p>
        </w:tc>
        <w:tc>
          <w:tcPr>
            <w:tcW w:w="1107" w:type="dxa"/>
            <w:tcBorders>
              <w:right w:val="single" w:color="000000" w:sz="6" w:space="0"/>
            </w:tcBorders>
            <w:vAlign w:val="top"/>
          </w:tcPr>
          <w:p w14:paraId="42F6E0DB">
            <w:pPr>
              <w:spacing w:before="162" w:line="188" w:lineRule="auto"/>
              <w:ind w:left="5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0</w:t>
            </w:r>
          </w:p>
        </w:tc>
      </w:tr>
    </w:tbl>
    <w:p w14:paraId="4DE1EDAB">
      <w:pPr>
        <w:pStyle w:val="8"/>
        <w:rPr>
          <w:color w:val="auto"/>
          <w:highlight w:val="none"/>
        </w:rPr>
      </w:pPr>
    </w:p>
    <w:p w14:paraId="1E1D908E">
      <w:pPr>
        <w:rPr>
          <w:color w:val="auto"/>
          <w:highlight w:val="none"/>
        </w:rPr>
        <w:sectPr>
          <w:footerReference r:id="rId56" w:type="default"/>
          <w:pgSz w:w="11905" w:h="16840"/>
          <w:pgMar w:top="1427" w:right="1292" w:bottom="1255" w:left="1151" w:header="0" w:footer="1093" w:gutter="0"/>
          <w:pgNumType w:fmt="decimal"/>
          <w:cols w:space="720" w:num="1"/>
        </w:sectPr>
      </w:pPr>
    </w:p>
    <w:p w14:paraId="72B05946">
      <w:pPr>
        <w:spacing w:line="89" w:lineRule="auto"/>
        <w:rPr>
          <w:rFonts w:ascii="Arial"/>
          <w:color w:val="auto"/>
          <w:sz w:val="2"/>
          <w:highlight w:val="none"/>
        </w:rPr>
      </w:pPr>
    </w:p>
    <w:tbl>
      <w:tblPr>
        <w:tblStyle w:val="16"/>
        <w:tblW w:w="944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9"/>
        <w:gridCol w:w="7218"/>
        <w:gridCol w:w="1107"/>
      </w:tblGrid>
      <w:tr w14:paraId="35E1A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19" w:type="dxa"/>
            <w:tcBorders>
              <w:left w:val="single" w:color="000000" w:sz="6" w:space="0"/>
            </w:tcBorders>
            <w:vAlign w:val="top"/>
          </w:tcPr>
          <w:p w14:paraId="7D71759D">
            <w:pPr>
              <w:pStyle w:val="17"/>
              <w:spacing w:before="126" w:line="232" w:lineRule="auto"/>
              <w:ind w:left="301"/>
              <w:rPr>
                <w:color w:val="auto"/>
                <w:sz w:val="21"/>
                <w:szCs w:val="21"/>
                <w:highlight w:val="none"/>
              </w:rPr>
            </w:pPr>
            <w:r>
              <w:rPr>
                <w:color w:val="auto"/>
                <w:spacing w:val="-5"/>
                <w:sz w:val="21"/>
                <w:szCs w:val="21"/>
                <w:highlight w:val="none"/>
              </w:rPr>
              <w:t>（</w:t>
            </w:r>
            <w:r>
              <w:rPr>
                <w:rFonts w:ascii="Times New Roman" w:hAnsi="Times New Roman" w:eastAsia="Times New Roman" w:cs="Times New Roman"/>
                <w:color w:val="auto"/>
                <w:spacing w:val="-5"/>
                <w:sz w:val="21"/>
                <w:szCs w:val="21"/>
                <w:highlight w:val="none"/>
              </w:rPr>
              <w:t>2</w:t>
            </w:r>
            <w:r>
              <w:rPr>
                <w:color w:val="auto"/>
                <w:spacing w:val="-5"/>
                <w:sz w:val="21"/>
                <w:szCs w:val="21"/>
                <w:highlight w:val="none"/>
              </w:rPr>
              <w:t>）</w:t>
            </w:r>
          </w:p>
        </w:tc>
        <w:tc>
          <w:tcPr>
            <w:tcW w:w="7218" w:type="dxa"/>
            <w:vAlign w:val="top"/>
          </w:tcPr>
          <w:p w14:paraId="7A196807">
            <w:pPr>
              <w:pStyle w:val="17"/>
              <w:spacing w:before="126" w:line="220" w:lineRule="auto"/>
              <w:ind w:left="108"/>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1107" w:type="dxa"/>
            <w:tcBorders>
              <w:right w:val="single" w:color="000000" w:sz="6" w:space="0"/>
            </w:tcBorders>
            <w:vAlign w:val="top"/>
          </w:tcPr>
          <w:p w14:paraId="4D951415">
            <w:pPr>
              <w:rPr>
                <w:rFonts w:ascii="Arial"/>
                <w:strike/>
                <w:dstrike w:val="0"/>
                <w:color w:val="auto"/>
                <w:sz w:val="21"/>
                <w:highlight w:val="none"/>
              </w:rPr>
            </w:pPr>
          </w:p>
        </w:tc>
      </w:tr>
      <w:tr w14:paraId="28FE24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119" w:type="dxa"/>
            <w:tcBorders>
              <w:left w:val="single" w:color="000000" w:sz="6" w:space="0"/>
            </w:tcBorders>
            <w:vAlign w:val="top"/>
          </w:tcPr>
          <w:p w14:paraId="79855F5C">
            <w:pPr>
              <w:rPr>
                <w:rFonts w:ascii="Arial"/>
                <w:color w:val="auto"/>
                <w:sz w:val="21"/>
                <w:highlight w:val="none"/>
              </w:rPr>
            </w:pPr>
          </w:p>
        </w:tc>
        <w:tc>
          <w:tcPr>
            <w:tcW w:w="7218" w:type="dxa"/>
            <w:vAlign w:val="top"/>
          </w:tcPr>
          <w:p w14:paraId="76B37B94">
            <w:pPr>
              <w:pStyle w:val="17"/>
              <w:spacing w:before="122"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A</w:t>
            </w:r>
            <w:r>
              <w:rPr>
                <w:strike/>
                <w:dstrike w:val="0"/>
                <w:color w:val="auto"/>
                <w:spacing w:val="-1"/>
                <w:sz w:val="21"/>
                <w:szCs w:val="21"/>
                <w:highlight w:val="none"/>
              </w:rPr>
              <w:t>）</w:t>
            </w:r>
          </w:p>
        </w:tc>
        <w:tc>
          <w:tcPr>
            <w:tcW w:w="1107" w:type="dxa"/>
            <w:tcBorders>
              <w:right w:val="single" w:color="000000" w:sz="6" w:space="0"/>
            </w:tcBorders>
            <w:vAlign w:val="top"/>
          </w:tcPr>
          <w:p w14:paraId="5C5A375F">
            <w:pPr>
              <w:spacing w:before="159" w:line="188" w:lineRule="auto"/>
              <w:ind w:left="43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3.0</w:t>
            </w:r>
          </w:p>
        </w:tc>
      </w:tr>
      <w:tr w14:paraId="3F090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19" w:type="dxa"/>
            <w:tcBorders>
              <w:left w:val="single" w:color="000000" w:sz="6" w:space="0"/>
            </w:tcBorders>
            <w:vAlign w:val="top"/>
          </w:tcPr>
          <w:p w14:paraId="5C65B59C">
            <w:pPr>
              <w:rPr>
                <w:rFonts w:ascii="Arial"/>
                <w:color w:val="auto"/>
                <w:sz w:val="21"/>
                <w:highlight w:val="none"/>
              </w:rPr>
            </w:pPr>
          </w:p>
        </w:tc>
        <w:tc>
          <w:tcPr>
            <w:tcW w:w="7218" w:type="dxa"/>
            <w:vAlign w:val="top"/>
          </w:tcPr>
          <w:p w14:paraId="53070D6E">
            <w:pPr>
              <w:pStyle w:val="17"/>
              <w:spacing w:before="123" w:line="220"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AA</w:t>
            </w:r>
            <w:r>
              <w:rPr>
                <w:strike/>
                <w:dstrike w:val="0"/>
                <w:color w:val="auto"/>
                <w:spacing w:val="-1"/>
                <w:sz w:val="21"/>
                <w:szCs w:val="21"/>
                <w:highlight w:val="none"/>
              </w:rPr>
              <w:t>（或省</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w:t>
            </w:r>
          </w:p>
        </w:tc>
        <w:tc>
          <w:tcPr>
            <w:tcW w:w="1107" w:type="dxa"/>
            <w:tcBorders>
              <w:right w:val="single" w:color="000000" w:sz="6" w:space="0"/>
            </w:tcBorders>
            <w:vAlign w:val="top"/>
          </w:tcPr>
          <w:p w14:paraId="1B150AC1">
            <w:pPr>
              <w:spacing w:before="160" w:line="188" w:lineRule="auto"/>
              <w:ind w:left="42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2.0</w:t>
            </w:r>
          </w:p>
        </w:tc>
      </w:tr>
      <w:tr w14:paraId="0C4EF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119" w:type="dxa"/>
            <w:tcBorders>
              <w:left w:val="single" w:color="000000" w:sz="6" w:space="0"/>
            </w:tcBorders>
            <w:vAlign w:val="top"/>
          </w:tcPr>
          <w:p w14:paraId="4DD69C81">
            <w:pPr>
              <w:rPr>
                <w:rFonts w:ascii="Arial"/>
                <w:color w:val="auto"/>
                <w:sz w:val="21"/>
                <w:highlight w:val="none"/>
              </w:rPr>
            </w:pPr>
          </w:p>
        </w:tc>
        <w:tc>
          <w:tcPr>
            <w:tcW w:w="7218" w:type="dxa"/>
            <w:vAlign w:val="top"/>
          </w:tcPr>
          <w:p w14:paraId="4E0E9D43">
            <w:pPr>
              <w:pStyle w:val="17"/>
              <w:spacing w:before="125" w:line="220" w:lineRule="auto"/>
              <w:ind w:left="107"/>
              <w:rPr>
                <w:strike/>
                <w:dstrike w:val="0"/>
                <w:color w:val="auto"/>
                <w:sz w:val="21"/>
                <w:szCs w:val="21"/>
                <w:highlight w:val="none"/>
              </w:rPr>
            </w:pPr>
            <w:r>
              <w:rPr>
                <w:strike/>
                <w:dstrike w:val="0"/>
                <w:color w:val="auto"/>
                <w:spacing w:val="-2"/>
                <w:sz w:val="21"/>
                <w:szCs w:val="21"/>
                <w:highlight w:val="none"/>
              </w:rPr>
              <w:t>全国</w:t>
            </w:r>
            <w:r>
              <w:rPr>
                <w:rFonts w:ascii="Times New Roman" w:hAnsi="Times New Roman" w:eastAsia="Times New Roman" w:cs="Times New Roman"/>
                <w:strike/>
                <w:dstrike w:val="0"/>
                <w:color w:val="auto"/>
                <w:spacing w:val="-2"/>
                <w:sz w:val="21"/>
                <w:szCs w:val="21"/>
                <w:highlight w:val="none"/>
              </w:rPr>
              <w:t>A</w:t>
            </w:r>
            <w:r>
              <w:rPr>
                <w:strike/>
                <w:dstrike w:val="0"/>
                <w:color w:val="auto"/>
                <w:spacing w:val="-2"/>
                <w:sz w:val="21"/>
                <w:szCs w:val="21"/>
                <w:highlight w:val="none"/>
              </w:rPr>
              <w:t>（或省</w:t>
            </w:r>
            <w:r>
              <w:rPr>
                <w:rFonts w:ascii="Times New Roman" w:hAnsi="Times New Roman" w:eastAsia="Times New Roman" w:cs="Times New Roman"/>
                <w:strike/>
                <w:dstrike w:val="0"/>
                <w:color w:val="auto"/>
                <w:spacing w:val="-2"/>
                <w:sz w:val="21"/>
                <w:szCs w:val="21"/>
                <w:highlight w:val="none"/>
              </w:rPr>
              <w:t>C</w:t>
            </w:r>
            <w:r>
              <w:rPr>
                <w:strike/>
                <w:dstrike w:val="0"/>
                <w:color w:val="auto"/>
                <w:spacing w:val="-2"/>
                <w:sz w:val="21"/>
                <w:szCs w:val="21"/>
                <w:highlight w:val="none"/>
              </w:rPr>
              <w:t>）</w:t>
            </w:r>
          </w:p>
        </w:tc>
        <w:tc>
          <w:tcPr>
            <w:tcW w:w="1107" w:type="dxa"/>
            <w:tcBorders>
              <w:right w:val="single" w:color="000000" w:sz="6" w:space="0"/>
            </w:tcBorders>
            <w:vAlign w:val="top"/>
          </w:tcPr>
          <w:p w14:paraId="53CA9B18">
            <w:pPr>
              <w:spacing w:before="162" w:line="188" w:lineRule="auto"/>
              <w:ind w:left="44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8"/>
                <w:sz w:val="21"/>
                <w:szCs w:val="21"/>
                <w:highlight w:val="none"/>
              </w:rPr>
              <w:t>1.0</w:t>
            </w:r>
          </w:p>
        </w:tc>
      </w:tr>
      <w:tr w14:paraId="2A963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19" w:type="dxa"/>
            <w:tcBorders>
              <w:left w:val="single" w:color="000000" w:sz="6" w:space="0"/>
            </w:tcBorders>
            <w:vAlign w:val="top"/>
          </w:tcPr>
          <w:p w14:paraId="122E7F88">
            <w:pPr>
              <w:rPr>
                <w:rFonts w:ascii="Arial"/>
                <w:color w:val="auto"/>
                <w:sz w:val="21"/>
                <w:highlight w:val="none"/>
              </w:rPr>
            </w:pPr>
          </w:p>
        </w:tc>
        <w:tc>
          <w:tcPr>
            <w:tcW w:w="7218" w:type="dxa"/>
            <w:vAlign w:val="top"/>
          </w:tcPr>
          <w:p w14:paraId="2CABE0BB">
            <w:pPr>
              <w:pStyle w:val="17"/>
              <w:spacing w:before="126" w:line="218" w:lineRule="auto"/>
              <w:ind w:left="107"/>
              <w:rPr>
                <w:strike/>
                <w:dstrike w:val="0"/>
                <w:color w:val="auto"/>
                <w:sz w:val="21"/>
                <w:szCs w:val="21"/>
                <w:highlight w:val="none"/>
              </w:rPr>
            </w:pPr>
            <w:r>
              <w:rPr>
                <w:strike/>
                <w:dstrike w:val="0"/>
                <w:color w:val="auto"/>
                <w:spacing w:val="-1"/>
                <w:sz w:val="21"/>
                <w:szCs w:val="21"/>
                <w:highlight w:val="none"/>
              </w:rPr>
              <w:t>全国</w:t>
            </w:r>
            <w:r>
              <w:rPr>
                <w:rFonts w:ascii="Times New Roman" w:hAnsi="Times New Roman" w:eastAsia="Times New Roman" w:cs="Times New Roman"/>
                <w:strike/>
                <w:dstrike w:val="0"/>
                <w:color w:val="auto"/>
                <w:spacing w:val="-1"/>
                <w:sz w:val="21"/>
                <w:szCs w:val="21"/>
                <w:highlight w:val="none"/>
              </w:rPr>
              <w:t>B</w:t>
            </w:r>
            <w:r>
              <w:rPr>
                <w:strike/>
                <w:dstrike w:val="0"/>
                <w:color w:val="auto"/>
                <w:spacing w:val="-1"/>
                <w:sz w:val="21"/>
                <w:szCs w:val="21"/>
                <w:highlight w:val="none"/>
              </w:rPr>
              <w:t>及以下或无信用评价等级（或省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1107" w:type="dxa"/>
            <w:tcBorders>
              <w:right w:val="single" w:color="000000" w:sz="6" w:space="0"/>
            </w:tcBorders>
            <w:vAlign w:val="top"/>
          </w:tcPr>
          <w:p w14:paraId="773C41DE">
            <w:pPr>
              <w:spacing w:before="162" w:line="188" w:lineRule="auto"/>
              <w:ind w:left="50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0</w:t>
            </w:r>
          </w:p>
        </w:tc>
      </w:tr>
    </w:tbl>
    <w:p w14:paraId="585301DA">
      <w:pPr>
        <w:pStyle w:val="8"/>
        <w:spacing w:line="370" w:lineRule="auto"/>
        <w:rPr>
          <w:color w:val="auto"/>
          <w:highlight w:val="none"/>
        </w:rPr>
      </w:pPr>
    </w:p>
    <w:p w14:paraId="001E485F">
      <w:pPr>
        <w:spacing w:before="78" w:line="359" w:lineRule="auto"/>
        <w:ind w:left="444" w:right="236" w:firstLine="483"/>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企业信用等级证明材料指：</w:t>
      </w:r>
      <w:r>
        <w:rPr>
          <w:rFonts w:ascii="宋体" w:hAnsi="宋体" w:eastAsia="宋体" w:cs="宋体"/>
          <w:strike/>
          <w:dstrike w:val="0"/>
          <w:color w:val="auto"/>
          <w:spacing w:val="-3"/>
          <w:sz w:val="24"/>
          <w:szCs w:val="24"/>
          <w:highlight w:val="none"/>
        </w:rPr>
        <w:t>选用全国水利建设市场监管服务平台企业信用评</w:t>
      </w:r>
      <w:r>
        <w:rPr>
          <w:rFonts w:ascii="宋体" w:hAnsi="宋体" w:eastAsia="宋体" w:cs="宋体"/>
          <w:strike/>
          <w:dstrike w:val="0"/>
          <w:color w:val="auto"/>
          <w:spacing w:val="-4"/>
          <w:sz w:val="24"/>
          <w:szCs w:val="24"/>
          <w:highlight w:val="none"/>
        </w:rPr>
        <w:t>价等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级的提供显示颁发日期及有效期的网页打印件；</w:t>
      </w:r>
      <w:r>
        <w:rPr>
          <w:rFonts w:ascii="宋体" w:hAnsi="宋体" w:eastAsia="宋体" w:cs="宋体"/>
          <w:color w:val="auto"/>
          <w:spacing w:val="-3"/>
          <w:sz w:val="24"/>
          <w:szCs w:val="24"/>
          <w:highlight w:val="none"/>
        </w:rPr>
        <w:t>选用浙江省水利建设市场信用评价等</w:t>
      </w:r>
      <w:r>
        <w:rPr>
          <w:rFonts w:ascii="宋体" w:hAnsi="宋体" w:eastAsia="宋体" w:cs="宋体"/>
          <w:color w:val="auto"/>
          <w:spacing w:val="8"/>
          <w:sz w:val="24"/>
          <w:szCs w:val="24"/>
          <w:highlight w:val="none"/>
        </w:rPr>
        <w:t xml:space="preserve"> </w:t>
      </w:r>
      <w:r>
        <w:rPr>
          <w:rFonts w:ascii="宋体" w:hAnsi="宋体" w:eastAsia="宋体" w:cs="宋体"/>
          <w:color w:val="auto"/>
          <w:spacing w:val="-4"/>
          <w:sz w:val="24"/>
          <w:szCs w:val="24"/>
          <w:highlight w:val="none"/>
        </w:rPr>
        <w:t>级（施工类）的提供投标截止日前最新一期信用评价等级打印件（信用评价等级每周</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 xml:space="preserve">三下午 </w:t>
      </w:r>
      <w:r>
        <w:rPr>
          <w:rFonts w:ascii="Times New Roman" w:hAnsi="Times New Roman" w:eastAsia="Times New Roman" w:cs="Times New Roman"/>
          <w:color w:val="auto"/>
          <w:spacing w:val="-1"/>
          <w:sz w:val="24"/>
          <w:szCs w:val="24"/>
          <w:highlight w:val="none"/>
        </w:rPr>
        <w:t>17:00-18:00</w:t>
      </w:r>
      <w:r>
        <w:rPr>
          <w:rFonts w:ascii="宋体" w:hAnsi="宋体" w:eastAsia="宋体" w:cs="宋体"/>
          <w:color w:val="auto"/>
          <w:spacing w:val="-1"/>
          <w:sz w:val="24"/>
          <w:szCs w:val="24"/>
          <w:highlight w:val="none"/>
        </w:rPr>
        <w:t>更新</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打印件应含有“浙江水利透明工</w:t>
      </w:r>
      <w:r>
        <w:rPr>
          <w:rFonts w:ascii="宋体" w:hAnsi="宋体" w:eastAsia="宋体" w:cs="宋体"/>
          <w:color w:val="auto"/>
          <w:spacing w:val="-2"/>
          <w:sz w:val="24"/>
          <w:szCs w:val="24"/>
          <w:highlight w:val="none"/>
        </w:rPr>
        <w:t>程”水印。</w:t>
      </w:r>
    </w:p>
    <w:p w14:paraId="53A245BF">
      <w:pPr>
        <w:spacing w:line="223" w:lineRule="auto"/>
        <w:ind w:left="441"/>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4.5  </w:t>
      </w:r>
      <w:r>
        <w:rPr>
          <w:rFonts w:ascii="楷体" w:hAnsi="楷体" w:eastAsia="楷体" w:cs="楷体"/>
          <w:b/>
          <w:bCs/>
          <w:color w:val="auto"/>
          <w:spacing w:val="-2"/>
          <w:sz w:val="24"/>
          <w:szCs w:val="24"/>
          <w:highlight w:val="none"/>
        </w:rPr>
        <w:t>投标文件的商务评审</w:t>
      </w:r>
    </w:p>
    <w:p w14:paraId="150FC85F">
      <w:pPr>
        <w:spacing w:before="175" w:line="324" w:lineRule="auto"/>
        <w:ind w:left="445" w:right="150" w:firstLine="478"/>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4.5.1  </w:t>
      </w:r>
      <w:r>
        <w:rPr>
          <w:rFonts w:ascii="宋体" w:hAnsi="宋体" w:eastAsia="宋体" w:cs="宋体"/>
          <w:color w:val="auto"/>
          <w:sz w:val="24"/>
          <w:szCs w:val="24"/>
          <w:highlight w:val="none"/>
        </w:rPr>
        <w:t>评标委员会对通过符合性评审、技术评审的投标文件按照技术、资信总评</w:t>
      </w:r>
      <w:r>
        <w:rPr>
          <w:rFonts w:ascii="宋体" w:hAnsi="宋体" w:eastAsia="宋体" w:cs="宋体"/>
          <w:color w:val="auto"/>
          <w:spacing w:val="18"/>
          <w:sz w:val="24"/>
          <w:szCs w:val="24"/>
          <w:highlight w:val="none"/>
        </w:rPr>
        <w:t xml:space="preserve"> </w:t>
      </w:r>
      <w:r>
        <w:rPr>
          <w:rFonts w:ascii="宋体" w:hAnsi="宋体" w:eastAsia="宋体" w:cs="宋体"/>
          <w:color w:val="auto"/>
          <w:spacing w:val="-6"/>
          <w:sz w:val="24"/>
          <w:szCs w:val="24"/>
          <w:highlight w:val="none"/>
        </w:rPr>
        <w:t>分由高到低排序前</w:t>
      </w:r>
      <w:r>
        <w:rPr>
          <w:rFonts w:ascii="Times New Roman" w:hAnsi="Times New Roman" w:eastAsia="Times New Roman" w:cs="Times New Roman"/>
          <w:color w:val="auto"/>
          <w:spacing w:val="-6"/>
          <w:sz w:val="24"/>
          <w:szCs w:val="24"/>
          <w:highlight w:val="none"/>
        </w:rPr>
        <w:t>15</w:t>
      </w:r>
      <w:r>
        <w:rPr>
          <w:rFonts w:ascii="宋体" w:hAnsi="宋体" w:eastAsia="宋体" w:cs="宋体"/>
          <w:color w:val="auto"/>
          <w:spacing w:val="-6"/>
          <w:sz w:val="24"/>
          <w:szCs w:val="24"/>
          <w:highlight w:val="none"/>
        </w:rPr>
        <w:t>家（技术、资信总评分相同时， 全部进入评审范围，不足</w:t>
      </w:r>
      <w:r>
        <w:rPr>
          <w:rFonts w:ascii="Times New Roman" w:hAnsi="Times New Roman" w:eastAsia="Times New Roman" w:cs="Times New Roman"/>
          <w:color w:val="auto"/>
          <w:spacing w:val="-6"/>
          <w:sz w:val="24"/>
          <w:szCs w:val="24"/>
          <w:highlight w:val="none"/>
        </w:rPr>
        <w:t>15</w:t>
      </w:r>
      <w:r>
        <w:rPr>
          <w:rFonts w:ascii="宋体" w:hAnsi="宋体" w:eastAsia="宋体" w:cs="宋体"/>
          <w:color w:val="auto"/>
          <w:spacing w:val="-6"/>
          <w:sz w:val="24"/>
          <w:szCs w:val="24"/>
          <w:highlight w:val="none"/>
        </w:rPr>
        <w:t>家全</w:t>
      </w:r>
      <w:r>
        <w:rPr>
          <w:rFonts w:ascii="宋体" w:hAnsi="宋体" w:eastAsia="宋体" w:cs="宋体"/>
          <w:color w:val="auto"/>
          <w:spacing w:val="17"/>
          <w:sz w:val="24"/>
          <w:szCs w:val="24"/>
          <w:highlight w:val="none"/>
        </w:rPr>
        <w:t xml:space="preserve"> </w:t>
      </w:r>
      <w:r>
        <w:rPr>
          <w:rFonts w:ascii="宋体" w:hAnsi="宋体" w:eastAsia="宋体" w:cs="宋体"/>
          <w:color w:val="auto"/>
          <w:spacing w:val="-3"/>
          <w:sz w:val="24"/>
          <w:szCs w:val="24"/>
          <w:highlight w:val="none"/>
        </w:rPr>
        <w:t>部进入评审范围）投标人进行商务评审。评标委员会应对商务报价的范围、数量、单</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价、费用组成和总价等进行全面审阅和对比分析，找出报价差异的原因及存在的问题。</w:t>
      </w:r>
    </w:p>
    <w:p w14:paraId="2D4806F5">
      <w:pPr>
        <w:spacing w:before="183" w:line="312" w:lineRule="auto"/>
        <w:ind w:left="446" w:right="235" w:firstLine="477"/>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4.5.2  </w:t>
      </w:r>
      <w:r>
        <w:rPr>
          <w:rFonts w:ascii="宋体" w:hAnsi="宋体" w:eastAsia="宋体" w:cs="宋体"/>
          <w:color w:val="auto"/>
          <w:sz w:val="24"/>
          <w:szCs w:val="24"/>
          <w:highlight w:val="none"/>
        </w:rPr>
        <w:t>商务评审应以报价口径范围一致的投标评标价为依据。投标评标价应在最</w:t>
      </w:r>
      <w:r>
        <w:rPr>
          <w:rFonts w:ascii="宋体" w:hAnsi="宋体" w:eastAsia="宋体" w:cs="宋体"/>
          <w:color w:val="auto"/>
          <w:spacing w:val="18"/>
          <w:sz w:val="24"/>
          <w:szCs w:val="24"/>
          <w:highlight w:val="none"/>
        </w:rPr>
        <w:t xml:space="preserve"> </w:t>
      </w:r>
      <w:r>
        <w:rPr>
          <w:rFonts w:ascii="宋体" w:hAnsi="宋体" w:eastAsia="宋体" w:cs="宋体"/>
          <w:color w:val="auto"/>
          <w:spacing w:val="-3"/>
          <w:sz w:val="24"/>
          <w:szCs w:val="24"/>
          <w:highlight w:val="none"/>
        </w:rPr>
        <w:t>终报价的基础上，按照招标文件约定的因素和方法进行计算。凡属招标文件的原因造</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成报价口径范围不一致的，应调整投标报价。其中算术错误的调整原则为：</w:t>
      </w:r>
    </w:p>
    <w:p w14:paraId="07A37D51">
      <w:pPr>
        <w:spacing w:before="182" w:line="220" w:lineRule="auto"/>
        <w:ind w:left="99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）用数字表示的金额与文字表示的数额不一致时，以文字数额为准。</w:t>
      </w:r>
    </w:p>
    <w:p w14:paraId="4F7661A6">
      <w:pPr>
        <w:spacing w:before="184" w:line="324" w:lineRule="auto"/>
        <w:ind w:left="446" w:right="170" w:firstLine="54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2</w:t>
      </w:r>
      <w:r>
        <w:rPr>
          <w:rFonts w:ascii="宋体" w:hAnsi="宋体" w:eastAsia="宋体" w:cs="宋体"/>
          <w:color w:val="auto"/>
          <w:spacing w:val="-7"/>
          <w:sz w:val="24"/>
          <w:szCs w:val="24"/>
          <w:highlight w:val="none"/>
        </w:rPr>
        <w:t>）凡属投标人自身失误造成多算、少算、漏算的，</w:t>
      </w:r>
      <w:r>
        <w:rPr>
          <w:rFonts w:ascii="宋体" w:hAnsi="宋体" w:eastAsia="宋体" w:cs="宋体"/>
          <w:color w:val="auto"/>
          <w:spacing w:val="76"/>
          <w:sz w:val="24"/>
          <w:szCs w:val="24"/>
          <w:highlight w:val="none"/>
        </w:rPr>
        <w:t xml:space="preserve"> </w:t>
      </w:r>
      <w:r>
        <w:rPr>
          <w:rFonts w:ascii="宋体" w:hAnsi="宋体" w:eastAsia="宋体" w:cs="宋体"/>
          <w:color w:val="auto"/>
          <w:spacing w:val="-7"/>
          <w:sz w:val="24"/>
          <w:szCs w:val="24"/>
          <w:highlight w:val="none"/>
        </w:rPr>
        <w:t>不调整投标报价。若有算</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术性差错，均在投标报价不变的前提下按招标人要求调整单价及有关费用，调整后的</w:t>
      </w:r>
      <w:r>
        <w:rPr>
          <w:rFonts w:ascii="宋体" w:hAnsi="宋体" w:eastAsia="宋体" w:cs="宋体"/>
          <w:color w:val="auto"/>
          <w:spacing w:val="7"/>
          <w:sz w:val="24"/>
          <w:szCs w:val="24"/>
          <w:highlight w:val="none"/>
        </w:rPr>
        <w:t xml:space="preserve"> </w:t>
      </w:r>
      <w:r>
        <w:rPr>
          <w:rFonts w:ascii="宋体" w:hAnsi="宋体" w:eastAsia="宋体" w:cs="宋体"/>
          <w:color w:val="auto"/>
          <w:spacing w:val="-1"/>
          <w:sz w:val="24"/>
          <w:szCs w:val="24"/>
          <w:highlight w:val="none"/>
        </w:rPr>
        <w:t>单价及有关费用对投标人起约束作用，如果投标人不接受修正后的单价及有关</w:t>
      </w:r>
      <w:r>
        <w:rPr>
          <w:rFonts w:ascii="宋体" w:hAnsi="宋体" w:eastAsia="宋体" w:cs="宋体"/>
          <w:color w:val="auto"/>
          <w:spacing w:val="-2"/>
          <w:sz w:val="24"/>
          <w:szCs w:val="24"/>
          <w:highlight w:val="none"/>
        </w:rPr>
        <w:t>费用，</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则按商务评审不合格处理。</w:t>
      </w:r>
    </w:p>
    <w:p w14:paraId="3E1C38F8">
      <w:pPr>
        <w:spacing w:before="181" w:line="218" w:lineRule="auto"/>
        <w:ind w:left="981"/>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4.5.3  </w:t>
      </w:r>
      <w:r>
        <w:rPr>
          <w:rFonts w:ascii="宋体" w:hAnsi="宋体" w:eastAsia="宋体" w:cs="宋体"/>
          <w:color w:val="auto"/>
          <w:spacing w:val="-2"/>
          <w:sz w:val="24"/>
          <w:szCs w:val="24"/>
          <w:highlight w:val="none"/>
        </w:rPr>
        <w:t>投标报价中，如有以下情况之一的，按商务评审不合格处理：</w:t>
      </w:r>
    </w:p>
    <w:p w14:paraId="7768BA3D">
      <w:pPr>
        <w:spacing w:before="184" w:line="218" w:lineRule="auto"/>
        <w:ind w:left="99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）投标人拒绝修正不平衡报价或拒绝提供报价分析说明和证明材料的。</w:t>
      </w:r>
    </w:p>
    <w:p w14:paraId="2B057C4B">
      <w:pPr>
        <w:spacing w:before="182" w:line="291" w:lineRule="auto"/>
        <w:ind w:left="445" w:right="255" w:firstLine="54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）因投标人自身多算、少算、错算、漏算而造成的错误金额超过投标总价的</w:t>
      </w:r>
      <w:r>
        <w:rPr>
          <w:rFonts w:ascii="宋体" w:hAnsi="宋体" w:eastAsia="宋体" w:cs="宋体"/>
          <w:color w:val="auto"/>
          <w:spacing w:val="2"/>
          <w:sz w:val="24"/>
          <w:szCs w:val="24"/>
          <w:highlight w:val="none"/>
        </w:rPr>
        <w:t xml:space="preserve"> </w:t>
      </w:r>
      <w:r>
        <w:rPr>
          <w:rFonts w:ascii="Times New Roman" w:hAnsi="Times New Roman" w:eastAsia="Times New Roman" w:cs="Times New Roman"/>
          <w:color w:val="auto"/>
          <w:spacing w:val="-7"/>
          <w:sz w:val="24"/>
          <w:szCs w:val="24"/>
          <w:highlight w:val="none"/>
        </w:rPr>
        <w:t>3%</w:t>
      </w:r>
      <w:r>
        <w:rPr>
          <w:rFonts w:ascii="宋体" w:hAnsi="宋体" w:eastAsia="宋体" w:cs="宋体"/>
          <w:color w:val="auto"/>
          <w:spacing w:val="-7"/>
          <w:sz w:val="24"/>
          <w:szCs w:val="24"/>
          <w:highlight w:val="none"/>
        </w:rPr>
        <w:t>的。</w:t>
      </w:r>
    </w:p>
    <w:p w14:paraId="324E3B87">
      <w:pPr>
        <w:spacing w:before="177" w:line="220" w:lineRule="auto"/>
        <w:ind w:left="99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）安全施工费低于招标文件规定的。</w:t>
      </w:r>
    </w:p>
    <w:p w14:paraId="0C4EE631">
      <w:pPr>
        <w:spacing w:before="181" w:line="289" w:lineRule="auto"/>
        <w:ind w:left="444" w:right="236" w:firstLine="54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4</w:t>
      </w:r>
      <w:r>
        <w:rPr>
          <w:rFonts w:ascii="宋体" w:hAnsi="宋体" w:eastAsia="宋体" w:cs="宋体"/>
          <w:color w:val="auto"/>
          <w:spacing w:val="-1"/>
          <w:sz w:val="24"/>
          <w:szCs w:val="24"/>
          <w:highlight w:val="none"/>
        </w:rPr>
        <w:t>）通过符合性审查、技术评审的最低投标评</w:t>
      </w:r>
      <w:r>
        <w:rPr>
          <w:rFonts w:ascii="宋体" w:hAnsi="宋体" w:eastAsia="宋体" w:cs="宋体"/>
          <w:color w:val="auto"/>
          <w:spacing w:val="-2"/>
          <w:sz w:val="24"/>
          <w:szCs w:val="24"/>
          <w:highlight w:val="none"/>
        </w:rPr>
        <w:t>标价低于通过符合性审查和技术</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评审的次低投标评标价</w:t>
      </w:r>
      <w:r>
        <w:rPr>
          <w:rFonts w:ascii="Times New Roman" w:hAnsi="Times New Roman" w:eastAsia="Times New Roman" w:cs="Times New Roman"/>
          <w:color w:val="auto"/>
          <w:spacing w:val="2"/>
          <w:sz w:val="24"/>
          <w:szCs w:val="24"/>
          <w:highlight w:val="none"/>
        </w:rPr>
        <w:t>8%</w:t>
      </w:r>
      <w:r>
        <w:rPr>
          <w:rFonts w:ascii="宋体" w:hAnsi="宋体" w:eastAsia="宋体" w:cs="宋体"/>
          <w:color w:val="auto"/>
          <w:spacing w:val="2"/>
          <w:sz w:val="24"/>
          <w:szCs w:val="24"/>
          <w:highlight w:val="none"/>
        </w:rPr>
        <w:t>，且经询标投标人对</w:t>
      </w:r>
      <w:r>
        <w:rPr>
          <w:rFonts w:ascii="宋体" w:hAnsi="宋体" w:eastAsia="宋体" w:cs="宋体"/>
          <w:color w:val="auto"/>
          <w:spacing w:val="1"/>
          <w:sz w:val="24"/>
          <w:szCs w:val="24"/>
          <w:highlight w:val="none"/>
        </w:rPr>
        <w:t>其报价不能充分说明理由，或提供的</w:t>
      </w:r>
    </w:p>
    <w:p w14:paraId="72BA6798">
      <w:pPr>
        <w:spacing w:line="289" w:lineRule="auto"/>
        <w:rPr>
          <w:rFonts w:ascii="宋体" w:hAnsi="宋体" w:eastAsia="宋体" w:cs="宋体"/>
          <w:color w:val="auto"/>
          <w:sz w:val="24"/>
          <w:szCs w:val="24"/>
          <w:highlight w:val="none"/>
        </w:rPr>
        <w:sectPr>
          <w:footerReference r:id="rId57" w:type="default"/>
          <w:pgSz w:w="11905" w:h="16840"/>
          <w:pgMar w:top="1431" w:right="1292" w:bottom="1255" w:left="1151" w:header="0" w:footer="1093" w:gutter="0"/>
          <w:pgNumType w:fmt="decimal"/>
          <w:cols w:space="720" w:num="1"/>
        </w:sectPr>
      </w:pPr>
    </w:p>
    <w:p w14:paraId="5BD9AD76">
      <w:pPr>
        <w:spacing w:before="48" w:line="218" w:lineRule="auto"/>
        <w:ind w:left="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相关材料无法证明报价不低于其成本价的。</w:t>
      </w:r>
    </w:p>
    <w:p w14:paraId="152B8014">
      <w:pPr>
        <w:spacing w:before="183" w:line="219" w:lineRule="auto"/>
        <w:ind w:left="55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）评标委员会认定属投标人自身原因有重大漏项的。</w:t>
      </w:r>
    </w:p>
    <w:p w14:paraId="677348A3">
      <w:pPr>
        <w:spacing w:before="182" w:line="213" w:lineRule="auto"/>
        <w:ind w:left="565"/>
        <w:rPr>
          <w:rFonts w:ascii="宋体" w:hAnsi="宋体" w:eastAsia="宋体" w:cs="宋体"/>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6</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5A8F4CA4">
      <w:pPr>
        <w:spacing w:before="177" w:line="220" w:lineRule="auto"/>
        <w:ind w:left="529"/>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4.5.4  </w:t>
      </w:r>
      <w:r>
        <w:rPr>
          <w:rFonts w:ascii="宋体" w:hAnsi="宋体" w:eastAsia="宋体" w:cs="宋体"/>
          <w:color w:val="auto"/>
          <w:spacing w:val="-2"/>
          <w:sz w:val="24"/>
          <w:szCs w:val="24"/>
          <w:highlight w:val="none"/>
        </w:rPr>
        <w:t>商务评审不通过的投标文件不再进入后续评分。</w:t>
      </w:r>
    </w:p>
    <w:p w14:paraId="11465395">
      <w:pPr>
        <w:spacing w:before="182" w:line="278" w:lineRule="auto"/>
        <w:ind w:left="35" w:right="551" w:firstLine="493"/>
        <w:rPr>
          <w:rFonts w:ascii="宋体" w:hAnsi="宋体" w:eastAsia="宋体" w:cs="宋体"/>
          <w:color w:val="auto"/>
          <w:sz w:val="24"/>
          <w:szCs w:val="24"/>
          <w:highlight w:val="none"/>
        </w:rPr>
      </w:pPr>
      <w:r>
        <w:rPr>
          <w:rFonts w:ascii="Times New Roman" w:hAnsi="Times New Roman" w:eastAsia="Times New Roman" w:cs="Times New Roman"/>
          <w:b/>
          <w:bCs/>
          <w:color w:val="auto"/>
          <w:spacing w:val="-10"/>
          <w:sz w:val="24"/>
          <w:szCs w:val="24"/>
          <w:highlight w:val="none"/>
        </w:rPr>
        <w:t xml:space="preserve">4.5.5  </w:t>
      </w:r>
      <w:r>
        <w:rPr>
          <w:rFonts w:ascii="宋体" w:hAnsi="宋体" w:eastAsia="宋体" w:cs="宋体"/>
          <w:color w:val="auto"/>
          <w:spacing w:val="-10"/>
          <w:sz w:val="24"/>
          <w:szCs w:val="24"/>
          <w:highlight w:val="none"/>
        </w:rPr>
        <w:t xml:space="preserve">评标基准价计算办法 </w:t>
      </w:r>
      <w:r>
        <w:rPr>
          <w:rFonts w:ascii="宋体" w:hAnsi="宋体" w:eastAsia="宋体" w:cs="宋体"/>
          <w:i/>
          <w:iCs/>
          <w:color w:val="auto"/>
          <w:spacing w:val="-10"/>
          <w:sz w:val="25"/>
          <w:szCs w:val="25"/>
          <w:highlight w:val="none"/>
        </w:rPr>
        <w:t>（以下列出的两</w:t>
      </w:r>
      <w:r>
        <w:rPr>
          <w:rFonts w:ascii="宋体" w:hAnsi="宋体" w:eastAsia="宋体" w:cs="宋体"/>
          <w:i/>
          <w:iCs/>
          <w:color w:val="auto"/>
          <w:spacing w:val="-11"/>
          <w:sz w:val="25"/>
          <w:szCs w:val="25"/>
          <w:highlight w:val="none"/>
        </w:rPr>
        <w:t>种评标基准价的确定方法仅供参</w:t>
      </w:r>
      <w:r>
        <w:rPr>
          <w:rFonts w:ascii="宋体" w:hAnsi="宋体" w:eastAsia="宋体" w:cs="宋体"/>
          <w:i/>
          <w:iCs/>
          <w:color w:val="auto"/>
          <w:spacing w:val="-13"/>
          <w:sz w:val="25"/>
          <w:szCs w:val="25"/>
          <w:highlight w:val="none"/>
        </w:rPr>
        <w:t>考</w:t>
      </w:r>
      <w:r>
        <w:rPr>
          <w:rFonts w:ascii="宋体" w:hAnsi="宋体" w:eastAsia="宋体" w:cs="宋体"/>
          <w:i/>
          <w:iCs/>
          <w:color w:val="auto"/>
          <w:spacing w:val="-7"/>
          <w:sz w:val="25"/>
          <w:szCs w:val="25"/>
          <w:highlight w:val="none"/>
        </w:rPr>
        <w:t>）</w:t>
      </w:r>
      <w:r>
        <w:rPr>
          <w:rFonts w:ascii="宋体" w:hAnsi="宋体" w:eastAsia="宋体" w:cs="宋体"/>
          <w:color w:val="auto"/>
          <w:spacing w:val="-7"/>
          <w:sz w:val="24"/>
          <w:szCs w:val="24"/>
          <w:highlight w:val="none"/>
        </w:rPr>
        <w:t>：</w:t>
      </w:r>
    </w:p>
    <w:p w14:paraId="52275DFC">
      <w:pPr>
        <w:spacing w:before="179" w:line="221" w:lineRule="auto"/>
        <w:ind w:left="55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方法</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w:t>
      </w:r>
    </w:p>
    <w:p w14:paraId="0484628A">
      <w:pPr>
        <w:spacing w:before="182" w:line="353" w:lineRule="auto"/>
        <w:ind w:left="10" w:firstLine="539"/>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若通过商务评审的投标人大于等于</w:t>
      </w:r>
      <w:r>
        <w:rPr>
          <w:rFonts w:ascii="Times New Roman" w:hAnsi="Times New Roman" w:eastAsia="Times New Roman" w:cs="Times New Roman"/>
          <w:color w:val="auto"/>
          <w:spacing w:val="-1"/>
          <w:sz w:val="24"/>
          <w:szCs w:val="24"/>
          <w:highlight w:val="none"/>
        </w:rPr>
        <w:t>5</w:t>
      </w:r>
      <w:r>
        <w:rPr>
          <w:rFonts w:ascii="宋体" w:hAnsi="宋体" w:eastAsia="宋体" w:cs="宋体"/>
          <w:color w:val="auto"/>
          <w:spacing w:val="-1"/>
          <w:sz w:val="24"/>
          <w:szCs w:val="24"/>
          <w:highlight w:val="none"/>
        </w:rPr>
        <w:t>家，基准价为通过商务</w:t>
      </w:r>
      <w:r>
        <w:rPr>
          <w:rFonts w:ascii="宋体" w:hAnsi="宋体" w:eastAsia="宋体" w:cs="宋体"/>
          <w:color w:val="auto"/>
          <w:spacing w:val="-2"/>
          <w:sz w:val="24"/>
          <w:szCs w:val="24"/>
          <w:highlight w:val="none"/>
        </w:rPr>
        <w:t>评审的评标价中剔除</w:t>
      </w:r>
      <w:r>
        <w:rPr>
          <w:rFonts w:ascii="宋体" w:hAnsi="宋体" w:eastAsia="宋体" w:cs="宋体"/>
          <w:color w:val="auto"/>
          <w:spacing w:val="1"/>
          <w:sz w:val="24"/>
          <w:szCs w:val="24"/>
          <w:highlight w:val="none"/>
        </w:rPr>
        <w:t>投标评标价由高到低排序前</w:t>
      </w:r>
      <w:r>
        <w:rPr>
          <w:rFonts w:ascii="Times New Roman" w:hAnsi="Times New Roman" w:eastAsia="Times New Roman" w:cs="Times New Roman"/>
          <w:color w:val="auto"/>
          <w:spacing w:val="1"/>
          <w:sz w:val="24"/>
          <w:szCs w:val="24"/>
          <w:highlight w:val="none"/>
        </w:rPr>
        <w:t>A</w:t>
      </w:r>
      <w:r>
        <w:rPr>
          <w:rFonts w:ascii="宋体" w:hAnsi="宋体" w:eastAsia="宋体" w:cs="宋体"/>
          <w:color w:val="auto"/>
          <w:spacing w:val="1"/>
          <w:sz w:val="24"/>
          <w:szCs w:val="24"/>
          <w:highlight w:val="none"/>
        </w:rPr>
        <w:t>个投标评标价和投标评标价由低到高排</w:t>
      </w:r>
      <w:r>
        <w:rPr>
          <w:rFonts w:ascii="宋体" w:hAnsi="宋体" w:eastAsia="宋体" w:cs="宋体"/>
          <w:color w:val="auto"/>
          <w:sz w:val="24"/>
          <w:szCs w:val="24"/>
          <w:highlight w:val="none"/>
        </w:rPr>
        <w:t>序前</w:t>
      </w:r>
      <w:r>
        <w:rPr>
          <w:rFonts w:ascii="Times New Roman" w:hAnsi="Times New Roman" w:eastAsia="Times New Roman" w:cs="Times New Roman"/>
          <w:color w:val="auto"/>
          <w:sz w:val="24"/>
          <w:szCs w:val="24"/>
          <w:highlight w:val="none"/>
        </w:rPr>
        <w:t>A</w:t>
      </w:r>
      <w:r>
        <w:rPr>
          <w:rFonts w:ascii="宋体" w:hAnsi="宋体" w:eastAsia="宋体" w:cs="宋体"/>
          <w:color w:val="auto"/>
          <w:sz w:val="24"/>
          <w:szCs w:val="24"/>
          <w:highlight w:val="none"/>
        </w:rPr>
        <w:t>个投标评</w:t>
      </w:r>
      <w:r>
        <w:rPr>
          <w:rFonts w:ascii="宋体" w:hAnsi="宋体" w:eastAsia="宋体" w:cs="宋体"/>
          <w:color w:val="auto"/>
          <w:spacing w:val="-2"/>
          <w:sz w:val="24"/>
          <w:szCs w:val="24"/>
          <w:highlight w:val="none"/>
        </w:rPr>
        <w:t>标价后的算术平均值下浮</w:t>
      </w:r>
      <w:r>
        <w:rPr>
          <w:rFonts w:ascii="Times New Roman" w:hAnsi="Times New Roman" w:eastAsia="Times New Roman" w:cs="Times New Roman"/>
          <w:color w:val="auto"/>
          <w:spacing w:val="-2"/>
          <w:sz w:val="24"/>
          <w:szCs w:val="24"/>
          <w:highlight w:val="none"/>
        </w:rPr>
        <w:t>X%</w:t>
      </w: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A</w:t>
      </w:r>
      <w:r>
        <w:rPr>
          <w:rFonts w:ascii="宋体" w:hAnsi="宋体" w:eastAsia="宋体" w:cs="宋体"/>
          <w:color w:val="auto"/>
          <w:spacing w:val="-2"/>
          <w:sz w:val="24"/>
          <w:szCs w:val="24"/>
          <w:highlight w:val="none"/>
        </w:rPr>
        <w:t>为通过商务评审的投标人个数的</w:t>
      </w:r>
      <w:r>
        <w:rPr>
          <w:rFonts w:hint="eastAsia" w:ascii="宋体" w:hAnsi="宋体" w:eastAsia="宋体" w:cs="宋体"/>
          <w:color w:val="auto"/>
          <w:spacing w:val="-2"/>
          <w:sz w:val="24"/>
          <w:szCs w:val="24"/>
          <w:highlight w:val="none"/>
          <w:u w:val="single"/>
          <w:lang w:val="en-US" w:eastAsia="zh-CN"/>
        </w:rPr>
        <w:t>20%</w:t>
      </w:r>
      <w:r>
        <w:rPr>
          <w:rFonts w:ascii="宋体" w:hAnsi="宋体" w:eastAsia="宋体" w:cs="宋体"/>
          <w:i/>
          <w:iCs/>
          <w:color w:val="auto"/>
          <w:spacing w:val="-2"/>
          <w:sz w:val="25"/>
          <w:szCs w:val="25"/>
          <w:highlight w:val="none"/>
          <w:u w:val="single" w:color="auto"/>
        </w:rPr>
        <w:t>（</w:t>
      </w:r>
      <w:r>
        <w:rPr>
          <w:rFonts w:ascii="Times New Roman" w:hAnsi="Times New Roman" w:eastAsia="Times New Roman" w:cs="Times New Roman"/>
          <w:i/>
          <w:iCs/>
          <w:color w:val="auto"/>
          <w:spacing w:val="-2"/>
          <w:sz w:val="24"/>
          <w:szCs w:val="24"/>
          <w:highlight w:val="none"/>
          <w:u w:val="single" w:color="auto"/>
        </w:rPr>
        <w:t>5%</w:t>
      </w:r>
      <w:r>
        <w:rPr>
          <w:rFonts w:ascii="宋体" w:hAnsi="宋体" w:eastAsia="宋体" w:cs="宋体"/>
          <w:i/>
          <w:iCs/>
          <w:color w:val="auto"/>
          <w:spacing w:val="-2"/>
          <w:sz w:val="25"/>
          <w:szCs w:val="25"/>
          <w:highlight w:val="none"/>
          <w:u w:val="single" w:color="auto"/>
        </w:rPr>
        <w:t>～</w:t>
      </w:r>
      <w:r>
        <w:rPr>
          <w:rFonts w:ascii="Times New Roman" w:hAnsi="Times New Roman" w:eastAsia="Times New Roman" w:cs="Times New Roman"/>
          <w:i/>
          <w:iCs/>
          <w:color w:val="auto"/>
          <w:spacing w:val="-2"/>
          <w:sz w:val="24"/>
          <w:szCs w:val="24"/>
          <w:highlight w:val="none"/>
          <w:u w:val="single" w:color="auto"/>
        </w:rPr>
        <w:t>20</w:t>
      </w:r>
      <w:r>
        <w:rPr>
          <w:rFonts w:ascii="Times New Roman" w:hAnsi="Times New Roman" w:eastAsia="Times New Roman" w:cs="Times New Roman"/>
          <w:i/>
          <w:iCs/>
          <w:color w:val="auto"/>
          <w:spacing w:val="-3"/>
          <w:sz w:val="24"/>
          <w:szCs w:val="24"/>
          <w:highlight w:val="none"/>
          <w:u w:val="single" w:color="auto"/>
        </w:rPr>
        <w:t>%</w:t>
      </w:r>
      <w:r>
        <w:rPr>
          <w:rFonts w:ascii="Times New Roman" w:hAnsi="Times New Roman" w:eastAsia="Times New Roman" w:cs="Times New Roman"/>
          <w:i/>
          <w:iCs/>
          <w:color w:val="auto"/>
          <w:spacing w:val="-24"/>
          <w:sz w:val="24"/>
          <w:szCs w:val="24"/>
          <w:highlight w:val="none"/>
          <w:u w:val="single" w:color="auto"/>
        </w:rPr>
        <w:t xml:space="preserve"> </w:t>
      </w:r>
      <w:r>
        <w:rPr>
          <w:rFonts w:ascii="宋体" w:hAnsi="宋体" w:eastAsia="宋体" w:cs="宋体"/>
          <w:i/>
          <w:iCs/>
          <w:color w:val="auto"/>
          <w:spacing w:val="-3"/>
          <w:sz w:val="25"/>
          <w:szCs w:val="25"/>
          <w:highlight w:val="none"/>
          <w:u w:val="single" w:color="auto"/>
        </w:rPr>
        <w:t>，</w:t>
      </w:r>
      <w:r>
        <w:rPr>
          <w:rFonts w:ascii="宋体" w:hAnsi="宋体" w:eastAsia="宋体" w:cs="宋体"/>
          <w:b/>
          <w:bCs/>
          <w:i/>
          <w:iCs/>
          <w:color w:val="auto"/>
          <w:spacing w:val="-3"/>
          <w:sz w:val="25"/>
          <w:szCs w:val="25"/>
          <w:highlight w:val="none"/>
          <w:u w:val="single" w:color="auto"/>
        </w:rPr>
        <w:t>由招</w:t>
      </w:r>
      <w:r>
        <w:rPr>
          <w:rFonts w:ascii="宋体" w:hAnsi="宋体" w:eastAsia="宋体" w:cs="宋体"/>
          <w:b/>
          <w:bCs/>
          <w:i/>
          <w:iCs/>
          <w:color w:val="auto"/>
          <w:spacing w:val="-2"/>
          <w:sz w:val="25"/>
          <w:szCs w:val="25"/>
          <w:highlight w:val="none"/>
          <w:u w:val="single" w:color="auto"/>
        </w:rPr>
        <w:t>标人自主确定</w:t>
      </w:r>
      <w:r>
        <w:rPr>
          <w:rFonts w:ascii="宋体" w:hAnsi="宋体" w:eastAsia="宋体" w:cs="宋体"/>
          <w:i/>
          <w:iCs/>
          <w:color w:val="auto"/>
          <w:spacing w:val="1"/>
          <w:sz w:val="25"/>
          <w:szCs w:val="25"/>
          <w:highlight w:val="none"/>
          <w:u w:val="single" w:color="auto"/>
        </w:rPr>
        <w:t>）</w:t>
      </w:r>
      <w:r>
        <w:rPr>
          <w:rFonts w:ascii="宋体" w:hAnsi="宋体" w:eastAsia="宋体" w:cs="宋体"/>
          <w:color w:val="auto"/>
          <w:spacing w:val="1"/>
          <w:sz w:val="24"/>
          <w:szCs w:val="24"/>
          <w:highlight w:val="none"/>
        </w:rPr>
        <w:t>，</w:t>
      </w:r>
      <w:r>
        <w:rPr>
          <w:rFonts w:ascii="宋体" w:hAnsi="宋体" w:eastAsia="宋体" w:cs="宋体"/>
          <w:color w:val="auto"/>
          <w:spacing w:val="-2"/>
          <w:sz w:val="24"/>
          <w:szCs w:val="24"/>
          <w:highlight w:val="none"/>
        </w:rPr>
        <w:t>并取整数，小数点后四舍五入</w:t>
      </w:r>
      <w:r>
        <w:rPr>
          <w:rFonts w:ascii="宋体" w:hAnsi="宋体" w:eastAsia="宋体" w:cs="宋体"/>
          <w:color w:val="auto"/>
          <w:spacing w:val="1"/>
          <w:sz w:val="24"/>
          <w:szCs w:val="24"/>
          <w:highlight w:val="none"/>
        </w:rPr>
        <w:t>）；</w:t>
      </w:r>
      <w:r>
        <w:rPr>
          <w:rFonts w:ascii="宋体" w:hAnsi="宋体" w:eastAsia="宋体" w:cs="宋体"/>
          <w:color w:val="auto"/>
          <w:spacing w:val="-2"/>
          <w:sz w:val="24"/>
          <w:szCs w:val="24"/>
          <w:highlight w:val="none"/>
        </w:rPr>
        <w:t>若通过商务</w:t>
      </w:r>
      <w:r>
        <w:rPr>
          <w:rFonts w:ascii="宋体" w:hAnsi="宋体" w:eastAsia="宋体" w:cs="宋体"/>
          <w:color w:val="auto"/>
          <w:spacing w:val="-3"/>
          <w:sz w:val="24"/>
          <w:szCs w:val="24"/>
          <w:highlight w:val="none"/>
        </w:rPr>
        <w:t>评审的投标人少于</w:t>
      </w:r>
      <w:r>
        <w:rPr>
          <w:rFonts w:ascii="Times New Roman" w:hAnsi="Times New Roman" w:eastAsia="Times New Roman" w:cs="Times New Roman"/>
          <w:color w:val="auto"/>
          <w:spacing w:val="-3"/>
          <w:sz w:val="24"/>
          <w:szCs w:val="24"/>
          <w:highlight w:val="none"/>
        </w:rPr>
        <w:t>5</w:t>
      </w:r>
      <w:r>
        <w:rPr>
          <w:rFonts w:ascii="Times New Roman" w:hAnsi="Times New Roman" w:eastAsia="Times New Roman" w:cs="Times New Roman"/>
          <w:color w:val="auto"/>
          <w:spacing w:val="2"/>
          <w:sz w:val="24"/>
          <w:szCs w:val="24"/>
          <w:highlight w:val="none"/>
        </w:rPr>
        <w:t xml:space="preserve"> </w:t>
      </w:r>
      <w:r>
        <w:rPr>
          <w:rFonts w:ascii="宋体" w:hAnsi="宋体" w:eastAsia="宋体" w:cs="宋体"/>
          <w:color w:val="auto"/>
          <w:spacing w:val="-1"/>
          <w:sz w:val="24"/>
          <w:szCs w:val="24"/>
          <w:highlight w:val="none"/>
        </w:rPr>
        <w:t>家时，基准价为所有通过商务评审的评标价的算术平均值下浮</w:t>
      </w:r>
      <w:r>
        <w:rPr>
          <w:rFonts w:ascii="Times New Roman" w:hAnsi="Times New Roman" w:eastAsia="Times New Roman" w:cs="Times New Roman"/>
          <w:color w:val="auto"/>
          <w:spacing w:val="-1"/>
          <w:sz w:val="24"/>
          <w:szCs w:val="24"/>
          <w:highlight w:val="none"/>
        </w:rPr>
        <w:t>X</w:t>
      </w:r>
      <w:r>
        <w:rPr>
          <w:rFonts w:ascii="Times New Roman" w:hAnsi="Times New Roman" w:eastAsia="Times New Roman" w:cs="Times New Roman"/>
          <w:color w:val="auto"/>
          <w:spacing w:val="-2"/>
          <w:sz w:val="24"/>
          <w:szCs w:val="24"/>
          <w:highlight w:val="none"/>
        </w:rPr>
        <w:t>%</w:t>
      </w:r>
      <w:r>
        <w:rPr>
          <w:rFonts w:ascii="宋体" w:hAnsi="宋体" w:eastAsia="宋体" w:cs="宋体"/>
          <w:color w:val="auto"/>
          <w:spacing w:val="-2"/>
          <w:sz w:val="24"/>
          <w:szCs w:val="24"/>
          <w:highlight w:val="none"/>
        </w:rPr>
        <w:t>的数值。</w:t>
      </w:r>
    </w:p>
    <w:p w14:paraId="3E4A3AF7">
      <w:pPr>
        <w:tabs>
          <w:tab w:val="left" w:pos="113"/>
        </w:tabs>
        <w:spacing w:before="2" w:line="344" w:lineRule="auto"/>
        <w:ind w:right="9" w:firstLine="541"/>
        <w:rPr>
          <w:rFonts w:ascii="宋体" w:hAnsi="宋体" w:eastAsia="宋体" w:cs="宋体"/>
          <w:color w:val="auto"/>
          <w:sz w:val="24"/>
          <w:szCs w:val="24"/>
          <w:highlight w:val="none"/>
        </w:rPr>
      </w:pPr>
      <w:r>
        <w:rPr>
          <w:rFonts w:ascii="Times New Roman" w:hAnsi="Times New Roman" w:eastAsia="Times New Roman" w:cs="Times New Roman"/>
          <w:color w:val="auto"/>
          <w:spacing w:val="-8"/>
          <w:sz w:val="24"/>
          <w:szCs w:val="24"/>
          <w:highlight w:val="none"/>
        </w:rPr>
        <w:t>X</w:t>
      </w:r>
      <w:r>
        <w:rPr>
          <w:rFonts w:ascii="宋体" w:hAnsi="宋体" w:eastAsia="宋体" w:cs="宋体"/>
          <w:color w:val="auto"/>
          <w:spacing w:val="-8"/>
          <w:sz w:val="24"/>
          <w:szCs w:val="24"/>
          <w:highlight w:val="none"/>
        </w:rPr>
        <w:t>值在开标时由招标人在</w:t>
      </w:r>
      <w:r>
        <w:rPr>
          <w:rFonts w:ascii="宋体" w:hAnsi="宋体" w:eastAsia="宋体" w:cs="宋体"/>
          <w:color w:val="auto"/>
          <w:spacing w:val="56"/>
          <w:sz w:val="25"/>
          <w:szCs w:val="25"/>
          <w:highlight w:val="none"/>
          <w:u w:val="single" w:color="auto"/>
        </w:rPr>
        <w:t xml:space="preserve"> </w:t>
      </w:r>
      <w:r>
        <w:rPr>
          <w:rFonts w:hint="eastAsia" w:ascii="宋体" w:hAnsi="宋体" w:eastAsia="宋体" w:cs="宋体"/>
          <w:b/>
          <w:bCs/>
          <w:i/>
          <w:iCs/>
          <w:color w:val="auto"/>
          <w:spacing w:val="22"/>
          <w:sz w:val="25"/>
          <w:szCs w:val="25"/>
          <w:highlight w:val="none"/>
          <w:u w:val="single"/>
          <w:lang w:val="en-US" w:eastAsia="zh-CN"/>
        </w:rPr>
        <w:t>0.5、1.0、1.5、2、2.5</w:t>
      </w:r>
      <w:r>
        <w:rPr>
          <w:rFonts w:ascii="宋体" w:hAnsi="宋体" w:eastAsia="宋体" w:cs="宋体"/>
          <w:i/>
          <w:iCs/>
          <w:color w:val="auto"/>
          <w:spacing w:val="-8"/>
          <w:sz w:val="25"/>
          <w:szCs w:val="25"/>
          <w:highlight w:val="none"/>
          <w:u w:val="single" w:color="auto"/>
        </w:rPr>
        <w:t>（由招标人在</w:t>
      </w:r>
      <w:r>
        <w:rPr>
          <w:rFonts w:ascii="Times New Roman" w:hAnsi="Times New Roman" w:eastAsia="Times New Roman" w:cs="Times New Roman"/>
          <w:i/>
          <w:iCs/>
          <w:color w:val="auto"/>
          <w:spacing w:val="-8"/>
          <w:sz w:val="24"/>
          <w:szCs w:val="24"/>
          <w:highlight w:val="none"/>
          <w:u w:val="single" w:color="auto"/>
        </w:rPr>
        <w:t>0</w:t>
      </w:r>
      <w:r>
        <w:rPr>
          <w:rFonts w:ascii="宋体" w:hAnsi="宋体" w:eastAsia="宋体" w:cs="宋体"/>
          <w:i/>
          <w:iCs/>
          <w:color w:val="auto"/>
          <w:spacing w:val="-8"/>
          <w:sz w:val="25"/>
          <w:szCs w:val="25"/>
          <w:highlight w:val="none"/>
          <w:u w:val="single" w:color="auto"/>
        </w:rPr>
        <w:t>～</w:t>
      </w:r>
      <w:r>
        <w:rPr>
          <w:rFonts w:ascii="Times New Roman" w:hAnsi="Times New Roman" w:eastAsia="Times New Roman" w:cs="Times New Roman"/>
          <w:i/>
          <w:iCs/>
          <w:color w:val="auto"/>
          <w:spacing w:val="-8"/>
          <w:sz w:val="24"/>
          <w:szCs w:val="24"/>
          <w:highlight w:val="none"/>
          <w:u w:val="single" w:color="auto"/>
        </w:rPr>
        <w:t>3</w:t>
      </w:r>
      <w:r>
        <w:rPr>
          <w:rFonts w:ascii="宋体" w:hAnsi="宋体" w:eastAsia="宋体" w:cs="宋体"/>
          <w:i/>
          <w:iCs/>
          <w:color w:val="auto"/>
          <w:spacing w:val="-8"/>
          <w:sz w:val="25"/>
          <w:szCs w:val="25"/>
          <w:highlight w:val="none"/>
          <w:u w:val="single" w:color="auto"/>
        </w:rPr>
        <w:t>之间自行确定，但应为</w:t>
      </w:r>
      <w:r>
        <w:rPr>
          <w:rFonts w:ascii="Times New Roman" w:hAnsi="Times New Roman" w:eastAsia="Times New Roman" w:cs="Times New Roman"/>
          <w:i/>
          <w:iCs/>
          <w:color w:val="auto"/>
          <w:spacing w:val="-8"/>
          <w:sz w:val="24"/>
          <w:szCs w:val="24"/>
          <w:highlight w:val="none"/>
          <w:u w:val="single" w:color="auto"/>
        </w:rPr>
        <w:t>5</w:t>
      </w:r>
      <w:r>
        <w:rPr>
          <w:rFonts w:ascii="宋体" w:hAnsi="宋体" w:eastAsia="宋体" w:cs="宋体"/>
          <w:i/>
          <w:iCs/>
          <w:color w:val="auto"/>
          <w:spacing w:val="-8"/>
          <w:sz w:val="25"/>
          <w:szCs w:val="25"/>
          <w:highlight w:val="none"/>
          <w:u w:val="single" w:color="auto"/>
        </w:rPr>
        <w:t>个数组成</w:t>
      </w:r>
      <w:r>
        <w:rPr>
          <w:rFonts w:ascii="宋体" w:hAnsi="宋体" w:eastAsia="宋体" w:cs="宋体"/>
          <w:i/>
          <w:iCs/>
          <w:color w:val="auto"/>
          <w:spacing w:val="-11"/>
          <w:sz w:val="25"/>
          <w:szCs w:val="25"/>
          <w:highlight w:val="none"/>
          <w:u w:val="single" w:color="auto"/>
        </w:rPr>
        <w:t>的等差递增数列，最小公差大于等于</w:t>
      </w:r>
      <w:r>
        <w:rPr>
          <w:rFonts w:ascii="Times New Roman" w:hAnsi="Times New Roman" w:eastAsia="Times New Roman" w:cs="Times New Roman"/>
          <w:i/>
          <w:iCs/>
          <w:color w:val="auto"/>
          <w:spacing w:val="-11"/>
          <w:sz w:val="24"/>
          <w:szCs w:val="24"/>
          <w:highlight w:val="none"/>
          <w:u w:val="single" w:color="auto"/>
        </w:rPr>
        <w:t>0.5</w:t>
      </w:r>
      <w:r>
        <w:rPr>
          <w:rFonts w:ascii="宋体" w:hAnsi="宋体" w:eastAsia="宋体" w:cs="宋体"/>
          <w:i/>
          <w:iCs/>
          <w:color w:val="auto"/>
          <w:spacing w:val="-11"/>
          <w:sz w:val="25"/>
          <w:szCs w:val="25"/>
          <w:highlight w:val="none"/>
          <w:u w:val="single" w:color="auto"/>
        </w:rPr>
        <w:t>）</w:t>
      </w:r>
      <w:r>
        <w:rPr>
          <w:rFonts w:ascii="宋体" w:hAnsi="宋体" w:eastAsia="宋体" w:cs="宋体"/>
          <w:color w:val="auto"/>
          <w:spacing w:val="108"/>
          <w:sz w:val="25"/>
          <w:szCs w:val="25"/>
          <w:highlight w:val="none"/>
          <w:u w:val="single" w:color="auto"/>
        </w:rPr>
        <w:t xml:space="preserve"> </w:t>
      </w:r>
      <w:r>
        <w:rPr>
          <w:rFonts w:ascii="宋体" w:hAnsi="宋体" w:eastAsia="宋体" w:cs="宋体"/>
          <w:color w:val="auto"/>
          <w:spacing w:val="-114"/>
          <w:sz w:val="25"/>
          <w:szCs w:val="25"/>
          <w:highlight w:val="none"/>
        </w:rPr>
        <w:t xml:space="preserve"> </w:t>
      </w:r>
      <w:r>
        <w:rPr>
          <w:rFonts w:ascii="宋体" w:hAnsi="宋体" w:eastAsia="宋体" w:cs="宋体"/>
          <w:color w:val="auto"/>
          <w:spacing w:val="-11"/>
          <w:sz w:val="24"/>
          <w:szCs w:val="24"/>
          <w:highlight w:val="none"/>
        </w:rPr>
        <w:t>之中随机抽取确定。</w:t>
      </w:r>
    </w:p>
    <w:p w14:paraId="1F435026">
      <w:pPr>
        <w:spacing w:before="1" w:line="220" w:lineRule="auto"/>
        <w:ind w:left="48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方法</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w:t>
      </w:r>
    </w:p>
    <w:p w14:paraId="36441E06">
      <w:pPr>
        <w:spacing w:before="180" w:line="328" w:lineRule="auto"/>
        <w:ind w:left="9" w:right="29"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）平均报价值的确定：若通过商务评审的投标人大于等于</w:t>
      </w:r>
      <w:r>
        <w:rPr>
          <w:rFonts w:ascii="Times New Roman" w:hAnsi="Times New Roman" w:eastAsia="Times New Roman" w:cs="Times New Roman"/>
          <w:strike/>
          <w:dstrike w:val="0"/>
          <w:color w:val="auto"/>
          <w:spacing w:val="-5"/>
          <w:sz w:val="24"/>
          <w:szCs w:val="24"/>
          <w:highlight w:val="none"/>
        </w:rPr>
        <w:t>5</w:t>
      </w:r>
      <w:r>
        <w:rPr>
          <w:rFonts w:ascii="宋体" w:hAnsi="宋体" w:eastAsia="宋体" w:cs="宋体"/>
          <w:strike/>
          <w:dstrike w:val="0"/>
          <w:color w:val="auto"/>
          <w:spacing w:val="-5"/>
          <w:sz w:val="24"/>
          <w:szCs w:val="24"/>
          <w:highlight w:val="none"/>
        </w:rPr>
        <w:t>家，平均报价值为</w:t>
      </w:r>
      <w:r>
        <w:rPr>
          <w:rFonts w:ascii="宋体" w:hAnsi="宋体" w:eastAsia="宋体" w:cs="宋体"/>
          <w:strike/>
          <w:dstrike w:val="0"/>
          <w:color w:val="auto"/>
          <w:spacing w:val="6"/>
          <w:sz w:val="24"/>
          <w:szCs w:val="24"/>
          <w:highlight w:val="none"/>
        </w:rPr>
        <w:t>通过商务评审的评标价中剔除投标评标价由高到低排</w:t>
      </w:r>
      <w:r>
        <w:rPr>
          <w:rFonts w:ascii="宋体" w:hAnsi="宋体" w:eastAsia="宋体" w:cs="宋体"/>
          <w:strike/>
          <w:dstrike w:val="0"/>
          <w:color w:val="auto"/>
          <w:spacing w:val="5"/>
          <w:sz w:val="24"/>
          <w:szCs w:val="24"/>
          <w:highlight w:val="none"/>
        </w:rPr>
        <w:t>序前</w:t>
      </w:r>
      <w:r>
        <w:rPr>
          <w:rFonts w:ascii="Times New Roman" w:hAnsi="Times New Roman" w:eastAsia="Times New Roman" w:cs="Times New Roman"/>
          <w:strike/>
          <w:dstrike w:val="0"/>
          <w:color w:val="auto"/>
          <w:spacing w:val="5"/>
          <w:sz w:val="24"/>
          <w:szCs w:val="24"/>
          <w:highlight w:val="none"/>
        </w:rPr>
        <w:t>A</w:t>
      </w:r>
      <w:r>
        <w:rPr>
          <w:rFonts w:ascii="宋体" w:hAnsi="宋体" w:eastAsia="宋体" w:cs="宋体"/>
          <w:strike/>
          <w:dstrike w:val="0"/>
          <w:color w:val="auto"/>
          <w:spacing w:val="5"/>
          <w:sz w:val="24"/>
          <w:szCs w:val="24"/>
          <w:highlight w:val="none"/>
        </w:rPr>
        <w:t>个投标评标价和投标评</w:t>
      </w:r>
      <w:r>
        <w:rPr>
          <w:rFonts w:ascii="宋体" w:hAnsi="宋体" w:eastAsia="宋体" w:cs="宋体"/>
          <w:strike/>
          <w:dstrike w:val="0"/>
          <w:color w:val="auto"/>
          <w:spacing w:val="1"/>
          <w:sz w:val="24"/>
          <w:szCs w:val="24"/>
          <w:highlight w:val="none"/>
        </w:rPr>
        <w:t>标价由低到高排序前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个投标评标价后的算术平均值（</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为通过商务评</w:t>
      </w:r>
      <w:r>
        <w:rPr>
          <w:rFonts w:ascii="宋体" w:hAnsi="宋体" w:eastAsia="宋体" w:cs="宋体"/>
          <w:strike/>
          <w:dstrike w:val="0"/>
          <w:color w:val="auto"/>
          <w:sz w:val="24"/>
          <w:szCs w:val="24"/>
          <w:highlight w:val="none"/>
        </w:rPr>
        <w:t>审的投标人个</w:t>
      </w:r>
      <w:r>
        <w:rPr>
          <w:rFonts w:ascii="宋体" w:hAnsi="宋体" w:eastAsia="宋体" w:cs="宋体"/>
          <w:strike/>
          <w:dstrike w:val="0"/>
          <w:color w:val="auto"/>
          <w:spacing w:val="-6"/>
          <w:sz w:val="24"/>
          <w:szCs w:val="24"/>
          <w:highlight w:val="none"/>
        </w:rPr>
        <w:t>数的</w:t>
      </w:r>
      <w:r>
        <w:rPr>
          <w:rFonts w:ascii="宋体" w:hAnsi="宋体" w:eastAsia="宋体" w:cs="宋体"/>
          <w:i/>
          <w:iCs/>
          <w:strike/>
          <w:dstrike w:val="0"/>
          <w:color w:val="auto"/>
          <w:spacing w:val="-6"/>
          <w:sz w:val="25"/>
          <w:szCs w:val="25"/>
          <w:highlight w:val="none"/>
          <w:u w:val="single" w:color="auto"/>
        </w:rPr>
        <w:t>（</w:t>
      </w:r>
      <w:r>
        <w:rPr>
          <w:rFonts w:ascii="Times New Roman" w:hAnsi="Times New Roman" w:eastAsia="Times New Roman" w:cs="Times New Roman"/>
          <w:i/>
          <w:iCs/>
          <w:strike/>
          <w:dstrike w:val="0"/>
          <w:color w:val="auto"/>
          <w:spacing w:val="-6"/>
          <w:sz w:val="24"/>
          <w:szCs w:val="24"/>
          <w:highlight w:val="none"/>
          <w:u w:val="single" w:color="auto"/>
        </w:rPr>
        <w:t>5%</w:t>
      </w:r>
      <w:r>
        <w:rPr>
          <w:rFonts w:ascii="宋体" w:hAnsi="宋体" w:eastAsia="宋体" w:cs="宋体"/>
          <w:i/>
          <w:iCs/>
          <w:strike/>
          <w:dstrike w:val="0"/>
          <w:color w:val="auto"/>
          <w:spacing w:val="-6"/>
          <w:sz w:val="25"/>
          <w:szCs w:val="25"/>
          <w:highlight w:val="none"/>
          <w:u w:val="single" w:color="auto"/>
        </w:rPr>
        <w:t>～</w:t>
      </w:r>
      <w:r>
        <w:rPr>
          <w:rFonts w:ascii="Times New Roman" w:hAnsi="Times New Roman" w:eastAsia="Times New Roman" w:cs="Times New Roman"/>
          <w:i/>
          <w:iCs/>
          <w:strike/>
          <w:dstrike w:val="0"/>
          <w:color w:val="auto"/>
          <w:spacing w:val="-6"/>
          <w:sz w:val="24"/>
          <w:szCs w:val="24"/>
          <w:highlight w:val="none"/>
          <w:u w:val="single" w:color="auto"/>
        </w:rPr>
        <w:t xml:space="preserve">20% </w:t>
      </w:r>
      <w:r>
        <w:rPr>
          <w:rFonts w:ascii="宋体" w:hAnsi="宋体" w:eastAsia="宋体" w:cs="宋体"/>
          <w:i/>
          <w:iCs/>
          <w:strike/>
          <w:dstrike w:val="0"/>
          <w:color w:val="auto"/>
          <w:spacing w:val="-6"/>
          <w:sz w:val="25"/>
          <w:szCs w:val="25"/>
          <w:highlight w:val="none"/>
          <w:u w:val="single" w:color="auto"/>
        </w:rPr>
        <w:t>，由招标人自主确定</w:t>
      </w:r>
      <w:r>
        <w:rPr>
          <w:rFonts w:ascii="宋体" w:hAnsi="宋体" w:eastAsia="宋体" w:cs="宋体"/>
          <w:i/>
          <w:iCs/>
          <w:strike/>
          <w:dstrike w:val="0"/>
          <w:color w:val="auto"/>
          <w:spacing w:val="-23"/>
          <w:sz w:val="25"/>
          <w:szCs w:val="25"/>
          <w:highlight w:val="none"/>
          <w:u w:val="single" w:color="auto"/>
        </w:rPr>
        <w:t>）</w:t>
      </w:r>
      <w:r>
        <w:rPr>
          <w:rFonts w:ascii="宋体" w:hAnsi="宋体" w:eastAsia="宋体" w:cs="宋体"/>
          <w:strike/>
          <w:dstrike w:val="0"/>
          <w:color w:val="auto"/>
          <w:spacing w:val="-23"/>
          <w:sz w:val="24"/>
          <w:szCs w:val="24"/>
          <w:highlight w:val="none"/>
        </w:rPr>
        <w:t>，</w:t>
      </w:r>
      <w:r>
        <w:rPr>
          <w:rFonts w:ascii="宋体" w:hAnsi="宋体" w:eastAsia="宋体" w:cs="宋体"/>
          <w:strike/>
          <w:dstrike w:val="0"/>
          <w:color w:val="auto"/>
          <w:spacing w:val="-6"/>
          <w:sz w:val="24"/>
          <w:szCs w:val="24"/>
          <w:highlight w:val="none"/>
        </w:rPr>
        <w:t>并取整</w:t>
      </w:r>
      <w:r>
        <w:rPr>
          <w:rFonts w:ascii="宋体" w:hAnsi="宋体" w:eastAsia="宋体" w:cs="宋体"/>
          <w:strike/>
          <w:dstrike w:val="0"/>
          <w:color w:val="auto"/>
          <w:spacing w:val="-7"/>
          <w:sz w:val="24"/>
          <w:szCs w:val="24"/>
          <w:highlight w:val="none"/>
        </w:rPr>
        <w:t>数，小数点后四舍五入</w:t>
      </w:r>
      <w:r>
        <w:rPr>
          <w:rFonts w:ascii="宋体" w:hAnsi="宋体" w:eastAsia="宋体" w:cs="宋体"/>
          <w:strike/>
          <w:dstrike w:val="0"/>
          <w:color w:val="auto"/>
          <w:spacing w:val="-23"/>
          <w:sz w:val="24"/>
          <w:szCs w:val="24"/>
          <w:highlight w:val="none"/>
        </w:rPr>
        <w:t>）；</w:t>
      </w:r>
      <w:r>
        <w:rPr>
          <w:rFonts w:ascii="宋体" w:hAnsi="宋体" w:eastAsia="宋体" w:cs="宋体"/>
          <w:strike/>
          <w:dstrike w:val="0"/>
          <w:color w:val="auto"/>
          <w:spacing w:val="-7"/>
          <w:sz w:val="24"/>
          <w:szCs w:val="24"/>
          <w:highlight w:val="none"/>
        </w:rPr>
        <w:t>若通过商</w:t>
      </w:r>
      <w:r>
        <w:rPr>
          <w:rFonts w:ascii="宋体" w:hAnsi="宋体" w:eastAsia="宋体" w:cs="宋体"/>
          <w:strike/>
          <w:dstrike w:val="0"/>
          <w:color w:val="auto"/>
          <w:spacing w:val="-1"/>
          <w:sz w:val="24"/>
          <w:szCs w:val="24"/>
          <w:highlight w:val="none"/>
        </w:rPr>
        <w:t>务评审的投标人少于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家，平均报价值为所有通过商务评审的评标价</w:t>
      </w:r>
      <w:r>
        <w:rPr>
          <w:rFonts w:ascii="宋体" w:hAnsi="宋体" w:eastAsia="宋体" w:cs="宋体"/>
          <w:strike/>
          <w:dstrike w:val="0"/>
          <w:color w:val="auto"/>
          <w:spacing w:val="-2"/>
          <w:sz w:val="24"/>
          <w:szCs w:val="24"/>
          <w:highlight w:val="none"/>
        </w:rPr>
        <w:t>的算术平均值。</w:t>
      </w:r>
    </w:p>
    <w:p w14:paraId="4C214D9D">
      <w:pPr>
        <w:spacing w:before="183" w:line="289" w:lineRule="auto"/>
        <w:ind w:left="9" w:right="46" w:firstLine="486"/>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）基准价的确定：平均报价值与参与计算平均报价的次低评标价</w:t>
      </w:r>
      <w:r>
        <w:rPr>
          <w:rFonts w:ascii="宋体" w:hAnsi="宋体" w:eastAsia="宋体" w:cs="宋体"/>
          <w:strike/>
          <w:dstrike w:val="0"/>
          <w:color w:val="auto"/>
          <w:spacing w:val="-1"/>
          <w:sz w:val="24"/>
          <w:szCs w:val="24"/>
          <w:highlight w:val="none"/>
        </w:rPr>
        <w:t>的算术平均</w:t>
      </w:r>
      <w:r>
        <w:rPr>
          <w:rFonts w:ascii="宋体" w:hAnsi="宋体" w:eastAsia="宋体" w:cs="宋体"/>
          <w:strike/>
          <w:dstrike w:val="0"/>
          <w:color w:val="auto"/>
          <w:spacing w:val="-3"/>
          <w:sz w:val="24"/>
          <w:szCs w:val="24"/>
          <w:highlight w:val="none"/>
        </w:rPr>
        <w:t>值再下浮</w:t>
      </w:r>
      <w:r>
        <w:rPr>
          <w:rFonts w:ascii="Times New Roman" w:hAnsi="Times New Roman" w:eastAsia="Times New Roman" w:cs="Times New Roman"/>
          <w:strike/>
          <w:dstrike w:val="0"/>
          <w:color w:val="auto"/>
          <w:spacing w:val="-3"/>
          <w:sz w:val="24"/>
          <w:szCs w:val="24"/>
          <w:highlight w:val="none"/>
        </w:rPr>
        <w:t>X%</w:t>
      </w:r>
      <w:r>
        <w:rPr>
          <w:rFonts w:ascii="宋体" w:hAnsi="宋体" w:eastAsia="宋体" w:cs="宋体"/>
          <w:strike/>
          <w:dstrike w:val="0"/>
          <w:color w:val="auto"/>
          <w:spacing w:val="-3"/>
          <w:sz w:val="24"/>
          <w:szCs w:val="24"/>
          <w:highlight w:val="none"/>
        </w:rPr>
        <w:t>作为评分基准价。</w:t>
      </w:r>
    </w:p>
    <w:p w14:paraId="16B8F48E">
      <w:pPr>
        <w:spacing w:before="183" w:line="345" w:lineRule="auto"/>
        <w:ind w:left="78" w:right="9" w:firstLine="463"/>
        <w:rPr>
          <w:rFonts w:ascii="宋体" w:hAnsi="宋体" w:eastAsia="宋体" w:cs="宋体"/>
          <w:color w:val="auto"/>
          <w:sz w:val="24"/>
          <w:szCs w:val="24"/>
          <w:highlight w:val="none"/>
        </w:rPr>
      </w:pPr>
      <w:r>
        <w:rPr>
          <w:rFonts w:ascii="Times New Roman" w:hAnsi="Times New Roman" w:eastAsia="Times New Roman" w:cs="Times New Roman"/>
          <w:strike/>
          <w:dstrike w:val="0"/>
          <w:color w:val="auto"/>
          <w:spacing w:val="-8"/>
          <w:sz w:val="24"/>
          <w:szCs w:val="24"/>
          <w:highlight w:val="none"/>
        </w:rPr>
        <w:t>X</w:t>
      </w:r>
      <w:r>
        <w:rPr>
          <w:rFonts w:ascii="宋体" w:hAnsi="宋体" w:eastAsia="宋体" w:cs="宋体"/>
          <w:strike/>
          <w:dstrike w:val="0"/>
          <w:color w:val="auto"/>
          <w:spacing w:val="-8"/>
          <w:sz w:val="24"/>
          <w:szCs w:val="24"/>
          <w:highlight w:val="none"/>
        </w:rPr>
        <w:t>值在开标时由招标人在</w:t>
      </w:r>
      <w:r>
        <w:rPr>
          <w:rFonts w:ascii="宋体" w:hAnsi="宋体" w:eastAsia="宋体" w:cs="宋体"/>
          <w:strike/>
          <w:dstrike w:val="0"/>
          <w:color w:val="auto"/>
          <w:spacing w:val="56"/>
          <w:sz w:val="25"/>
          <w:szCs w:val="25"/>
          <w:highlight w:val="none"/>
          <w:u w:val="single" w:color="auto"/>
        </w:rPr>
        <w:t xml:space="preserve">  </w:t>
      </w:r>
      <w:r>
        <w:rPr>
          <w:rFonts w:ascii="宋体" w:hAnsi="宋体" w:eastAsia="宋体" w:cs="宋体"/>
          <w:i/>
          <w:iCs/>
          <w:strike/>
          <w:dstrike w:val="0"/>
          <w:color w:val="auto"/>
          <w:spacing w:val="-8"/>
          <w:sz w:val="25"/>
          <w:szCs w:val="25"/>
          <w:highlight w:val="none"/>
          <w:u w:val="single" w:color="auto"/>
        </w:rPr>
        <w:t>（由招标人在</w:t>
      </w:r>
      <w:r>
        <w:rPr>
          <w:rFonts w:ascii="Times New Roman" w:hAnsi="Times New Roman" w:eastAsia="Times New Roman" w:cs="Times New Roman"/>
          <w:i/>
          <w:iCs/>
          <w:strike/>
          <w:dstrike w:val="0"/>
          <w:color w:val="auto"/>
          <w:spacing w:val="-8"/>
          <w:sz w:val="24"/>
          <w:szCs w:val="24"/>
          <w:highlight w:val="none"/>
          <w:u w:val="single" w:color="auto"/>
        </w:rPr>
        <w:t>0</w:t>
      </w:r>
      <w:r>
        <w:rPr>
          <w:rFonts w:ascii="宋体" w:hAnsi="宋体" w:eastAsia="宋体" w:cs="宋体"/>
          <w:i/>
          <w:iCs/>
          <w:strike/>
          <w:dstrike w:val="0"/>
          <w:color w:val="auto"/>
          <w:spacing w:val="-8"/>
          <w:sz w:val="25"/>
          <w:szCs w:val="25"/>
          <w:highlight w:val="none"/>
          <w:u w:val="single" w:color="auto"/>
        </w:rPr>
        <w:t>～</w:t>
      </w:r>
      <w:r>
        <w:rPr>
          <w:rFonts w:ascii="Times New Roman" w:hAnsi="Times New Roman" w:eastAsia="Times New Roman" w:cs="Times New Roman"/>
          <w:i/>
          <w:iCs/>
          <w:strike/>
          <w:dstrike w:val="0"/>
          <w:color w:val="auto"/>
          <w:spacing w:val="-8"/>
          <w:sz w:val="24"/>
          <w:szCs w:val="24"/>
          <w:highlight w:val="none"/>
          <w:u w:val="single" w:color="auto"/>
        </w:rPr>
        <w:t>2</w:t>
      </w:r>
      <w:r>
        <w:rPr>
          <w:rFonts w:ascii="宋体" w:hAnsi="宋体" w:eastAsia="宋体" w:cs="宋体"/>
          <w:i/>
          <w:iCs/>
          <w:strike/>
          <w:dstrike w:val="0"/>
          <w:color w:val="auto"/>
          <w:spacing w:val="-8"/>
          <w:sz w:val="25"/>
          <w:szCs w:val="25"/>
          <w:highlight w:val="none"/>
          <w:u w:val="single" w:color="auto"/>
        </w:rPr>
        <w:t>之间自行确定，但应为</w:t>
      </w:r>
      <w:r>
        <w:rPr>
          <w:rFonts w:ascii="Times New Roman" w:hAnsi="Times New Roman" w:eastAsia="Times New Roman" w:cs="Times New Roman"/>
          <w:i/>
          <w:iCs/>
          <w:strike/>
          <w:dstrike w:val="0"/>
          <w:color w:val="auto"/>
          <w:spacing w:val="-8"/>
          <w:sz w:val="24"/>
          <w:szCs w:val="24"/>
          <w:highlight w:val="none"/>
          <w:u w:val="single" w:color="auto"/>
        </w:rPr>
        <w:t>5</w:t>
      </w:r>
      <w:r>
        <w:rPr>
          <w:rFonts w:ascii="宋体" w:hAnsi="宋体" w:eastAsia="宋体" w:cs="宋体"/>
          <w:i/>
          <w:iCs/>
          <w:strike/>
          <w:dstrike w:val="0"/>
          <w:color w:val="auto"/>
          <w:spacing w:val="-8"/>
          <w:sz w:val="25"/>
          <w:szCs w:val="25"/>
          <w:highlight w:val="none"/>
          <w:u w:val="single" w:color="auto"/>
        </w:rPr>
        <w:t>个数组成</w:t>
      </w:r>
      <w:r>
        <w:rPr>
          <w:rFonts w:ascii="宋体" w:hAnsi="宋体" w:eastAsia="宋体" w:cs="宋体"/>
          <w:i/>
          <w:iCs/>
          <w:strike/>
          <w:dstrike w:val="0"/>
          <w:color w:val="auto"/>
          <w:spacing w:val="-10"/>
          <w:sz w:val="25"/>
          <w:szCs w:val="25"/>
          <w:highlight w:val="none"/>
          <w:u w:val="single" w:color="auto"/>
        </w:rPr>
        <w:t>的等差递增数列</w:t>
      </w:r>
      <w:r>
        <w:rPr>
          <w:rFonts w:ascii="Times New Roman" w:hAnsi="Times New Roman" w:eastAsia="Times New Roman" w:cs="Times New Roman"/>
          <w:i/>
          <w:iCs/>
          <w:strike/>
          <w:dstrike w:val="0"/>
          <w:color w:val="auto"/>
          <w:spacing w:val="-10"/>
          <w:sz w:val="24"/>
          <w:szCs w:val="24"/>
          <w:highlight w:val="none"/>
          <w:u w:val="single" w:color="auto"/>
        </w:rPr>
        <w:t xml:space="preserve">,   </w:t>
      </w:r>
      <w:r>
        <w:rPr>
          <w:rFonts w:ascii="宋体" w:hAnsi="宋体" w:eastAsia="宋体" w:cs="宋体"/>
          <w:i/>
          <w:iCs/>
          <w:strike/>
          <w:dstrike w:val="0"/>
          <w:color w:val="auto"/>
          <w:spacing w:val="-10"/>
          <w:sz w:val="25"/>
          <w:szCs w:val="25"/>
          <w:highlight w:val="none"/>
          <w:u w:val="single" w:color="auto"/>
        </w:rPr>
        <w:t>最小公差大于等于</w:t>
      </w:r>
      <w:r>
        <w:rPr>
          <w:rFonts w:ascii="Times New Roman" w:hAnsi="Times New Roman" w:eastAsia="Times New Roman" w:cs="Times New Roman"/>
          <w:i/>
          <w:iCs/>
          <w:strike/>
          <w:dstrike w:val="0"/>
          <w:color w:val="auto"/>
          <w:spacing w:val="-10"/>
          <w:sz w:val="24"/>
          <w:szCs w:val="24"/>
          <w:highlight w:val="none"/>
          <w:u w:val="single" w:color="auto"/>
        </w:rPr>
        <w:t>0.5</w:t>
      </w:r>
      <w:r>
        <w:rPr>
          <w:rFonts w:ascii="宋体" w:hAnsi="宋体" w:eastAsia="宋体" w:cs="宋体"/>
          <w:i/>
          <w:iCs/>
          <w:strike/>
          <w:dstrike w:val="0"/>
          <w:color w:val="auto"/>
          <w:spacing w:val="-10"/>
          <w:sz w:val="25"/>
          <w:szCs w:val="25"/>
          <w:highlight w:val="none"/>
          <w:u w:val="single" w:color="auto"/>
        </w:rPr>
        <w:t>）</w:t>
      </w:r>
      <w:r>
        <w:rPr>
          <w:rFonts w:ascii="宋体" w:hAnsi="宋体" w:eastAsia="宋体" w:cs="宋体"/>
          <w:strike/>
          <w:dstrike w:val="0"/>
          <w:color w:val="auto"/>
          <w:spacing w:val="-11"/>
          <w:sz w:val="25"/>
          <w:szCs w:val="25"/>
          <w:highlight w:val="none"/>
          <w:u w:val="single" w:color="auto"/>
        </w:rPr>
        <w:t xml:space="preserve">  </w:t>
      </w:r>
      <w:r>
        <w:rPr>
          <w:rFonts w:ascii="宋体" w:hAnsi="宋体" w:eastAsia="宋体" w:cs="宋体"/>
          <w:strike/>
          <w:dstrike w:val="0"/>
          <w:color w:val="auto"/>
          <w:spacing w:val="-113"/>
          <w:sz w:val="25"/>
          <w:szCs w:val="25"/>
          <w:highlight w:val="none"/>
        </w:rPr>
        <w:t xml:space="preserve"> </w:t>
      </w:r>
      <w:r>
        <w:rPr>
          <w:rFonts w:ascii="宋体" w:hAnsi="宋体" w:eastAsia="宋体" w:cs="宋体"/>
          <w:strike/>
          <w:dstrike w:val="0"/>
          <w:color w:val="auto"/>
          <w:spacing w:val="-11"/>
          <w:sz w:val="24"/>
          <w:szCs w:val="24"/>
          <w:highlight w:val="none"/>
        </w:rPr>
        <w:t>之中随机抽取确定。</w:t>
      </w:r>
    </w:p>
    <w:p w14:paraId="3359E825">
      <w:pPr>
        <w:spacing w:before="1" w:line="227"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4.6  </w:t>
      </w:r>
      <w:r>
        <w:rPr>
          <w:rFonts w:ascii="楷体" w:hAnsi="楷体" w:eastAsia="楷体" w:cs="楷体"/>
          <w:b/>
          <w:bCs/>
          <w:color w:val="auto"/>
          <w:spacing w:val="-2"/>
          <w:sz w:val="24"/>
          <w:szCs w:val="24"/>
          <w:highlight w:val="none"/>
        </w:rPr>
        <w:t>询标</w:t>
      </w:r>
    </w:p>
    <w:p w14:paraId="314F46F0">
      <w:pPr>
        <w:spacing w:before="171" w:line="324" w:lineRule="auto"/>
        <w:ind w:left="11" w:right="16" w:firstLine="492"/>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1.</w:t>
      </w:r>
      <w:r>
        <w:rPr>
          <w:rFonts w:ascii="Times New Roman" w:hAnsi="Times New Roman" w:eastAsia="Times New Roman" w:cs="Times New Roman"/>
          <w:color w:val="auto"/>
          <w:spacing w:val="20"/>
          <w:sz w:val="24"/>
          <w:szCs w:val="24"/>
          <w:highlight w:val="none"/>
        </w:rPr>
        <w:t xml:space="preserve"> </w:t>
      </w:r>
      <w:r>
        <w:rPr>
          <w:rFonts w:ascii="宋体" w:hAnsi="宋体" w:eastAsia="宋体" w:cs="宋体"/>
          <w:color w:val="auto"/>
          <w:spacing w:val="-3"/>
          <w:sz w:val="24"/>
          <w:szCs w:val="24"/>
          <w:highlight w:val="none"/>
        </w:rPr>
        <w:t>凡评标委员会拟作出否决投标决定的，应</w:t>
      </w:r>
      <w:r>
        <w:rPr>
          <w:rFonts w:ascii="宋体" w:hAnsi="宋体" w:eastAsia="宋体" w:cs="宋体"/>
          <w:color w:val="auto"/>
          <w:spacing w:val="-4"/>
          <w:sz w:val="24"/>
          <w:szCs w:val="24"/>
          <w:highlight w:val="none"/>
        </w:rPr>
        <w:t>先向投标人进行书面询问核实。未进</w:t>
      </w:r>
      <w:r>
        <w:rPr>
          <w:rFonts w:ascii="宋体" w:hAnsi="宋体" w:eastAsia="宋体" w:cs="宋体"/>
          <w:color w:val="auto"/>
          <w:spacing w:val="-15"/>
          <w:sz w:val="24"/>
          <w:szCs w:val="24"/>
          <w:highlight w:val="none"/>
        </w:rPr>
        <w:t>行询问核实程序的，不得做出否决投标决定，投标人放弃接受询问核实机会的除外。投标</w:t>
      </w:r>
      <w:r>
        <w:rPr>
          <w:rFonts w:ascii="宋体" w:hAnsi="宋体" w:eastAsia="宋体" w:cs="宋体"/>
          <w:color w:val="auto"/>
          <w:spacing w:val="-22"/>
          <w:sz w:val="24"/>
          <w:szCs w:val="24"/>
          <w:highlight w:val="none"/>
        </w:rPr>
        <w:t>人应自行关注系统中评标委员会发出的澄清并及时答复，在规定的时限内投标人不参加核实</w:t>
      </w:r>
      <w:r>
        <w:rPr>
          <w:rFonts w:ascii="宋体" w:hAnsi="宋体" w:eastAsia="宋体" w:cs="宋体"/>
          <w:color w:val="auto"/>
          <w:spacing w:val="-23"/>
          <w:sz w:val="24"/>
          <w:szCs w:val="24"/>
          <w:highlight w:val="none"/>
        </w:rPr>
        <w:t>或不予答复的，视为放弃接受询问核实机会。</w:t>
      </w:r>
    </w:p>
    <w:p w14:paraId="4A4828E6">
      <w:pPr>
        <w:spacing w:before="171" w:line="324" w:lineRule="auto"/>
        <w:ind w:left="11" w:right="16" w:firstLine="492"/>
        <w:rPr>
          <w:rFonts w:ascii="宋体" w:hAnsi="宋体" w:eastAsia="宋体" w:cs="宋体"/>
          <w:color w:val="auto"/>
          <w:spacing w:val="-23"/>
          <w:sz w:val="24"/>
          <w:szCs w:val="24"/>
          <w:highlight w:val="none"/>
        </w:rPr>
      </w:pPr>
      <w:r>
        <w:rPr>
          <w:rFonts w:ascii="宋体" w:hAnsi="宋体" w:eastAsia="宋体" w:cs="宋体"/>
          <w:color w:val="auto"/>
          <w:spacing w:val="-23"/>
          <w:sz w:val="24"/>
          <w:szCs w:val="24"/>
          <w:highlight w:val="none"/>
        </w:rPr>
        <w:t>2. 除本评标办法规定的否决情形以外，招标文件中其他条款均不得作为否决投标文件的依据。</w:t>
      </w:r>
    </w:p>
    <w:p w14:paraId="20288784">
      <w:pPr>
        <w:spacing w:before="182" w:line="225"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4.7  </w:t>
      </w:r>
      <w:r>
        <w:rPr>
          <w:rFonts w:ascii="楷体" w:hAnsi="楷体" w:eastAsia="楷体" w:cs="楷体"/>
          <w:b/>
          <w:bCs/>
          <w:color w:val="auto"/>
          <w:spacing w:val="-2"/>
          <w:sz w:val="24"/>
          <w:szCs w:val="24"/>
          <w:highlight w:val="none"/>
        </w:rPr>
        <w:t>推荐中标候选人</w:t>
      </w:r>
    </w:p>
    <w:p w14:paraId="25BB3B86">
      <w:pPr>
        <w:spacing w:before="174" w:line="359" w:lineRule="auto"/>
        <w:ind w:left="1" w:right="28" w:firstLine="480"/>
        <w:jc w:val="both"/>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评标委员会根据招标文件评标办法设置的技术、资信评审项目和评分规则，</w:t>
      </w:r>
      <w:r>
        <w:rPr>
          <w:rFonts w:ascii="宋体" w:hAnsi="宋体" w:eastAsia="宋体" w:cs="宋体"/>
          <w:color w:val="auto"/>
          <w:spacing w:val="-46"/>
          <w:sz w:val="24"/>
          <w:szCs w:val="24"/>
          <w:highlight w:val="none"/>
        </w:rPr>
        <w:t xml:space="preserve"> </w:t>
      </w:r>
      <w:r>
        <w:rPr>
          <w:rFonts w:ascii="宋体" w:hAnsi="宋体" w:eastAsia="宋体" w:cs="宋体"/>
          <w:color w:val="auto"/>
          <w:spacing w:val="-5"/>
          <w:sz w:val="24"/>
          <w:szCs w:val="24"/>
          <w:highlight w:val="none"/>
        </w:rPr>
        <w:t>对全</w:t>
      </w:r>
      <w:r>
        <w:rPr>
          <w:rFonts w:ascii="宋体" w:hAnsi="宋体" w:eastAsia="宋体" w:cs="宋体"/>
          <w:color w:val="auto"/>
          <w:spacing w:val="-2"/>
          <w:sz w:val="24"/>
          <w:szCs w:val="24"/>
          <w:highlight w:val="none"/>
        </w:rPr>
        <w:t>部通过符合性审查的投标文件进行技术、资信打分。中标候选人具体推荐方式如下，</w:t>
      </w:r>
      <w:r>
        <w:rPr>
          <w:rFonts w:ascii="宋体" w:hAnsi="宋体" w:eastAsia="宋体" w:cs="宋体"/>
          <w:color w:val="auto"/>
          <w:spacing w:val="-4"/>
          <w:sz w:val="24"/>
          <w:szCs w:val="24"/>
          <w:highlight w:val="none"/>
        </w:rPr>
        <w:t>进入推荐名单的中标候选人不排名次：</w:t>
      </w:r>
    </w:p>
    <w:p w14:paraId="1417C5F3">
      <w:pPr>
        <w:spacing w:before="2" w:line="288" w:lineRule="auto"/>
        <w:ind w:left="4" w:right="67" w:firstLine="497"/>
        <w:rPr>
          <w:rFonts w:hint="eastAsia" w:ascii="宋体" w:hAnsi="宋体" w:eastAsia="宋体" w:cs="宋体"/>
          <w:color w:val="auto"/>
          <w:sz w:val="24"/>
          <w:szCs w:val="24"/>
          <w:highlight w:val="none"/>
          <w:lang w:eastAsia="zh-CN"/>
        </w:rPr>
      </w:pPr>
      <w:r>
        <w:rPr>
          <w:rFonts w:ascii="Times New Roman" w:hAnsi="Times New Roman" w:eastAsia="Times New Roman" w:cs="Times New Roman"/>
          <w:color w:val="auto"/>
          <w:spacing w:val="-2"/>
          <w:sz w:val="24"/>
          <w:szCs w:val="24"/>
          <w:highlight w:val="none"/>
        </w:rPr>
        <w:t xml:space="preserve">1.  </w:t>
      </w:r>
      <w:r>
        <w:rPr>
          <w:rFonts w:ascii="宋体" w:hAnsi="宋体" w:eastAsia="宋体" w:cs="宋体"/>
          <w:color w:val="auto"/>
          <w:spacing w:val="-2"/>
          <w:sz w:val="24"/>
          <w:szCs w:val="24"/>
          <w:highlight w:val="none"/>
        </w:rPr>
        <w:t>通过符合性审查的合格投标人少于</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家时，评标委员会应判定本次投标是否具有竞争力。若评标委员会认为本次投标明显缺乏竞争的，可以否决全部投标</w:t>
      </w:r>
      <w:r>
        <w:rPr>
          <w:rFonts w:hint="eastAsia" w:ascii="宋体" w:hAnsi="宋体" w:eastAsia="宋体" w:cs="宋体"/>
          <w:color w:val="auto"/>
          <w:spacing w:val="-2"/>
          <w:sz w:val="24"/>
          <w:szCs w:val="24"/>
          <w:highlight w:val="none"/>
          <w:lang w:eastAsia="zh-CN"/>
        </w:rPr>
        <w:t>；</w:t>
      </w:r>
    </w:p>
    <w:p w14:paraId="4B227720">
      <w:pPr>
        <w:spacing w:before="183" w:line="283" w:lineRule="auto"/>
        <w:ind w:left="3" w:right="78" w:firstLine="475"/>
        <w:rPr>
          <w:rFonts w:ascii="宋体" w:hAnsi="宋体" w:eastAsia="宋体" w:cs="宋体"/>
          <w:color w:val="auto"/>
          <w:sz w:val="24"/>
          <w:szCs w:val="24"/>
          <w:highlight w:val="none"/>
        </w:rPr>
      </w:pPr>
      <w:r>
        <w:rPr>
          <w:rFonts w:ascii="Times New Roman" w:hAnsi="Times New Roman" w:eastAsia="Times New Roman" w:cs="Times New Roman"/>
          <w:color w:val="auto"/>
          <w:spacing w:val="-5"/>
          <w:sz w:val="24"/>
          <w:szCs w:val="24"/>
          <w:highlight w:val="none"/>
        </w:rPr>
        <w:t xml:space="preserve">2.  </w:t>
      </w:r>
      <w:r>
        <w:rPr>
          <w:rFonts w:ascii="宋体" w:hAnsi="宋体" w:eastAsia="宋体" w:cs="宋体"/>
          <w:color w:val="auto"/>
          <w:spacing w:val="-5"/>
          <w:sz w:val="24"/>
          <w:szCs w:val="24"/>
          <w:highlight w:val="none"/>
        </w:rPr>
        <w:t>通过符合性审查的合格投标人在</w:t>
      </w:r>
      <w:r>
        <w:rPr>
          <w:rFonts w:ascii="Times New Roman" w:hAnsi="Times New Roman" w:eastAsia="Times New Roman" w:cs="Times New Roman"/>
          <w:color w:val="auto"/>
          <w:spacing w:val="-5"/>
          <w:sz w:val="24"/>
          <w:szCs w:val="24"/>
          <w:highlight w:val="none"/>
        </w:rPr>
        <w:t>3</w:t>
      </w:r>
      <w:r>
        <w:rPr>
          <w:rFonts w:ascii="宋体" w:hAnsi="宋体" w:eastAsia="宋体" w:cs="宋体"/>
          <w:color w:val="auto"/>
          <w:spacing w:val="-5"/>
          <w:sz w:val="24"/>
          <w:szCs w:val="24"/>
          <w:highlight w:val="none"/>
        </w:rPr>
        <w:t xml:space="preserve">家及以上 </w:t>
      </w:r>
      <w:r>
        <w:rPr>
          <w:rFonts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5"/>
          <w:sz w:val="24"/>
          <w:szCs w:val="24"/>
          <w:highlight w:val="none"/>
          <w:u w:val="single" w:color="auto"/>
          <w:lang w:val="en-US" w:eastAsia="zh-CN"/>
        </w:rPr>
        <w:t>5</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99"/>
          <w:sz w:val="24"/>
          <w:szCs w:val="24"/>
          <w:highlight w:val="none"/>
        </w:rPr>
        <w:t xml:space="preserve"> </w:t>
      </w:r>
      <w:r>
        <w:rPr>
          <w:rFonts w:ascii="宋体" w:hAnsi="宋体" w:eastAsia="宋体" w:cs="宋体"/>
          <w:color w:val="auto"/>
          <w:spacing w:val="-5"/>
          <w:sz w:val="24"/>
          <w:szCs w:val="24"/>
          <w:highlight w:val="none"/>
        </w:rPr>
        <w:t>家（</w:t>
      </w:r>
      <w:r>
        <w:rPr>
          <w:rFonts w:ascii="Times New Roman" w:hAnsi="Times New Roman" w:eastAsia="Times New Roman" w:cs="Times New Roman"/>
          <w:i/>
          <w:iCs/>
          <w:color w:val="auto"/>
          <w:spacing w:val="-5"/>
          <w:sz w:val="24"/>
          <w:szCs w:val="24"/>
          <w:highlight w:val="none"/>
        </w:rPr>
        <w:t>3~5</w:t>
      </w:r>
      <w:r>
        <w:rPr>
          <w:rFonts w:ascii="宋体" w:hAnsi="宋体" w:eastAsia="宋体" w:cs="宋体"/>
          <w:i/>
          <w:iCs/>
          <w:color w:val="auto"/>
          <w:spacing w:val="-5"/>
          <w:sz w:val="25"/>
          <w:szCs w:val="25"/>
          <w:highlight w:val="none"/>
        </w:rPr>
        <w:t>家</w:t>
      </w:r>
      <w:r>
        <w:rPr>
          <w:rFonts w:ascii="宋体" w:hAnsi="宋体" w:eastAsia="宋体" w:cs="宋体"/>
          <w:color w:val="auto"/>
          <w:spacing w:val="-5"/>
          <w:sz w:val="24"/>
          <w:szCs w:val="24"/>
          <w:highlight w:val="none"/>
        </w:rPr>
        <w:t>）及以下时，全部合格投标人推荐为中标候选人；</w:t>
      </w:r>
    </w:p>
    <w:p w14:paraId="024AB1D9">
      <w:pPr>
        <w:spacing w:before="184" w:line="312" w:lineRule="auto"/>
        <w:ind w:left="6" w:right="66" w:firstLine="477"/>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3.  </w:t>
      </w:r>
      <w:r>
        <w:rPr>
          <w:rFonts w:ascii="宋体" w:hAnsi="宋体" w:eastAsia="宋体" w:cs="宋体"/>
          <w:color w:val="auto"/>
          <w:spacing w:val="-1"/>
          <w:sz w:val="24"/>
          <w:szCs w:val="24"/>
          <w:highlight w:val="none"/>
        </w:rPr>
        <w:t>通过符合性审查的合格投标人多于</w:t>
      </w:r>
      <w:r>
        <w:rPr>
          <w:rFonts w:ascii="Times New Roman" w:hAnsi="Times New Roman" w:eastAsia="Times New Roman" w:cs="Times New Roman"/>
          <w:color w:val="auto"/>
          <w:spacing w:val="-1"/>
          <w:sz w:val="24"/>
          <w:szCs w:val="24"/>
          <w:highlight w:val="none"/>
          <w:u w:val="single" w:color="auto"/>
        </w:rPr>
        <w:t xml:space="preserve">  5  </w:t>
      </w:r>
      <w:r>
        <w:rPr>
          <w:rFonts w:ascii="宋体" w:hAnsi="宋体" w:eastAsia="宋体" w:cs="宋体"/>
          <w:color w:val="auto"/>
          <w:spacing w:val="-1"/>
          <w:sz w:val="24"/>
          <w:szCs w:val="24"/>
          <w:highlight w:val="none"/>
        </w:rPr>
        <w:t>家时，选择技术、资信总评分高低</w:t>
      </w:r>
      <w:r>
        <w:rPr>
          <w:rFonts w:ascii="宋体" w:hAnsi="宋体" w:eastAsia="宋体" w:cs="宋体"/>
          <w:color w:val="auto"/>
          <w:spacing w:val="-2"/>
          <w:sz w:val="24"/>
          <w:szCs w:val="24"/>
          <w:highlight w:val="none"/>
        </w:rPr>
        <w:t>排名</w:t>
      </w:r>
      <w:r>
        <w:rPr>
          <w:rFonts w:ascii="宋体" w:hAnsi="宋体" w:eastAsia="宋体" w:cs="宋体"/>
          <w:color w:val="auto"/>
          <w:spacing w:val="-3"/>
          <w:sz w:val="24"/>
          <w:szCs w:val="24"/>
          <w:highlight w:val="none"/>
        </w:rPr>
        <w:t>前</w:t>
      </w:r>
      <w:r>
        <w:rPr>
          <w:rFonts w:ascii="Times New Roman" w:hAnsi="Times New Roman" w:eastAsia="Times New Roman" w:cs="Times New Roman"/>
          <w:color w:val="auto"/>
          <w:spacing w:val="14"/>
          <w:sz w:val="24"/>
          <w:szCs w:val="24"/>
          <w:highlight w:val="none"/>
          <w:u w:val="single" w:color="auto"/>
        </w:rPr>
        <w:t xml:space="preserve">  </w:t>
      </w:r>
      <w:r>
        <w:rPr>
          <w:rFonts w:ascii="Times New Roman" w:hAnsi="Times New Roman" w:eastAsia="Times New Roman" w:cs="Times New Roman"/>
          <w:color w:val="auto"/>
          <w:spacing w:val="-3"/>
          <w:sz w:val="24"/>
          <w:szCs w:val="24"/>
          <w:highlight w:val="none"/>
          <w:u w:val="single" w:color="auto"/>
        </w:rPr>
        <w:t xml:space="preserve">15  </w:t>
      </w:r>
      <w:r>
        <w:rPr>
          <w:rFonts w:ascii="宋体" w:hAnsi="宋体" w:eastAsia="宋体" w:cs="宋体"/>
          <w:color w:val="auto"/>
          <w:spacing w:val="-3"/>
          <w:sz w:val="24"/>
          <w:szCs w:val="24"/>
          <w:highlight w:val="none"/>
        </w:rPr>
        <w:t>名投标人进入比选范围，从比选范围中</w:t>
      </w:r>
      <w:r>
        <w:rPr>
          <w:rFonts w:ascii="宋体" w:hAnsi="宋体" w:eastAsia="宋体" w:cs="宋体"/>
          <w:color w:val="auto"/>
          <w:spacing w:val="-4"/>
          <w:sz w:val="24"/>
          <w:szCs w:val="24"/>
          <w:highlight w:val="none"/>
        </w:rPr>
        <w:t>选择投标报价与评标基准价之差绝对值最小的前</w:t>
      </w:r>
      <w:r>
        <w:rPr>
          <w:rFonts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lang w:val="en-US" w:eastAsia="zh-CN"/>
        </w:rPr>
        <w:t>5</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92"/>
          <w:sz w:val="24"/>
          <w:szCs w:val="24"/>
          <w:highlight w:val="none"/>
        </w:rPr>
        <w:t xml:space="preserve"> </w:t>
      </w:r>
      <w:r>
        <w:rPr>
          <w:rFonts w:ascii="宋体" w:hAnsi="宋体" w:eastAsia="宋体" w:cs="宋体"/>
          <w:color w:val="auto"/>
          <w:spacing w:val="-4"/>
          <w:sz w:val="24"/>
          <w:szCs w:val="24"/>
          <w:highlight w:val="none"/>
        </w:rPr>
        <w:t>名推荐为中标候选人。</w:t>
      </w:r>
    </w:p>
    <w:p w14:paraId="696211DD">
      <w:pPr>
        <w:spacing w:before="183" w:line="359" w:lineRule="auto"/>
        <w:ind w:left="2" w:firstLine="480"/>
        <w:jc w:val="both"/>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注：投标报价与评标基准价之差绝对值最小的第</w:t>
      </w:r>
      <w:r>
        <w:rPr>
          <w:rFonts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8"/>
          <w:sz w:val="24"/>
          <w:szCs w:val="24"/>
          <w:highlight w:val="none"/>
          <w:u w:val="single" w:color="auto"/>
          <w:lang w:val="en-US" w:eastAsia="zh-CN"/>
        </w:rPr>
        <w:t>5</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92"/>
          <w:sz w:val="24"/>
          <w:szCs w:val="24"/>
          <w:highlight w:val="none"/>
        </w:rPr>
        <w:t xml:space="preserve"> </w:t>
      </w:r>
      <w:r>
        <w:rPr>
          <w:rFonts w:ascii="宋体" w:hAnsi="宋体" w:eastAsia="宋体" w:cs="宋体"/>
          <w:color w:val="auto"/>
          <w:spacing w:val="-8"/>
          <w:sz w:val="24"/>
          <w:szCs w:val="24"/>
          <w:highlight w:val="none"/>
        </w:rPr>
        <w:t>名，若出现差值绝对值相同</w:t>
      </w:r>
      <w:r>
        <w:rPr>
          <w:rFonts w:hint="eastAsia" w:ascii="宋体" w:hAnsi="宋体" w:eastAsia="宋体" w:cs="宋体"/>
          <w:color w:val="auto"/>
          <w:spacing w:val="-8"/>
          <w:sz w:val="24"/>
          <w:szCs w:val="24"/>
          <w:highlight w:val="none"/>
          <w:lang w:eastAsia="zh-CN"/>
        </w:rPr>
        <w:t>，</w:t>
      </w:r>
      <w:r>
        <w:rPr>
          <w:rFonts w:ascii="宋体" w:hAnsi="宋体" w:eastAsia="宋体" w:cs="宋体"/>
          <w:color w:val="auto"/>
          <w:spacing w:val="-6"/>
          <w:sz w:val="24"/>
          <w:szCs w:val="24"/>
          <w:highlight w:val="none"/>
        </w:rPr>
        <w:t>以投标报价低者优先；若差值绝对值、投标报价均相同时，以技术、资信总评分高者</w:t>
      </w:r>
      <w:r>
        <w:rPr>
          <w:rFonts w:ascii="宋体" w:hAnsi="宋体" w:eastAsia="宋体" w:cs="宋体"/>
          <w:color w:val="auto"/>
          <w:spacing w:val="-1"/>
          <w:sz w:val="24"/>
          <w:szCs w:val="24"/>
          <w:highlight w:val="none"/>
        </w:rPr>
        <w:t>优先；若差值绝对值、投标报价和技术、资信总评分均相同时，资信评分高者优先；</w:t>
      </w:r>
      <w:r>
        <w:rPr>
          <w:rFonts w:ascii="宋体" w:hAnsi="宋体" w:eastAsia="宋体" w:cs="宋体"/>
          <w:color w:val="auto"/>
          <w:spacing w:val="-6"/>
          <w:sz w:val="24"/>
          <w:szCs w:val="24"/>
          <w:highlight w:val="none"/>
        </w:rPr>
        <w:t>若差值绝对值、投标报价和技术、资信总评分、资信评分均相同时，则由评标委员会</w:t>
      </w:r>
      <w:r>
        <w:rPr>
          <w:rFonts w:ascii="宋体" w:hAnsi="宋体" w:eastAsia="宋体" w:cs="宋体"/>
          <w:color w:val="auto"/>
          <w:spacing w:val="-3"/>
          <w:sz w:val="24"/>
          <w:szCs w:val="24"/>
          <w:highlight w:val="none"/>
        </w:rPr>
        <w:t>记名投票表决方式进入推荐名单。</w:t>
      </w:r>
    </w:p>
    <w:p w14:paraId="33BCE344">
      <w:pPr>
        <w:spacing w:before="1" w:line="218" w:lineRule="auto"/>
        <w:ind w:left="54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本评标办法未尽事宜由评标委员会集体讨论决定。</w:t>
      </w:r>
    </w:p>
    <w:p w14:paraId="15289324">
      <w:pPr>
        <w:spacing w:before="182"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4.8  </w:t>
      </w:r>
      <w:r>
        <w:rPr>
          <w:rFonts w:ascii="楷体" w:hAnsi="楷体" w:eastAsia="楷体" w:cs="楷体"/>
          <w:b/>
          <w:bCs/>
          <w:color w:val="auto"/>
          <w:spacing w:val="-2"/>
          <w:sz w:val="24"/>
          <w:szCs w:val="24"/>
          <w:highlight w:val="none"/>
        </w:rPr>
        <w:t>评标报告</w:t>
      </w:r>
    </w:p>
    <w:p w14:paraId="3D866D15">
      <w:pPr>
        <w:spacing w:before="178" w:line="289" w:lineRule="auto"/>
        <w:ind w:left="4" w:right="86" w:firstLine="470"/>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4.8.1  </w:t>
      </w:r>
      <w:r>
        <w:rPr>
          <w:rFonts w:ascii="宋体" w:hAnsi="宋体" w:eastAsia="宋体" w:cs="宋体"/>
          <w:color w:val="auto"/>
          <w:sz w:val="24"/>
          <w:szCs w:val="24"/>
          <w:highlight w:val="none"/>
        </w:rPr>
        <w:t>评标委员会对投标文件作出的评审结论，应当符合有关法律、法规、规章</w:t>
      </w:r>
      <w:r>
        <w:rPr>
          <w:rFonts w:ascii="宋体" w:hAnsi="宋体" w:eastAsia="宋体" w:cs="宋体"/>
          <w:color w:val="auto"/>
          <w:spacing w:val="-5"/>
          <w:sz w:val="24"/>
          <w:szCs w:val="24"/>
          <w:highlight w:val="none"/>
        </w:rPr>
        <w:t>和招标文件的规定。</w:t>
      </w:r>
    </w:p>
    <w:p w14:paraId="0AC02206">
      <w:pPr>
        <w:spacing w:before="183" w:line="324" w:lineRule="auto"/>
        <w:ind w:left="2" w:right="66" w:firstLine="480"/>
        <w:rPr>
          <w:rFonts w:ascii="宋体" w:hAnsi="宋体" w:eastAsia="宋体" w:cs="宋体"/>
          <w:color w:val="auto"/>
          <w:sz w:val="24"/>
          <w:szCs w:val="24"/>
          <w:highlight w:val="none"/>
        </w:rPr>
      </w:pPr>
      <w:r>
        <w:rPr>
          <w:rFonts w:ascii="Times New Roman" w:hAnsi="Times New Roman" w:eastAsia="Times New Roman" w:cs="Times New Roman"/>
          <w:b/>
          <w:bCs/>
          <w:color w:val="auto"/>
          <w:spacing w:val="-5"/>
          <w:sz w:val="24"/>
          <w:szCs w:val="24"/>
          <w:highlight w:val="none"/>
        </w:rPr>
        <w:t xml:space="preserve">4.8.2  </w:t>
      </w:r>
      <w:r>
        <w:rPr>
          <w:rFonts w:ascii="宋体" w:hAnsi="宋体" w:eastAsia="宋体" w:cs="宋体"/>
          <w:color w:val="auto"/>
          <w:spacing w:val="-5"/>
          <w:sz w:val="24"/>
          <w:szCs w:val="24"/>
          <w:highlight w:val="none"/>
        </w:rPr>
        <w:t>评标委员会应根据评标情况</w:t>
      </w:r>
      <w:r>
        <w:rPr>
          <w:rFonts w:ascii="宋体" w:hAnsi="宋体" w:eastAsia="宋体" w:cs="宋体"/>
          <w:color w:val="auto"/>
          <w:spacing w:val="-6"/>
          <w:sz w:val="24"/>
          <w:szCs w:val="24"/>
          <w:highlight w:val="none"/>
        </w:rPr>
        <w:t>，推荐中标候选人，并向招标人提交评标报告。</w:t>
      </w:r>
      <w:r>
        <w:rPr>
          <w:rFonts w:ascii="宋体" w:hAnsi="宋体" w:eastAsia="宋体" w:cs="宋体"/>
          <w:color w:val="auto"/>
          <w:spacing w:val="-3"/>
          <w:sz w:val="24"/>
          <w:szCs w:val="24"/>
          <w:highlight w:val="none"/>
        </w:rPr>
        <w:t>评标报告由评标委员会成员起草，评标委员会全体成员应在评标报告上签字确认，评标专家如有保留意见可以在评标报告中阐明。评标委员会成员拒绝在评标报告上签字</w:t>
      </w:r>
      <w:r>
        <w:rPr>
          <w:rFonts w:ascii="宋体" w:hAnsi="宋体" w:eastAsia="宋体" w:cs="宋体"/>
          <w:color w:val="auto"/>
          <w:spacing w:val="-2"/>
          <w:sz w:val="24"/>
          <w:szCs w:val="24"/>
          <w:highlight w:val="none"/>
        </w:rPr>
        <w:t>又不书面说明其不同意见和理由的，视为同意评标结果。</w:t>
      </w:r>
    </w:p>
    <w:p w14:paraId="40EA581C">
      <w:pPr>
        <w:spacing w:before="182" w:line="218"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4.8.3  </w:t>
      </w:r>
      <w:r>
        <w:rPr>
          <w:rFonts w:ascii="宋体" w:hAnsi="宋体" w:eastAsia="宋体" w:cs="宋体"/>
          <w:color w:val="auto"/>
          <w:spacing w:val="-3"/>
          <w:sz w:val="24"/>
          <w:szCs w:val="24"/>
          <w:highlight w:val="none"/>
        </w:rPr>
        <w:t>评标报告应包括以下内容：</w:t>
      </w:r>
    </w:p>
    <w:p w14:paraId="67E6E811">
      <w:pPr>
        <w:spacing w:before="184" w:line="220" w:lineRule="auto"/>
        <w:ind w:left="489"/>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1</w:t>
      </w:r>
      <w:r>
        <w:rPr>
          <w:rFonts w:ascii="宋体" w:hAnsi="宋体" w:eastAsia="宋体" w:cs="宋体"/>
          <w:color w:val="auto"/>
          <w:spacing w:val="-6"/>
          <w:sz w:val="24"/>
          <w:szCs w:val="24"/>
          <w:highlight w:val="none"/>
        </w:rPr>
        <w:t>）开标记录。</w:t>
      </w:r>
    </w:p>
    <w:p w14:paraId="3C0ED408">
      <w:pPr>
        <w:spacing w:before="179" w:line="220"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2</w:t>
      </w:r>
      <w:r>
        <w:rPr>
          <w:rFonts w:ascii="宋体" w:hAnsi="宋体" w:eastAsia="宋体" w:cs="宋体"/>
          <w:color w:val="auto"/>
          <w:spacing w:val="-4"/>
          <w:sz w:val="24"/>
          <w:szCs w:val="24"/>
          <w:highlight w:val="none"/>
        </w:rPr>
        <w:t>）评标内容、过程和结果。</w:t>
      </w:r>
    </w:p>
    <w:p w14:paraId="0B5E864D">
      <w:pPr>
        <w:spacing w:before="182" w:line="219"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）被否决情况说明及依据。</w:t>
      </w:r>
    </w:p>
    <w:p w14:paraId="4C17D9A9">
      <w:pPr>
        <w:spacing w:before="182" w:line="220" w:lineRule="auto"/>
        <w:ind w:left="489"/>
        <w:rPr>
          <w:rFonts w:ascii="宋体" w:hAnsi="宋体" w:eastAsia="宋体" w:cs="宋体"/>
          <w:color w:val="auto"/>
          <w:spacing w:val="-5"/>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4</w:t>
      </w:r>
      <w:r>
        <w:rPr>
          <w:rFonts w:ascii="宋体" w:hAnsi="宋体" w:eastAsia="宋体" w:cs="宋体"/>
          <w:color w:val="auto"/>
          <w:spacing w:val="-5"/>
          <w:sz w:val="24"/>
          <w:szCs w:val="24"/>
          <w:highlight w:val="none"/>
        </w:rPr>
        <w:t>）询标澄清纪要。</w:t>
      </w:r>
    </w:p>
    <w:p w14:paraId="73EEE02C">
      <w:pPr>
        <w:spacing w:before="182" w:line="220" w:lineRule="auto"/>
        <w:ind w:left="48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）中标侯选人的优劣对比和存在问题。</w:t>
      </w:r>
    </w:p>
    <w:p w14:paraId="46B7B8EA">
      <w:pPr>
        <w:spacing w:before="181" w:line="220" w:lineRule="auto"/>
        <w:ind w:left="297" w:firstLine="232" w:firstLineChars="10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6</w:t>
      </w:r>
      <w:r>
        <w:rPr>
          <w:rFonts w:ascii="宋体" w:hAnsi="宋体" w:eastAsia="宋体" w:cs="宋体"/>
          <w:color w:val="auto"/>
          <w:spacing w:val="-4"/>
          <w:sz w:val="24"/>
          <w:szCs w:val="24"/>
          <w:highlight w:val="none"/>
        </w:rPr>
        <w:t>）中标候选人投标业绩。</w:t>
      </w:r>
    </w:p>
    <w:p w14:paraId="700468CA">
      <w:pPr>
        <w:spacing w:before="181" w:line="220" w:lineRule="auto"/>
        <w:ind w:left="297" w:firstLine="228" w:firstLineChars="10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7</w:t>
      </w:r>
      <w:r>
        <w:rPr>
          <w:rFonts w:ascii="宋体" w:hAnsi="宋体" w:eastAsia="宋体" w:cs="宋体"/>
          <w:color w:val="auto"/>
          <w:spacing w:val="-6"/>
          <w:sz w:val="24"/>
          <w:szCs w:val="24"/>
          <w:highlight w:val="none"/>
        </w:rPr>
        <w:t>）其他建议。</w:t>
      </w:r>
    </w:p>
    <w:p w14:paraId="27DBA889">
      <w:pPr>
        <w:spacing w:line="220" w:lineRule="auto"/>
        <w:rPr>
          <w:rFonts w:ascii="宋体" w:hAnsi="宋体" w:eastAsia="宋体" w:cs="宋体"/>
          <w:color w:val="auto"/>
          <w:sz w:val="24"/>
          <w:szCs w:val="24"/>
          <w:highlight w:val="none"/>
        </w:rPr>
        <w:sectPr>
          <w:footerReference r:id="rId58" w:type="default"/>
          <w:pgSz w:w="11905" w:h="16840"/>
          <w:pgMar w:top="1428" w:right="1529" w:bottom="1255" w:left="1785" w:header="0" w:footer="1093" w:gutter="0"/>
          <w:pgNumType w:fmt="decimal"/>
          <w:cols w:space="720" w:num="1"/>
        </w:sectPr>
      </w:pPr>
    </w:p>
    <w:p w14:paraId="49B33B44">
      <w:pPr>
        <w:spacing w:before="53" w:line="217" w:lineRule="auto"/>
        <w:ind w:left="3478"/>
        <w:rPr>
          <w:rFonts w:ascii="等线" w:hAnsi="等线" w:eastAsia="等线" w:cs="等线"/>
          <w:color w:val="auto"/>
          <w:sz w:val="27"/>
          <w:szCs w:val="27"/>
          <w:highlight w:val="none"/>
        </w:rPr>
      </w:pPr>
      <w:r>
        <w:rPr>
          <w:rFonts w:ascii="等线" w:hAnsi="等线" w:eastAsia="等线" w:cs="等线"/>
          <w:b/>
          <w:bCs/>
          <w:color w:val="auto"/>
          <w:spacing w:val="7"/>
          <w:sz w:val="27"/>
          <w:szCs w:val="27"/>
          <w:highlight w:val="none"/>
        </w:rPr>
        <w:t>第⼆节</w:t>
      </w:r>
      <w:r>
        <w:rPr>
          <w:rFonts w:ascii="等线" w:hAnsi="等线" w:eastAsia="等线" w:cs="等线"/>
          <w:b/>
          <w:bCs/>
          <w:color w:val="auto"/>
          <w:spacing w:val="1"/>
          <w:sz w:val="27"/>
          <w:szCs w:val="27"/>
          <w:highlight w:val="none"/>
        </w:rPr>
        <w:t xml:space="preserve">  </w:t>
      </w:r>
      <w:r>
        <w:rPr>
          <w:rFonts w:ascii="等线" w:hAnsi="等线" w:eastAsia="等线" w:cs="等线"/>
          <w:b/>
          <w:bCs/>
          <w:color w:val="auto"/>
          <w:spacing w:val="7"/>
          <w:sz w:val="27"/>
          <w:szCs w:val="27"/>
          <w:highlight w:val="none"/>
        </w:rPr>
        <w:t>定标办法</w:t>
      </w:r>
    </w:p>
    <w:p w14:paraId="7FEBF664">
      <w:pPr>
        <w:spacing w:before="99" w:line="220" w:lineRule="auto"/>
        <w:ind w:left="502"/>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一、定标原则</w:t>
      </w:r>
    </w:p>
    <w:p w14:paraId="20069530">
      <w:pPr>
        <w:spacing w:before="179" w:line="220" w:lineRule="auto"/>
        <w:ind w:left="498"/>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详见投标人须知。</w:t>
      </w:r>
    </w:p>
    <w:p w14:paraId="2DC2D6AB">
      <w:pPr>
        <w:spacing w:before="182" w:line="220" w:lineRule="auto"/>
        <w:ind w:left="502"/>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二、定标组织</w:t>
      </w:r>
    </w:p>
    <w:p w14:paraId="274DB29D">
      <w:pPr>
        <w:spacing w:before="180" w:line="220" w:lineRule="auto"/>
        <w:ind w:left="498"/>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详见投标人须知。</w:t>
      </w:r>
    </w:p>
    <w:p w14:paraId="20A984E3">
      <w:pPr>
        <w:spacing w:before="181" w:line="220" w:lineRule="auto"/>
        <w:ind w:left="498"/>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三、定标程序</w:t>
      </w:r>
    </w:p>
    <w:p w14:paraId="114506FB">
      <w:pPr>
        <w:spacing w:before="181" w:line="359" w:lineRule="auto"/>
        <w:ind w:left="17" w:right="75" w:firstLine="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（一）定标前，定标委员会可以自行组织或委托专</w:t>
      </w:r>
      <w:r>
        <w:rPr>
          <w:rFonts w:ascii="宋体" w:hAnsi="宋体" w:eastAsia="宋体" w:cs="宋体"/>
          <w:color w:val="auto"/>
          <w:spacing w:val="-4"/>
          <w:sz w:val="24"/>
          <w:szCs w:val="24"/>
          <w:highlight w:val="none"/>
        </w:rPr>
        <w:t>业机构对中标候选人及其投标</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文件、评标报告进行考察、质询，作为定标的辅助资料。</w:t>
      </w:r>
    </w:p>
    <w:p w14:paraId="094D7840">
      <w:pPr>
        <w:keepNext w:val="0"/>
        <w:keepLines w:val="0"/>
        <w:pageBreakBefore w:val="0"/>
        <w:widowControl/>
        <w:kinsoku w:val="0"/>
        <w:wordWrap/>
        <w:overflowPunct/>
        <w:topLinePunct w:val="0"/>
        <w:autoSpaceDE w:val="0"/>
        <w:autoSpaceDN w:val="0"/>
        <w:bidi w:val="0"/>
        <w:adjustRightInd w:val="0"/>
        <w:snapToGrid w:val="0"/>
        <w:spacing w:before="2" w:line="312" w:lineRule="auto"/>
        <w:ind w:left="14" w:right="104" w:firstLine="487"/>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（1）考察。是指实地调查，考察内容为招标文件载明的所有定标要素，但评标</w:t>
      </w:r>
      <w:r>
        <w:rPr>
          <w:rFonts w:ascii="宋体" w:hAnsi="宋体" w:eastAsia="宋体" w:cs="宋体"/>
          <w:color w:val="auto"/>
          <w:spacing w:val="8"/>
          <w:sz w:val="24"/>
          <w:szCs w:val="24"/>
          <w:highlight w:val="none"/>
        </w:rPr>
        <w:t xml:space="preserve"> </w:t>
      </w:r>
      <w:r>
        <w:rPr>
          <w:rFonts w:ascii="宋体" w:hAnsi="宋体" w:eastAsia="宋体" w:cs="宋体"/>
          <w:color w:val="auto"/>
          <w:sz w:val="24"/>
          <w:szCs w:val="24"/>
          <w:highlight w:val="none"/>
        </w:rPr>
        <w:t>委员会已经经过评审过的相关定标要素内容，招标人认为不</w:t>
      </w:r>
      <w:r>
        <w:rPr>
          <w:rFonts w:ascii="宋体" w:hAnsi="宋体" w:eastAsia="宋体" w:cs="宋体"/>
          <w:color w:val="auto"/>
          <w:spacing w:val="-1"/>
          <w:sz w:val="24"/>
          <w:szCs w:val="24"/>
          <w:highlight w:val="none"/>
        </w:rPr>
        <w:t>再需要考察的，可以不</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列入考察内容。考察需对考察内容进行定性或定量分析，在考察报告中需有结论，供定标委员会参考。如招标人组织考察的，应对所有中标候选人进行。</w:t>
      </w:r>
    </w:p>
    <w:p w14:paraId="2C0AFE25">
      <w:pPr>
        <w:spacing w:before="180" w:line="313" w:lineRule="auto"/>
        <w:ind w:left="16"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（2）质询。是指招标人以书面方式就投标文件向中标候选人提出问题，要求中</w:t>
      </w:r>
      <w:r>
        <w:rPr>
          <w:rFonts w:ascii="宋体" w:hAnsi="宋体" w:eastAsia="宋体" w:cs="宋体"/>
          <w:color w:val="auto"/>
          <w:spacing w:val="10"/>
          <w:sz w:val="24"/>
          <w:szCs w:val="24"/>
          <w:highlight w:val="none"/>
        </w:rPr>
        <w:t xml:space="preserve"> </w:t>
      </w:r>
      <w:r>
        <w:rPr>
          <w:rFonts w:ascii="宋体" w:hAnsi="宋体" w:eastAsia="宋体" w:cs="宋体"/>
          <w:color w:val="auto"/>
          <w:spacing w:val="-7"/>
          <w:sz w:val="24"/>
          <w:szCs w:val="24"/>
          <w:highlight w:val="none"/>
        </w:rPr>
        <w:t>标候选人进行答复。就同一问题进行质询的，原则上应当向所</w:t>
      </w:r>
      <w:r>
        <w:rPr>
          <w:rFonts w:ascii="宋体" w:hAnsi="宋体" w:eastAsia="宋体" w:cs="宋体"/>
          <w:color w:val="auto"/>
          <w:spacing w:val="-8"/>
          <w:sz w:val="24"/>
          <w:szCs w:val="24"/>
          <w:highlight w:val="none"/>
        </w:rPr>
        <w:t>有中标候选人进行质询，</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招标人认为中标候选人已在投标文件中明确的，可以不再对该中标</w:t>
      </w:r>
      <w:r>
        <w:rPr>
          <w:rFonts w:ascii="宋体" w:hAnsi="宋体" w:eastAsia="宋体" w:cs="宋体"/>
          <w:color w:val="auto"/>
          <w:spacing w:val="-2"/>
          <w:sz w:val="24"/>
          <w:szCs w:val="24"/>
          <w:highlight w:val="none"/>
        </w:rPr>
        <w:t>候选人进行质询。</w:t>
      </w:r>
    </w:p>
    <w:p w14:paraId="6A71958A">
      <w:pPr>
        <w:spacing w:before="181" w:line="219" w:lineRule="auto"/>
        <w:ind w:left="50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（二）评标结果公示结束无异议后</w:t>
      </w:r>
      <w:r>
        <w:rPr>
          <w:rFonts w:ascii="Times New Roman" w:hAnsi="Times New Roman" w:eastAsia="Times New Roman" w:cs="Times New Roman"/>
          <w:color w:val="auto"/>
          <w:spacing w:val="-2"/>
          <w:sz w:val="24"/>
          <w:szCs w:val="24"/>
          <w:highlight w:val="none"/>
        </w:rPr>
        <w:t>10</w:t>
      </w:r>
      <w:r>
        <w:rPr>
          <w:rFonts w:ascii="宋体" w:hAnsi="宋体" w:eastAsia="宋体" w:cs="宋体"/>
          <w:color w:val="auto"/>
          <w:spacing w:val="-2"/>
          <w:sz w:val="24"/>
          <w:szCs w:val="24"/>
          <w:highlight w:val="none"/>
        </w:rPr>
        <w:t>日内，应召开定标会议。</w:t>
      </w:r>
    </w:p>
    <w:p w14:paraId="7D6CE56C">
      <w:pPr>
        <w:spacing w:before="182" w:line="219" w:lineRule="auto"/>
        <w:ind w:left="50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（三）定标委员会按下列方法确定中标人：</w:t>
      </w:r>
    </w:p>
    <w:p w14:paraId="3A0ACD56">
      <w:pPr>
        <w:spacing w:before="182" w:line="220" w:lineRule="auto"/>
        <w:ind w:left="522"/>
        <w:rPr>
          <w:rFonts w:ascii="宋体" w:hAnsi="宋体" w:eastAsia="宋体" w:cs="宋体"/>
          <w:color w:val="auto"/>
          <w:sz w:val="24"/>
          <w:szCs w:val="24"/>
          <w:highlight w:val="none"/>
        </w:rPr>
      </w:pPr>
      <w:r>
        <w:rPr>
          <w:rFonts w:hint="eastAsia" w:ascii="宋体" w:hAnsi="宋体" w:eastAsia="宋体" w:cs="宋体"/>
          <w:b/>
          <w:bCs/>
          <w:color w:val="auto"/>
          <w:spacing w:val="-13"/>
          <w:sz w:val="24"/>
          <w:szCs w:val="24"/>
          <w:highlight w:val="none"/>
          <w:lang w:eastAsia="zh-CN"/>
        </w:rPr>
        <w:t>☑</w:t>
      </w:r>
      <w:r>
        <w:rPr>
          <w:rFonts w:ascii="宋体" w:hAnsi="宋体" w:eastAsia="宋体" w:cs="宋体"/>
          <w:b/>
          <w:bCs/>
          <w:color w:val="auto"/>
          <w:spacing w:val="-13"/>
          <w:sz w:val="24"/>
          <w:szCs w:val="24"/>
          <w:highlight w:val="none"/>
        </w:rPr>
        <w:t>直接票决法：</w:t>
      </w:r>
    </w:p>
    <w:p w14:paraId="4C138358">
      <w:pPr>
        <w:spacing w:before="182" w:line="289" w:lineRule="auto"/>
        <w:ind w:left="19" w:right="75" w:firstLine="500"/>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eastAsia="zh-CN"/>
        </w:rPr>
        <w:t>☑</w:t>
      </w:r>
      <w:r>
        <w:rPr>
          <w:rFonts w:ascii="宋体" w:hAnsi="宋体" w:eastAsia="宋体" w:cs="宋体"/>
          <w:color w:val="auto"/>
          <w:spacing w:val="-4"/>
          <w:sz w:val="24"/>
          <w:szCs w:val="24"/>
          <w:highlight w:val="none"/>
        </w:rPr>
        <w:t>直接票决法一：定标委员会在进入投票范围的中标候选人中，以每人投票支持</w:t>
      </w:r>
      <w:r>
        <w:rPr>
          <w:rFonts w:ascii="宋体" w:hAnsi="宋体" w:eastAsia="宋体" w:cs="宋体"/>
          <w:color w:val="auto"/>
          <w:spacing w:val="4"/>
          <w:sz w:val="24"/>
          <w:szCs w:val="24"/>
          <w:highlight w:val="none"/>
        </w:rPr>
        <w:t xml:space="preserve"> </w:t>
      </w:r>
      <w:r>
        <w:rPr>
          <w:rFonts w:ascii="宋体" w:hAnsi="宋体" w:eastAsia="宋体" w:cs="宋体"/>
          <w:color w:val="auto"/>
          <w:spacing w:val="-2"/>
          <w:sz w:val="24"/>
          <w:szCs w:val="24"/>
          <w:highlight w:val="none"/>
        </w:rPr>
        <w:t>一个中标候选人的方式，得票最多且过半数的中标候选人为中标人。</w:t>
      </w:r>
    </w:p>
    <w:p w14:paraId="6A57D279">
      <w:pPr>
        <w:spacing w:before="185" w:line="350" w:lineRule="auto"/>
        <w:ind w:left="16" w:right="42" w:firstLine="494"/>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当没有中标候选人得票超过半数时，选择得票较多的</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个中标候选人（按上一轮</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得票多少的顺序选择，在选择第</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个中标候选人时出现同票的中标候选人时，</w:t>
      </w:r>
      <w:r>
        <w:rPr>
          <w:rFonts w:ascii="宋体" w:hAnsi="宋体" w:eastAsia="宋体" w:cs="宋体"/>
          <w:i/>
          <w:iCs/>
          <w:color w:val="auto"/>
          <w:spacing w:val="-2"/>
          <w:sz w:val="24"/>
          <w:szCs w:val="24"/>
          <w:highlight w:val="none"/>
        </w:rPr>
        <w:t>□抽签</w:t>
      </w:r>
      <w:r>
        <w:rPr>
          <w:rFonts w:ascii="宋体" w:hAnsi="宋体" w:eastAsia="宋体" w:cs="宋体"/>
          <w:color w:val="auto"/>
          <w:sz w:val="24"/>
          <w:szCs w:val="24"/>
          <w:highlight w:val="none"/>
        </w:rPr>
        <w:t xml:space="preserve"> </w:t>
      </w:r>
      <w:r>
        <w:rPr>
          <w:rFonts w:ascii="宋体" w:hAnsi="宋体" w:eastAsia="宋体" w:cs="宋体"/>
          <w:i/>
          <w:iCs/>
          <w:color w:val="auto"/>
          <w:spacing w:val="-14"/>
          <w:sz w:val="24"/>
          <w:szCs w:val="24"/>
          <w:highlight w:val="none"/>
        </w:rPr>
        <w:t>抽取中标候选人</w:t>
      </w:r>
      <w:r>
        <w:rPr>
          <w:rFonts w:hint="eastAsia" w:ascii="宋体" w:hAnsi="宋体" w:eastAsia="宋体" w:cs="宋体"/>
          <w:i/>
          <w:iCs/>
          <w:color w:val="auto"/>
          <w:spacing w:val="-14"/>
          <w:sz w:val="24"/>
          <w:szCs w:val="24"/>
          <w:highlight w:val="none"/>
          <w:lang w:eastAsia="zh-CN"/>
        </w:rPr>
        <w:t>☑</w:t>
      </w:r>
      <w:r>
        <w:rPr>
          <w:rFonts w:ascii="宋体" w:hAnsi="宋体" w:eastAsia="宋体" w:cs="宋体"/>
          <w:i/>
          <w:iCs/>
          <w:color w:val="auto"/>
          <w:spacing w:val="-14"/>
          <w:sz w:val="24"/>
          <w:szCs w:val="24"/>
          <w:highlight w:val="none"/>
        </w:rPr>
        <w:t>报价低者（报价相同时抽签抽取</w:t>
      </w:r>
      <w:r>
        <w:rPr>
          <w:rFonts w:ascii="宋体" w:hAnsi="宋体" w:eastAsia="宋体" w:cs="宋体"/>
          <w:color w:val="auto"/>
          <w:spacing w:val="-57"/>
          <w:sz w:val="24"/>
          <w:szCs w:val="24"/>
          <w:highlight w:val="none"/>
        </w:rPr>
        <w:t xml:space="preserve"> </w:t>
      </w:r>
      <w:r>
        <w:rPr>
          <w:rFonts w:ascii="Times New Roman" w:hAnsi="Times New Roman" w:eastAsia="Times New Roman" w:cs="Times New Roman"/>
          <w:i/>
          <w:iCs/>
          <w:color w:val="auto"/>
          <w:spacing w:val="-14"/>
          <w:sz w:val="24"/>
          <w:szCs w:val="24"/>
          <w:highlight w:val="none"/>
        </w:rPr>
        <w:t>1</w:t>
      </w:r>
      <w:r>
        <w:rPr>
          <w:rFonts w:ascii="Times New Roman" w:hAnsi="Times New Roman" w:eastAsia="Times New Roman" w:cs="Times New Roman"/>
          <w:i/>
          <w:iCs/>
          <w:color w:val="auto"/>
          <w:spacing w:val="28"/>
          <w:w w:val="101"/>
          <w:sz w:val="24"/>
          <w:szCs w:val="24"/>
          <w:highlight w:val="none"/>
        </w:rPr>
        <w:t xml:space="preserve"> </w:t>
      </w:r>
      <w:r>
        <w:rPr>
          <w:rFonts w:ascii="宋体" w:hAnsi="宋体" w:eastAsia="宋体" w:cs="宋体"/>
          <w:i/>
          <w:iCs/>
          <w:color w:val="auto"/>
          <w:spacing w:val="-14"/>
          <w:sz w:val="24"/>
          <w:szCs w:val="24"/>
          <w:highlight w:val="none"/>
        </w:rPr>
        <w:t>个中标候选人）□由招标</w:t>
      </w:r>
      <w:r>
        <w:rPr>
          <w:rFonts w:ascii="宋体" w:hAnsi="宋体" w:eastAsia="宋体" w:cs="宋体"/>
          <w:i/>
          <w:iCs/>
          <w:color w:val="auto"/>
          <w:spacing w:val="-15"/>
          <w:sz w:val="24"/>
          <w:szCs w:val="24"/>
          <w:highlight w:val="none"/>
        </w:rPr>
        <w:t>人法定</w:t>
      </w:r>
      <w:r>
        <w:rPr>
          <w:rFonts w:ascii="宋体" w:hAnsi="宋体" w:eastAsia="宋体" w:cs="宋体"/>
          <w:i/>
          <w:iCs/>
          <w:color w:val="auto"/>
          <w:spacing w:val="-5"/>
          <w:sz w:val="24"/>
          <w:szCs w:val="24"/>
          <w:highlight w:val="none"/>
        </w:rPr>
        <w:t>代表人或其委托代表直接确定</w:t>
      </w:r>
      <w:r>
        <w:rPr>
          <w:rFonts w:ascii="Times New Roman" w:hAnsi="Times New Roman" w:eastAsia="Times New Roman" w:cs="Times New Roman"/>
          <w:i/>
          <w:iCs/>
          <w:color w:val="auto"/>
          <w:spacing w:val="-5"/>
          <w:sz w:val="24"/>
          <w:szCs w:val="24"/>
          <w:highlight w:val="none"/>
        </w:rPr>
        <w:t>1</w:t>
      </w:r>
      <w:r>
        <w:rPr>
          <w:rFonts w:ascii="宋体" w:hAnsi="宋体" w:eastAsia="宋体" w:cs="宋体"/>
          <w:i/>
          <w:iCs/>
          <w:color w:val="auto"/>
          <w:spacing w:val="-5"/>
          <w:sz w:val="24"/>
          <w:szCs w:val="24"/>
          <w:highlight w:val="none"/>
        </w:rPr>
        <w:t>个中标候选人</w:t>
      </w:r>
      <w:r>
        <w:rPr>
          <w:rFonts w:ascii="宋体" w:hAnsi="宋体" w:eastAsia="宋体" w:cs="宋体"/>
          <w:color w:val="auto"/>
          <w:spacing w:val="-5"/>
          <w:sz w:val="24"/>
          <w:szCs w:val="24"/>
          <w:highlight w:val="none"/>
        </w:rPr>
        <w:t>作为二次投票的范围，直至出现得票过</w:t>
      </w:r>
      <w:r>
        <w:rPr>
          <w:rFonts w:ascii="宋体" w:hAnsi="宋体" w:eastAsia="宋体" w:cs="宋体"/>
          <w:color w:val="auto"/>
          <w:spacing w:val="-4"/>
          <w:sz w:val="24"/>
          <w:szCs w:val="24"/>
          <w:highlight w:val="none"/>
        </w:rPr>
        <w:t>半数的中标候选人为止。</w:t>
      </w:r>
    </w:p>
    <w:p w14:paraId="7F860EF9">
      <w:pPr>
        <w:spacing w:before="1" w:line="354" w:lineRule="auto"/>
        <w:ind w:right="66" w:firstLine="52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□直接票决法二：定标委员会在进入投票范围的中标候选人中，以每人投票支持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4"/>
          <w:sz w:val="24"/>
          <w:szCs w:val="24"/>
          <w:highlight w:val="none"/>
          <w:u w:val="single" w:color="auto"/>
        </w:rPr>
        <w:t>N</w:t>
      </w:r>
      <w:r>
        <w:rPr>
          <w:rFonts w:ascii="Times New Roman" w:hAnsi="Times New Roman" w:eastAsia="Times New Roman" w:cs="Times New Roman"/>
          <w:i/>
          <w:iCs/>
          <w:strike/>
          <w:dstrike w:val="0"/>
          <w:color w:val="auto"/>
          <w:spacing w:val="40"/>
          <w:sz w:val="24"/>
          <w:szCs w:val="24"/>
          <w:highlight w:val="none"/>
          <w:u w:val="single" w:color="auto"/>
        </w:rPr>
        <w:t xml:space="preserve"> </w:t>
      </w:r>
      <w:r>
        <w:rPr>
          <w:rFonts w:ascii="宋体" w:hAnsi="宋体" w:eastAsia="宋体" w:cs="宋体"/>
          <w:i/>
          <w:iCs/>
          <w:strike/>
          <w:dstrike w:val="0"/>
          <w:color w:val="auto"/>
          <w:spacing w:val="-4"/>
          <w:sz w:val="25"/>
          <w:szCs w:val="25"/>
          <w:highlight w:val="none"/>
        </w:rPr>
        <w:t>（</w:t>
      </w:r>
      <w:r>
        <w:rPr>
          <w:rFonts w:ascii="Times New Roman" w:hAnsi="Times New Roman" w:eastAsia="Times New Roman" w:cs="Times New Roman"/>
          <w:i/>
          <w:iCs/>
          <w:strike/>
          <w:dstrike w:val="0"/>
          <w:color w:val="auto"/>
          <w:spacing w:val="-4"/>
          <w:sz w:val="24"/>
          <w:szCs w:val="24"/>
          <w:highlight w:val="none"/>
        </w:rPr>
        <w:t>N</w:t>
      </w:r>
      <w:r>
        <w:rPr>
          <w:rFonts w:ascii="宋体" w:hAnsi="宋体" w:eastAsia="宋体" w:cs="宋体"/>
          <w:i/>
          <w:iCs/>
          <w:strike/>
          <w:dstrike w:val="0"/>
          <w:color w:val="auto"/>
          <w:spacing w:val="-4"/>
          <w:sz w:val="25"/>
          <w:szCs w:val="25"/>
          <w:highlight w:val="none"/>
        </w:rPr>
        <w:t>不得超过中标候选人数）</w:t>
      </w:r>
      <w:r>
        <w:rPr>
          <w:rFonts w:ascii="宋体" w:hAnsi="宋体" w:eastAsia="宋体" w:cs="宋体"/>
          <w:strike/>
          <w:dstrike w:val="0"/>
          <w:color w:val="auto"/>
          <w:spacing w:val="-4"/>
          <w:sz w:val="24"/>
          <w:szCs w:val="24"/>
          <w:highlight w:val="none"/>
        </w:rPr>
        <w:t>个中标候选人的方式，得票最多且过半数的中标候选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人为中标人。</w:t>
      </w:r>
    </w:p>
    <w:p w14:paraId="15D4DF10">
      <w:pPr>
        <w:spacing w:before="2" w:line="354" w:lineRule="auto"/>
        <w:ind w:left="16" w:right="42" w:firstLine="494"/>
        <w:rPr>
          <w:rFonts w:ascii="宋体" w:hAnsi="宋体" w:eastAsia="宋体" w:cs="宋体"/>
          <w:strike/>
          <w:dstrike w:val="0"/>
          <w:color w:val="auto"/>
          <w:sz w:val="25"/>
          <w:szCs w:val="25"/>
          <w:highlight w:val="none"/>
        </w:rPr>
      </w:pPr>
      <w:r>
        <w:rPr>
          <w:rFonts w:ascii="宋体" w:hAnsi="宋体" w:eastAsia="宋体" w:cs="宋体"/>
          <w:strike/>
          <w:dstrike w:val="0"/>
          <w:color w:val="auto"/>
          <w:sz w:val="24"/>
          <w:szCs w:val="24"/>
          <w:highlight w:val="none"/>
        </w:rPr>
        <w:t>当没有中标候选人得票超过半数时，选择得票较多的</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个中标候选人（按上一轮</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2"/>
          <w:sz w:val="24"/>
          <w:szCs w:val="24"/>
          <w:highlight w:val="none"/>
        </w:rPr>
        <w:t>得票多少的顺序选择，在选择第</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个中标候选人时出现同票的中标候选人时，</w:t>
      </w:r>
      <w:r>
        <w:rPr>
          <w:rFonts w:ascii="宋体" w:hAnsi="宋体" w:eastAsia="宋体" w:cs="宋体"/>
          <w:strike/>
          <w:dstrike w:val="0"/>
          <w:color w:val="auto"/>
          <w:spacing w:val="-35"/>
          <w:sz w:val="24"/>
          <w:szCs w:val="24"/>
          <w:highlight w:val="none"/>
        </w:rPr>
        <w:t xml:space="preserve"> </w:t>
      </w:r>
      <w:r>
        <w:rPr>
          <w:rFonts w:ascii="宋体" w:hAnsi="宋体" w:eastAsia="宋体" w:cs="宋体"/>
          <w:i/>
          <w:iCs/>
          <w:strike/>
          <w:dstrike w:val="0"/>
          <w:color w:val="auto"/>
          <w:spacing w:val="-2"/>
          <w:sz w:val="25"/>
          <w:szCs w:val="25"/>
          <w:highlight w:val="none"/>
        </w:rPr>
        <w:t>□抽签</w:t>
      </w:r>
    </w:p>
    <w:p w14:paraId="5B88A45B">
      <w:pPr>
        <w:spacing w:line="354" w:lineRule="auto"/>
        <w:rPr>
          <w:rFonts w:ascii="宋体" w:hAnsi="宋体" w:eastAsia="宋体" w:cs="宋体"/>
          <w:strike/>
          <w:dstrike w:val="0"/>
          <w:color w:val="auto"/>
          <w:sz w:val="25"/>
          <w:szCs w:val="25"/>
          <w:highlight w:val="none"/>
        </w:rPr>
        <w:sectPr>
          <w:footerReference r:id="rId59" w:type="default"/>
          <w:pgSz w:w="11905" w:h="16840"/>
          <w:pgMar w:top="1431" w:right="1461" w:bottom="1255" w:left="1581" w:header="0" w:footer="1093" w:gutter="0"/>
          <w:pgNumType w:fmt="decimal"/>
          <w:cols w:space="720" w:num="1"/>
        </w:sectPr>
      </w:pPr>
    </w:p>
    <w:p w14:paraId="0475DC97">
      <w:pPr>
        <w:spacing w:before="49" w:line="349" w:lineRule="auto"/>
        <w:ind w:left="19" w:right="87" w:firstLine="106"/>
        <w:jc w:val="both"/>
        <w:rPr>
          <w:rFonts w:ascii="宋体" w:hAnsi="宋体" w:eastAsia="宋体" w:cs="宋体"/>
          <w:strike/>
          <w:dstrike w:val="0"/>
          <w:color w:val="auto"/>
          <w:sz w:val="24"/>
          <w:szCs w:val="24"/>
          <w:highlight w:val="none"/>
        </w:rPr>
      </w:pPr>
      <w:r>
        <w:rPr>
          <w:rFonts w:ascii="宋体" w:hAnsi="宋体" w:eastAsia="宋体" w:cs="宋体"/>
          <w:i/>
          <w:iCs/>
          <w:strike/>
          <w:dstrike w:val="0"/>
          <w:color w:val="auto"/>
          <w:spacing w:val="-17"/>
          <w:sz w:val="25"/>
          <w:szCs w:val="25"/>
          <w:highlight w:val="none"/>
        </w:rPr>
        <w:t>抽取中标候选人□报价低者（报价相同时抽签抽取</w:t>
      </w:r>
      <w:r>
        <w:rPr>
          <w:rFonts w:ascii="宋体" w:hAnsi="宋体" w:eastAsia="宋体" w:cs="宋体"/>
          <w:strike/>
          <w:dstrike w:val="0"/>
          <w:color w:val="auto"/>
          <w:spacing w:val="-58"/>
          <w:sz w:val="25"/>
          <w:szCs w:val="25"/>
          <w:highlight w:val="none"/>
        </w:rPr>
        <w:t xml:space="preserve"> </w:t>
      </w:r>
      <w:r>
        <w:rPr>
          <w:rFonts w:ascii="Times New Roman" w:hAnsi="Times New Roman" w:eastAsia="Times New Roman" w:cs="Times New Roman"/>
          <w:i/>
          <w:iCs/>
          <w:strike/>
          <w:dstrike w:val="0"/>
          <w:color w:val="auto"/>
          <w:spacing w:val="-17"/>
          <w:sz w:val="24"/>
          <w:szCs w:val="24"/>
          <w:highlight w:val="none"/>
        </w:rPr>
        <w:t>1</w:t>
      </w:r>
      <w:r>
        <w:rPr>
          <w:rFonts w:ascii="Times New Roman" w:hAnsi="Times New Roman" w:eastAsia="Times New Roman" w:cs="Times New Roman"/>
          <w:i/>
          <w:iCs/>
          <w:strike/>
          <w:dstrike w:val="0"/>
          <w:color w:val="auto"/>
          <w:spacing w:val="28"/>
          <w:w w:val="101"/>
          <w:sz w:val="24"/>
          <w:szCs w:val="24"/>
          <w:highlight w:val="none"/>
        </w:rPr>
        <w:t xml:space="preserve"> </w:t>
      </w:r>
      <w:r>
        <w:rPr>
          <w:rFonts w:ascii="宋体" w:hAnsi="宋体" w:eastAsia="宋体" w:cs="宋体"/>
          <w:i/>
          <w:iCs/>
          <w:strike/>
          <w:dstrike w:val="0"/>
          <w:color w:val="auto"/>
          <w:spacing w:val="-17"/>
          <w:sz w:val="25"/>
          <w:szCs w:val="25"/>
          <w:highlight w:val="none"/>
        </w:rPr>
        <w:t>个中标候选人）□由招标人法定</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5"/>
          <w:sz w:val="25"/>
          <w:szCs w:val="25"/>
          <w:highlight w:val="none"/>
        </w:rPr>
        <w:t>代表人或其委托代表直接确定</w:t>
      </w:r>
      <w:r>
        <w:rPr>
          <w:rFonts w:ascii="Times New Roman" w:hAnsi="Times New Roman" w:eastAsia="Times New Roman" w:cs="Times New Roman"/>
          <w:i/>
          <w:iCs/>
          <w:strike/>
          <w:dstrike w:val="0"/>
          <w:color w:val="auto"/>
          <w:spacing w:val="-5"/>
          <w:sz w:val="24"/>
          <w:szCs w:val="24"/>
          <w:highlight w:val="none"/>
        </w:rPr>
        <w:t>1</w:t>
      </w:r>
      <w:r>
        <w:rPr>
          <w:rFonts w:ascii="宋体" w:hAnsi="宋体" w:eastAsia="宋体" w:cs="宋体"/>
          <w:i/>
          <w:iCs/>
          <w:strike/>
          <w:dstrike w:val="0"/>
          <w:color w:val="auto"/>
          <w:spacing w:val="-5"/>
          <w:sz w:val="25"/>
          <w:szCs w:val="25"/>
          <w:highlight w:val="none"/>
        </w:rPr>
        <w:t>个中标候选人</w:t>
      </w:r>
      <w:r>
        <w:rPr>
          <w:rFonts w:ascii="宋体" w:hAnsi="宋体" w:eastAsia="宋体" w:cs="宋体"/>
          <w:strike/>
          <w:dstrike w:val="0"/>
          <w:color w:val="auto"/>
          <w:spacing w:val="-5"/>
          <w:sz w:val="24"/>
          <w:szCs w:val="24"/>
          <w:highlight w:val="none"/>
        </w:rPr>
        <w:t>作为二次投票的范围，直至出现得票过</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4"/>
          <w:sz w:val="24"/>
          <w:szCs w:val="24"/>
          <w:highlight w:val="none"/>
        </w:rPr>
        <w:t>半数的中标候选人为止。</w:t>
      </w:r>
    </w:p>
    <w:p w14:paraId="35DCD7FA">
      <w:pPr>
        <w:spacing w:line="354" w:lineRule="auto"/>
        <w:ind w:right="85" w:firstLine="52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□直接票决法三：定标委员会在进入投票范围的中标候选人中，以每人投票支持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4"/>
          <w:sz w:val="24"/>
          <w:szCs w:val="24"/>
          <w:highlight w:val="none"/>
          <w:u w:val="single" w:color="auto"/>
        </w:rPr>
        <w:t>N</w:t>
      </w:r>
      <w:r>
        <w:rPr>
          <w:rFonts w:ascii="Times New Roman" w:hAnsi="Times New Roman" w:eastAsia="Times New Roman" w:cs="Times New Roman"/>
          <w:i/>
          <w:iCs/>
          <w:strike/>
          <w:dstrike w:val="0"/>
          <w:color w:val="auto"/>
          <w:spacing w:val="40"/>
          <w:sz w:val="24"/>
          <w:szCs w:val="24"/>
          <w:highlight w:val="none"/>
          <w:u w:val="single" w:color="auto"/>
        </w:rPr>
        <w:t xml:space="preserve"> </w:t>
      </w:r>
      <w:r>
        <w:rPr>
          <w:rFonts w:ascii="宋体" w:hAnsi="宋体" w:eastAsia="宋体" w:cs="宋体"/>
          <w:i/>
          <w:iCs/>
          <w:strike/>
          <w:dstrike w:val="0"/>
          <w:color w:val="auto"/>
          <w:spacing w:val="-4"/>
          <w:sz w:val="25"/>
          <w:szCs w:val="25"/>
          <w:highlight w:val="none"/>
        </w:rPr>
        <w:t>（</w:t>
      </w:r>
      <w:r>
        <w:rPr>
          <w:rFonts w:ascii="Times New Roman" w:hAnsi="Times New Roman" w:eastAsia="Times New Roman" w:cs="Times New Roman"/>
          <w:i/>
          <w:iCs/>
          <w:strike/>
          <w:dstrike w:val="0"/>
          <w:color w:val="auto"/>
          <w:spacing w:val="-4"/>
          <w:sz w:val="24"/>
          <w:szCs w:val="24"/>
          <w:highlight w:val="none"/>
        </w:rPr>
        <w:t>N</w:t>
      </w:r>
      <w:r>
        <w:rPr>
          <w:rFonts w:ascii="宋体" w:hAnsi="宋体" w:eastAsia="宋体" w:cs="宋体"/>
          <w:i/>
          <w:iCs/>
          <w:strike/>
          <w:dstrike w:val="0"/>
          <w:color w:val="auto"/>
          <w:spacing w:val="-4"/>
          <w:sz w:val="25"/>
          <w:szCs w:val="25"/>
          <w:highlight w:val="none"/>
        </w:rPr>
        <w:t>不得超过中标候选人数）</w:t>
      </w:r>
      <w:r>
        <w:rPr>
          <w:rFonts w:ascii="宋体" w:hAnsi="宋体" w:eastAsia="宋体" w:cs="宋体"/>
          <w:strike/>
          <w:dstrike w:val="0"/>
          <w:color w:val="auto"/>
          <w:spacing w:val="-4"/>
          <w:sz w:val="24"/>
          <w:szCs w:val="24"/>
          <w:highlight w:val="none"/>
        </w:rPr>
        <w:t>个中标候选人的方式，得票最多的中标候选人为中标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人。</w:t>
      </w:r>
    </w:p>
    <w:p w14:paraId="2F0086CF">
      <w:pPr>
        <w:spacing w:before="1" w:line="310" w:lineRule="auto"/>
        <w:ind w:left="64" w:right="64" w:firstLine="446"/>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9"/>
          <w:sz w:val="24"/>
          <w:szCs w:val="24"/>
          <w:highlight w:val="none"/>
        </w:rPr>
        <w:t>当得票最多的中标候选人出现多个时，采用</w:t>
      </w:r>
      <w:r>
        <w:rPr>
          <w:rFonts w:ascii="宋体" w:hAnsi="宋体" w:eastAsia="宋体" w:cs="宋体"/>
          <w:strike/>
          <w:dstrike w:val="0"/>
          <w:color w:val="auto"/>
          <w:spacing w:val="-42"/>
          <w:sz w:val="24"/>
          <w:szCs w:val="24"/>
          <w:highlight w:val="none"/>
        </w:rPr>
        <w:t xml:space="preserve"> </w:t>
      </w:r>
      <w:r>
        <w:rPr>
          <w:rFonts w:ascii="宋体" w:hAnsi="宋体" w:eastAsia="宋体" w:cs="宋体"/>
          <w:i/>
          <w:iCs/>
          <w:strike/>
          <w:dstrike w:val="0"/>
          <w:color w:val="auto"/>
          <w:spacing w:val="-9"/>
          <w:sz w:val="25"/>
          <w:szCs w:val="25"/>
          <w:highlight w:val="none"/>
        </w:rPr>
        <w:t>□抽签抽取</w:t>
      </w:r>
      <w:r>
        <w:rPr>
          <w:rFonts w:ascii="宋体" w:hAnsi="宋体" w:eastAsia="宋体" w:cs="宋体"/>
          <w:strike/>
          <w:dstrike w:val="0"/>
          <w:color w:val="auto"/>
          <w:spacing w:val="72"/>
          <w:sz w:val="25"/>
          <w:szCs w:val="25"/>
          <w:highlight w:val="none"/>
        </w:rPr>
        <w:t xml:space="preserve"> </w:t>
      </w:r>
      <w:r>
        <w:rPr>
          <w:rFonts w:ascii="宋体" w:hAnsi="宋体" w:eastAsia="宋体" w:cs="宋体"/>
          <w:i/>
          <w:iCs/>
          <w:strike/>
          <w:dstrike w:val="0"/>
          <w:color w:val="auto"/>
          <w:spacing w:val="-9"/>
          <w:sz w:val="25"/>
          <w:szCs w:val="25"/>
          <w:highlight w:val="none"/>
        </w:rPr>
        <w:t>□报价低者（报价相同</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3"/>
          <w:sz w:val="25"/>
          <w:szCs w:val="25"/>
          <w:highlight w:val="none"/>
        </w:rPr>
        <w:t>时抽签抽取</w:t>
      </w:r>
      <w:r>
        <w:rPr>
          <w:rFonts w:ascii="Times New Roman" w:hAnsi="Times New Roman" w:eastAsia="Times New Roman" w:cs="Times New Roman"/>
          <w:i/>
          <w:iCs/>
          <w:strike/>
          <w:dstrike w:val="0"/>
          <w:color w:val="auto"/>
          <w:spacing w:val="-13"/>
          <w:sz w:val="24"/>
          <w:szCs w:val="24"/>
          <w:highlight w:val="none"/>
        </w:rPr>
        <w:t>1</w:t>
      </w:r>
      <w:r>
        <w:rPr>
          <w:rFonts w:ascii="宋体" w:hAnsi="宋体" w:eastAsia="宋体" w:cs="宋体"/>
          <w:i/>
          <w:iCs/>
          <w:strike/>
          <w:dstrike w:val="0"/>
          <w:color w:val="auto"/>
          <w:spacing w:val="-13"/>
          <w:sz w:val="25"/>
          <w:szCs w:val="25"/>
          <w:highlight w:val="none"/>
        </w:rPr>
        <w:t>个中标候选人）</w:t>
      </w:r>
      <w:r>
        <w:rPr>
          <w:rFonts w:ascii="微软雅黑" w:hAnsi="微软雅黑" w:eastAsia="微软雅黑" w:cs="微软雅黑"/>
          <w:i/>
          <w:iCs/>
          <w:strike/>
          <w:dstrike w:val="0"/>
          <w:color w:val="auto"/>
          <w:spacing w:val="-13"/>
          <w:sz w:val="25"/>
          <w:szCs w:val="25"/>
          <w:highlight w:val="none"/>
        </w:rPr>
        <w:t>□</w:t>
      </w:r>
      <w:r>
        <w:rPr>
          <w:rFonts w:ascii="微软雅黑" w:hAnsi="微软雅黑" w:eastAsia="微软雅黑" w:cs="微软雅黑"/>
          <w:strike/>
          <w:dstrike w:val="0"/>
          <w:color w:val="auto"/>
          <w:spacing w:val="30"/>
          <w:sz w:val="25"/>
          <w:szCs w:val="25"/>
          <w:highlight w:val="none"/>
        </w:rPr>
        <w:t xml:space="preserve"> </w:t>
      </w:r>
      <w:r>
        <w:rPr>
          <w:rFonts w:ascii="宋体" w:hAnsi="宋体" w:eastAsia="宋体" w:cs="宋体"/>
          <w:i/>
          <w:iCs/>
          <w:strike/>
          <w:dstrike w:val="0"/>
          <w:color w:val="auto"/>
          <w:spacing w:val="-13"/>
          <w:sz w:val="25"/>
          <w:szCs w:val="25"/>
          <w:highlight w:val="none"/>
        </w:rPr>
        <w:t>由招标人法定代表人或其</w:t>
      </w:r>
      <w:r>
        <w:rPr>
          <w:rFonts w:ascii="宋体" w:hAnsi="宋体" w:eastAsia="宋体" w:cs="宋体"/>
          <w:i/>
          <w:iCs/>
          <w:strike/>
          <w:dstrike w:val="0"/>
          <w:color w:val="auto"/>
          <w:spacing w:val="-14"/>
          <w:sz w:val="25"/>
          <w:szCs w:val="25"/>
          <w:highlight w:val="none"/>
        </w:rPr>
        <w:t>委托代表直接确定</w:t>
      </w:r>
      <w:r>
        <w:rPr>
          <w:rFonts w:ascii="Times New Roman" w:hAnsi="Times New Roman" w:eastAsia="Times New Roman" w:cs="Times New Roman"/>
          <w:i/>
          <w:iCs/>
          <w:strike/>
          <w:dstrike w:val="0"/>
          <w:color w:val="auto"/>
          <w:spacing w:val="-14"/>
          <w:sz w:val="24"/>
          <w:szCs w:val="24"/>
          <w:highlight w:val="none"/>
        </w:rPr>
        <w:t>1</w:t>
      </w:r>
      <w:r>
        <w:rPr>
          <w:rFonts w:ascii="宋体" w:hAnsi="宋体" w:eastAsia="宋体" w:cs="宋体"/>
          <w:i/>
          <w:iCs/>
          <w:strike/>
          <w:dstrike w:val="0"/>
          <w:color w:val="auto"/>
          <w:spacing w:val="-14"/>
          <w:sz w:val="25"/>
          <w:szCs w:val="25"/>
          <w:highlight w:val="none"/>
        </w:rPr>
        <w:t>个中标候</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5"/>
          <w:sz w:val="25"/>
          <w:szCs w:val="25"/>
          <w:highlight w:val="none"/>
        </w:rPr>
        <w:t>选人作为中标人</w:t>
      </w:r>
      <w:r>
        <w:rPr>
          <w:rFonts w:ascii="宋体" w:hAnsi="宋体" w:eastAsia="宋体" w:cs="宋体"/>
          <w:strike/>
          <w:dstrike w:val="0"/>
          <w:color w:val="auto"/>
          <w:spacing w:val="-15"/>
          <w:sz w:val="24"/>
          <w:szCs w:val="24"/>
          <w:highlight w:val="none"/>
        </w:rPr>
        <w:t>。</w:t>
      </w:r>
    </w:p>
    <w:p w14:paraId="0C330987">
      <w:pPr>
        <w:spacing w:before="5" w:line="220" w:lineRule="auto"/>
        <w:ind w:left="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13"/>
          <w:sz w:val="24"/>
          <w:szCs w:val="24"/>
          <w:highlight w:val="none"/>
        </w:rPr>
        <w:t>□逐轮票决法：</w:t>
      </w:r>
    </w:p>
    <w:p w14:paraId="3EACEE4F">
      <w:pPr>
        <w:spacing w:before="182" w:line="304" w:lineRule="auto"/>
        <w:ind w:right="1" w:firstLine="520"/>
        <w:rPr>
          <w:rFonts w:ascii="宋体" w:hAnsi="宋体" w:eastAsia="宋体" w:cs="宋体"/>
          <w:strike/>
          <w:dstrike w:val="0"/>
          <w:color w:val="auto"/>
          <w:sz w:val="25"/>
          <w:szCs w:val="25"/>
          <w:highlight w:val="none"/>
        </w:rPr>
      </w:pPr>
      <w:r>
        <w:rPr>
          <w:rFonts w:ascii="宋体" w:hAnsi="宋体" w:eastAsia="宋体" w:cs="宋体"/>
          <w:strike/>
          <w:dstrike w:val="0"/>
          <w:color w:val="auto"/>
          <w:spacing w:val="-4"/>
          <w:sz w:val="24"/>
          <w:szCs w:val="24"/>
          <w:highlight w:val="none"/>
        </w:rPr>
        <w:t>□逐轮票决法一：定标委员会在进入投票范围的中标候选人中，以每人投票支持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5"/>
          <w:sz w:val="24"/>
          <w:szCs w:val="24"/>
          <w:highlight w:val="none"/>
          <w:u w:val="single" w:color="auto"/>
        </w:rPr>
        <w:t>N</w:t>
      </w:r>
      <w:r>
        <w:rPr>
          <w:rFonts w:ascii="Times New Roman" w:hAnsi="Times New Roman" w:eastAsia="Times New Roman" w:cs="Times New Roman"/>
          <w:i/>
          <w:iCs/>
          <w:strike/>
          <w:dstrike w:val="0"/>
          <w:color w:val="auto"/>
          <w:spacing w:val="-17"/>
          <w:sz w:val="24"/>
          <w:szCs w:val="24"/>
          <w:highlight w:val="none"/>
          <w:u w:val="single" w:color="auto"/>
        </w:rPr>
        <w:t xml:space="preserve"> </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N</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3</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strike/>
          <w:dstrike w:val="0"/>
          <w:color w:val="auto"/>
          <w:spacing w:val="-5"/>
          <w:sz w:val="24"/>
          <w:szCs w:val="24"/>
          <w:highlight w:val="none"/>
        </w:rPr>
        <w:t>个中标候选人的方式，得票最多的</w:t>
      </w:r>
      <w:r>
        <w:rPr>
          <w:rFonts w:ascii="Times New Roman" w:hAnsi="Times New Roman" w:eastAsia="Times New Roman" w:cs="Times New Roman"/>
          <w:i/>
          <w:iCs/>
          <w:strike/>
          <w:dstrike w:val="0"/>
          <w:color w:val="auto"/>
          <w:spacing w:val="-5"/>
          <w:sz w:val="24"/>
          <w:szCs w:val="24"/>
          <w:highlight w:val="none"/>
          <w:u w:val="single" w:color="auto"/>
        </w:rPr>
        <w:t>N</w:t>
      </w:r>
      <w:r>
        <w:rPr>
          <w:rFonts w:ascii="宋体" w:hAnsi="宋体" w:eastAsia="宋体" w:cs="宋体"/>
          <w:strike/>
          <w:dstrike w:val="0"/>
          <w:color w:val="auto"/>
          <w:spacing w:val="-5"/>
          <w:sz w:val="24"/>
          <w:szCs w:val="24"/>
          <w:highlight w:val="none"/>
        </w:rPr>
        <w:t>个中标候选人进入下一轮的淘汰投票。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在确定第</w:t>
      </w:r>
      <w:r>
        <w:rPr>
          <w:rFonts w:ascii="Times New Roman" w:hAnsi="Times New Roman" w:eastAsia="Times New Roman" w:cs="Times New Roman"/>
          <w:i/>
          <w:iCs/>
          <w:strike/>
          <w:dstrike w:val="0"/>
          <w:color w:val="auto"/>
          <w:spacing w:val="-7"/>
          <w:sz w:val="24"/>
          <w:szCs w:val="24"/>
          <w:highlight w:val="none"/>
          <w:u w:val="single" w:color="auto"/>
        </w:rPr>
        <w:t>N</w:t>
      </w:r>
      <w:r>
        <w:rPr>
          <w:rFonts w:ascii="宋体" w:hAnsi="宋体" w:eastAsia="宋体" w:cs="宋体"/>
          <w:strike/>
          <w:dstrike w:val="0"/>
          <w:color w:val="auto"/>
          <w:spacing w:val="-7"/>
          <w:sz w:val="24"/>
          <w:szCs w:val="24"/>
          <w:highlight w:val="none"/>
        </w:rPr>
        <w:t xml:space="preserve">个中标候选人时如果出现同票的，则采用 </w:t>
      </w:r>
      <w:r>
        <w:rPr>
          <w:rFonts w:ascii="宋体" w:hAnsi="宋体" w:eastAsia="宋体" w:cs="宋体"/>
          <w:i/>
          <w:iCs/>
          <w:strike/>
          <w:dstrike w:val="0"/>
          <w:color w:val="auto"/>
          <w:spacing w:val="-7"/>
          <w:sz w:val="25"/>
          <w:szCs w:val="25"/>
          <w:highlight w:val="none"/>
        </w:rPr>
        <w:t>□抽签抽取或报价低者（报价相</w:t>
      </w:r>
    </w:p>
    <w:p w14:paraId="4F78E176">
      <w:pPr>
        <w:spacing w:before="180" w:line="345" w:lineRule="auto"/>
        <w:ind w:left="49" w:right="60" w:firstLine="34"/>
        <w:rPr>
          <w:rFonts w:ascii="宋体" w:hAnsi="宋体" w:eastAsia="宋体" w:cs="宋体"/>
          <w:strike/>
          <w:dstrike w:val="0"/>
          <w:color w:val="auto"/>
          <w:sz w:val="24"/>
          <w:szCs w:val="24"/>
          <w:highlight w:val="none"/>
        </w:rPr>
      </w:pPr>
      <w:r>
        <w:rPr>
          <w:rFonts w:ascii="宋体" w:hAnsi="宋体" w:eastAsia="宋体" w:cs="宋体"/>
          <w:i/>
          <w:iCs/>
          <w:strike/>
          <w:dstrike w:val="0"/>
          <w:color w:val="auto"/>
          <w:spacing w:val="-13"/>
          <w:sz w:val="25"/>
          <w:szCs w:val="25"/>
          <w:highlight w:val="none"/>
        </w:rPr>
        <w:t>同时抽签抽取</w:t>
      </w:r>
      <w:r>
        <w:rPr>
          <w:rFonts w:ascii="Times New Roman" w:hAnsi="Times New Roman" w:eastAsia="Times New Roman" w:cs="Times New Roman"/>
          <w:i/>
          <w:iCs/>
          <w:strike/>
          <w:dstrike w:val="0"/>
          <w:color w:val="auto"/>
          <w:spacing w:val="-13"/>
          <w:sz w:val="24"/>
          <w:szCs w:val="24"/>
          <w:highlight w:val="none"/>
        </w:rPr>
        <w:t>1</w:t>
      </w:r>
      <w:r>
        <w:rPr>
          <w:rFonts w:ascii="宋体" w:hAnsi="宋体" w:eastAsia="宋体" w:cs="宋体"/>
          <w:i/>
          <w:iCs/>
          <w:strike/>
          <w:dstrike w:val="0"/>
          <w:color w:val="auto"/>
          <w:spacing w:val="-13"/>
          <w:sz w:val="25"/>
          <w:szCs w:val="25"/>
          <w:highlight w:val="none"/>
        </w:rPr>
        <w:t>个中标候选人）□由招标人法定代表人或其</w:t>
      </w:r>
      <w:r>
        <w:rPr>
          <w:rFonts w:ascii="宋体" w:hAnsi="宋体" w:eastAsia="宋体" w:cs="宋体"/>
          <w:i/>
          <w:iCs/>
          <w:strike/>
          <w:dstrike w:val="0"/>
          <w:color w:val="auto"/>
          <w:spacing w:val="-14"/>
          <w:sz w:val="25"/>
          <w:szCs w:val="25"/>
          <w:highlight w:val="none"/>
        </w:rPr>
        <w:t>委托代表直接确定</w:t>
      </w:r>
      <w:r>
        <w:rPr>
          <w:rFonts w:ascii="Times New Roman" w:hAnsi="Times New Roman" w:eastAsia="Times New Roman" w:cs="Times New Roman"/>
          <w:i/>
          <w:iCs/>
          <w:strike/>
          <w:dstrike w:val="0"/>
          <w:color w:val="auto"/>
          <w:spacing w:val="-14"/>
          <w:sz w:val="24"/>
          <w:szCs w:val="24"/>
          <w:highlight w:val="none"/>
        </w:rPr>
        <w:t>1</w:t>
      </w:r>
      <w:r>
        <w:rPr>
          <w:rFonts w:ascii="宋体" w:hAnsi="宋体" w:eastAsia="宋体" w:cs="宋体"/>
          <w:i/>
          <w:iCs/>
          <w:strike/>
          <w:dstrike w:val="0"/>
          <w:color w:val="auto"/>
          <w:spacing w:val="-14"/>
          <w:sz w:val="25"/>
          <w:szCs w:val="25"/>
          <w:highlight w:val="none"/>
        </w:rPr>
        <w:t>个中标</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8"/>
          <w:sz w:val="25"/>
          <w:szCs w:val="25"/>
          <w:highlight w:val="none"/>
        </w:rPr>
        <w:t>候选人</w:t>
      </w:r>
      <w:r>
        <w:rPr>
          <w:rFonts w:ascii="宋体" w:hAnsi="宋体" w:eastAsia="宋体" w:cs="宋体"/>
          <w:strike/>
          <w:dstrike w:val="0"/>
          <w:color w:val="auto"/>
          <w:spacing w:val="-8"/>
          <w:sz w:val="24"/>
          <w:szCs w:val="24"/>
          <w:highlight w:val="none"/>
        </w:rPr>
        <w:t>进入下一轮的淘汰投票。</w:t>
      </w:r>
    </w:p>
    <w:p w14:paraId="46A378BF">
      <w:pPr>
        <w:spacing w:before="1" w:line="359" w:lineRule="auto"/>
        <w:ind w:left="17" w:firstLine="47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对进入淘汰投票的中标候选人逐轮进行淘汰，原则上每轮淘汰</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名中标候选人。</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z w:val="24"/>
          <w:szCs w:val="24"/>
          <w:highlight w:val="none"/>
        </w:rPr>
        <w:t>各轮投票时，每人投</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个淘汰单位，该轮得票最多的中标候选人被淘汰。得票最多的</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z w:val="24"/>
          <w:szCs w:val="24"/>
          <w:highlight w:val="none"/>
        </w:rPr>
        <w:t>中标候选人不止</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个时，一并加以淘汰，但必须确保第一次淘汰之后剩余的中标候选</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4"/>
          <w:sz w:val="24"/>
          <w:szCs w:val="24"/>
          <w:highlight w:val="none"/>
        </w:rPr>
        <w:t>人不少于</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名，否则在得票最多的</w:t>
      </w:r>
      <w:r>
        <w:rPr>
          <w:rFonts w:ascii="Times New Roman" w:hAnsi="Times New Roman" w:eastAsia="Times New Roman" w:cs="Times New Roman"/>
          <w:i/>
          <w:iCs/>
          <w:strike/>
          <w:dstrike w:val="0"/>
          <w:color w:val="auto"/>
          <w:spacing w:val="-4"/>
          <w:sz w:val="24"/>
          <w:szCs w:val="24"/>
          <w:highlight w:val="none"/>
          <w:u w:val="single" w:color="auto"/>
        </w:rPr>
        <w:t>N</w:t>
      </w:r>
      <w:r>
        <w:rPr>
          <w:rFonts w:ascii="宋体" w:hAnsi="宋体" w:eastAsia="宋体" w:cs="宋体"/>
          <w:strike/>
          <w:dstrike w:val="0"/>
          <w:color w:val="auto"/>
          <w:spacing w:val="-4"/>
          <w:sz w:val="24"/>
          <w:szCs w:val="24"/>
          <w:highlight w:val="none"/>
        </w:rPr>
        <w:t>个中标候选人中按前述规则进行二次淘汰，剩余的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6"/>
          <w:sz w:val="24"/>
          <w:szCs w:val="24"/>
          <w:highlight w:val="none"/>
        </w:rPr>
        <w:t>中标候选人进入下一轮淘汰投票。根据前述规则，</w:t>
      </w:r>
      <w:r>
        <w:rPr>
          <w:rFonts w:ascii="宋体" w:hAnsi="宋体" w:eastAsia="宋体" w:cs="宋体"/>
          <w:strike/>
          <w:dstrike w:val="0"/>
          <w:color w:val="auto"/>
          <w:spacing w:val="-31"/>
          <w:sz w:val="24"/>
          <w:szCs w:val="24"/>
          <w:highlight w:val="none"/>
        </w:rPr>
        <w:t xml:space="preserve"> </w:t>
      </w:r>
      <w:r>
        <w:rPr>
          <w:rFonts w:ascii="宋体" w:hAnsi="宋体" w:eastAsia="宋体" w:cs="宋体"/>
          <w:strike/>
          <w:dstrike w:val="0"/>
          <w:color w:val="auto"/>
          <w:spacing w:val="-6"/>
          <w:sz w:val="24"/>
          <w:szCs w:val="24"/>
          <w:highlight w:val="none"/>
        </w:rPr>
        <w:t>直至剩余</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名中标候选人为中标人。</w:t>
      </w:r>
    </w:p>
    <w:p w14:paraId="7A5F2C6C">
      <w:pPr>
        <w:spacing w:before="2" w:line="354" w:lineRule="auto"/>
        <w:ind w:left="16" w:right="61" w:firstLine="50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□逐轮票决法二：定标委员会对全部中标候选人采取多轮逆淘汰方式表决。原则</w:t>
      </w:r>
      <w:r>
        <w:rPr>
          <w:rFonts w:ascii="宋体" w:hAnsi="宋体" w:eastAsia="宋体" w:cs="宋体"/>
          <w:strike/>
          <w:dstrike w:val="0"/>
          <w:color w:val="auto"/>
          <w:spacing w:val="13"/>
          <w:sz w:val="24"/>
          <w:szCs w:val="24"/>
          <w:highlight w:val="none"/>
        </w:rPr>
        <w:t xml:space="preserve"> </w:t>
      </w:r>
      <w:r>
        <w:rPr>
          <w:rFonts w:ascii="宋体" w:hAnsi="宋体" w:eastAsia="宋体" w:cs="宋体"/>
          <w:strike/>
          <w:dstrike w:val="0"/>
          <w:color w:val="auto"/>
          <w:spacing w:val="-6"/>
          <w:sz w:val="24"/>
          <w:szCs w:val="24"/>
          <w:highlight w:val="none"/>
        </w:rPr>
        <w:t>上逐轮淘汰</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名中标候选人。各轮投票时， 每人投</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个淘汰单位，该轮得票最多的中标</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z w:val="24"/>
          <w:szCs w:val="24"/>
          <w:highlight w:val="none"/>
        </w:rPr>
        <w:t>候选人被淘汰。得票最多的中标候选人不止</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个时，一并加以淘汰，但必须确保存在</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3"/>
          <w:sz w:val="24"/>
          <w:szCs w:val="24"/>
          <w:highlight w:val="none"/>
        </w:rPr>
        <w:t>中标人，剩余的中标候选人进入下一轮淘汰投票，最终确定中标人。在确定最终中标</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8"/>
          <w:sz w:val="24"/>
          <w:szCs w:val="24"/>
          <w:highlight w:val="none"/>
        </w:rPr>
        <w:t xml:space="preserve">人时如果出现同票的，则采用 </w:t>
      </w:r>
      <w:r>
        <w:rPr>
          <w:rFonts w:ascii="宋体" w:hAnsi="宋体" w:eastAsia="宋体" w:cs="宋体"/>
          <w:i/>
          <w:iCs/>
          <w:strike/>
          <w:dstrike w:val="0"/>
          <w:color w:val="auto"/>
          <w:spacing w:val="-8"/>
          <w:sz w:val="25"/>
          <w:szCs w:val="25"/>
          <w:highlight w:val="none"/>
        </w:rPr>
        <w:t>□抽签抽取或报价低者（报价相同时抽签抽</w:t>
      </w:r>
      <w:r>
        <w:rPr>
          <w:rFonts w:ascii="宋体" w:hAnsi="宋体" w:eastAsia="宋体" w:cs="宋体"/>
          <w:i/>
          <w:iCs/>
          <w:strike/>
          <w:dstrike w:val="0"/>
          <w:color w:val="auto"/>
          <w:spacing w:val="-9"/>
          <w:sz w:val="25"/>
          <w:szCs w:val="25"/>
          <w:highlight w:val="none"/>
        </w:rPr>
        <w:t>取</w:t>
      </w:r>
      <w:r>
        <w:rPr>
          <w:rFonts w:ascii="Times New Roman" w:hAnsi="Times New Roman" w:eastAsia="Times New Roman" w:cs="Times New Roman"/>
          <w:i/>
          <w:iCs/>
          <w:strike/>
          <w:dstrike w:val="0"/>
          <w:color w:val="auto"/>
          <w:spacing w:val="-9"/>
          <w:sz w:val="24"/>
          <w:szCs w:val="24"/>
          <w:highlight w:val="none"/>
        </w:rPr>
        <w:t>1</w:t>
      </w:r>
      <w:r>
        <w:rPr>
          <w:rFonts w:ascii="宋体" w:hAnsi="宋体" w:eastAsia="宋体" w:cs="宋体"/>
          <w:i/>
          <w:iCs/>
          <w:strike/>
          <w:dstrike w:val="0"/>
          <w:color w:val="auto"/>
          <w:spacing w:val="-9"/>
          <w:sz w:val="25"/>
          <w:szCs w:val="25"/>
          <w:highlight w:val="none"/>
        </w:rPr>
        <w:t>个中标</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1"/>
          <w:sz w:val="25"/>
          <w:szCs w:val="25"/>
          <w:highlight w:val="none"/>
        </w:rPr>
        <w:t>候选人）□由招标人法定代表人或其委托代表</w:t>
      </w:r>
      <w:r>
        <w:rPr>
          <w:rFonts w:ascii="宋体" w:hAnsi="宋体" w:eastAsia="宋体" w:cs="宋体"/>
          <w:i/>
          <w:iCs/>
          <w:strike/>
          <w:dstrike w:val="0"/>
          <w:color w:val="auto"/>
          <w:spacing w:val="-12"/>
          <w:sz w:val="25"/>
          <w:szCs w:val="25"/>
          <w:highlight w:val="none"/>
        </w:rPr>
        <w:t>直接确定</w:t>
      </w:r>
      <w:r>
        <w:rPr>
          <w:rFonts w:ascii="宋体" w:hAnsi="宋体" w:eastAsia="宋体" w:cs="宋体"/>
          <w:strike/>
          <w:dstrike w:val="0"/>
          <w:color w:val="auto"/>
          <w:spacing w:val="-53"/>
          <w:sz w:val="25"/>
          <w:szCs w:val="25"/>
          <w:highlight w:val="none"/>
        </w:rPr>
        <w:t xml:space="preserve"> </w:t>
      </w:r>
      <w:r>
        <w:rPr>
          <w:rFonts w:ascii="宋体" w:hAnsi="宋体" w:eastAsia="宋体" w:cs="宋体"/>
          <w:strike/>
          <w:dstrike w:val="0"/>
          <w:color w:val="auto"/>
          <w:spacing w:val="-12"/>
          <w:sz w:val="24"/>
          <w:szCs w:val="24"/>
          <w:highlight w:val="none"/>
        </w:rPr>
        <w:t>最终的中标人。</w:t>
      </w:r>
    </w:p>
    <w:p w14:paraId="13263117">
      <w:pPr>
        <w:spacing w:before="1" w:line="219" w:lineRule="auto"/>
        <w:ind w:left="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13"/>
          <w:sz w:val="24"/>
          <w:szCs w:val="24"/>
          <w:highlight w:val="none"/>
        </w:rPr>
        <w:t>□票决抽签法：</w:t>
      </w:r>
    </w:p>
    <w:p w14:paraId="53B8A073">
      <w:pPr>
        <w:spacing w:before="183" w:line="308" w:lineRule="auto"/>
        <w:ind w:right="47" w:firstLine="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票决抽签法一：定标委员会在进入投票范围的中标候选人中，以每人投票支持</w:t>
      </w:r>
      <w:r>
        <w:rPr>
          <w:rFonts w:ascii="宋体" w:hAnsi="宋体" w:eastAsia="宋体" w:cs="宋体"/>
          <w:strike/>
          <w:dstrike w:val="0"/>
          <w:color w:val="auto"/>
          <w:spacing w:val="7"/>
          <w:sz w:val="24"/>
          <w:szCs w:val="24"/>
          <w:highlight w:val="none"/>
        </w:rPr>
        <w:t xml:space="preserve"> </w:t>
      </w:r>
      <w:r>
        <w:rPr>
          <w:rFonts w:ascii="Times New Roman" w:hAnsi="Times New Roman" w:eastAsia="Times New Roman" w:cs="Times New Roman"/>
          <w:i/>
          <w:iCs/>
          <w:strike/>
          <w:dstrike w:val="0"/>
          <w:color w:val="auto"/>
          <w:spacing w:val="-3"/>
          <w:sz w:val="24"/>
          <w:szCs w:val="24"/>
          <w:highlight w:val="none"/>
          <w:u w:val="single" w:color="auto"/>
        </w:rPr>
        <w:t>N</w:t>
      </w:r>
      <w:r>
        <w:rPr>
          <w:rFonts w:ascii="Times New Roman" w:hAnsi="Times New Roman" w:eastAsia="Times New Roman" w:cs="Times New Roman"/>
          <w:i/>
          <w:iCs/>
          <w:strike/>
          <w:dstrike w:val="0"/>
          <w:color w:val="auto"/>
          <w:spacing w:val="46"/>
          <w:w w:val="101"/>
          <w:sz w:val="24"/>
          <w:szCs w:val="24"/>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N</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3</w:t>
      </w:r>
      <w:r>
        <w:rPr>
          <w:rFonts w:ascii="宋体" w:hAnsi="宋体" w:eastAsia="宋体" w:cs="宋体"/>
          <w:i/>
          <w:iCs/>
          <w:strike/>
          <w:dstrike w:val="0"/>
          <w:color w:val="auto"/>
          <w:spacing w:val="-3"/>
          <w:sz w:val="25"/>
          <w:szCs w:val="25"/>
          <w:highlight w:val="none"/>
          <w:u w:val="single" w:color="auto"/>
        </w:rPr>
        <w:t>）</w:t>
      </w:r>
      <w:r>
        <w:rPr>
          <w:rFonts w:ascii="宋体" w:hAnsi="宋体" w:eastAsia="宋体" w:cs="宋体"/>
          <w:strike/>
          <w:dstrike w:val="0"/>
          <w:color w:val="auto"/>
          <w:spacing w:val="-3"/>
          <w:sz w:val="24"/>
          <w:szCs w:val="24"/>
          <w:highlight w:val="none"/>
        </w:rPr>
        <w:t>个中标候选人的方式，得票较多的</w:t>
      </w:r>
      <w:r>
        <w:rPr>
          <w:rFonts w:ascii="Times New Roman" w:hAnsi="Times New Roman" w:eastAsia="Times New Roman" w:cs="Times New Roman"/>
          <w:i/>
          <w:iCs/>
          <w:strike/>
          <w:dstrike w:val="0"/>
          <w:color w:val="auto"/>
          <w:spacing w:val="-3"/>
          <w:sz w:val="24"/>
          <w:szCs w:val="24"/>
          <w:highlight w:val="none"/>
          <w:u w:val="single" w:color="auto"/>
        </w:rPr>
        <w:t>N</w:t>
      </w:r>
      <w:r>
        <w:rPr>
          <w:rFonts w:ascii="宋体" w:hAnsi="宋体" w:eastAsia="宋体" w:cs="宋体"/>
          <w:strike/>
          <w:dstrike w:val="0"/>
          <w:color w:val="auto"/>
          <w:spacing w:val="-3"/>
          <w:sz w:val="24"/>
          <w:szCs w:val="24"/>
          <w:highlight w:val="none"/>
        </w:rPr>
        <w:t>个中标候选人（最终得票均须超过半</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数）进入抽签环节，中标候选人数量不足时全部进入。投</w:t>
      </w:r>
      <w:r>
        <w:rPr>
          <w:rFonts w:ascii="宋体" w:hAnsi="宋体" w:eastAsia="宋体" w:cs="宋体"/>
          <w:strike/>
          <w:dstrike w:val="0"/>
          <w:color w:val="auto"/>
          <w:spacing w:val="-2"/>
          <w:sz w:val="24"/>
          <w:szCs w:val="24"/>
          <w:highlight w:val="none"/>
        </w:rPr>
        <w:t>票过程中出现票数相同时，</w:t>
      </w:r>
    </w:p>
    <w:p w14:paraId="6FB43756">
      <w:pPr>
        <w:spacing w:line="308" w:lineRule="auto"/>
        <w:rPr>
          <w:rFonts w:ascii="宋体" w:hAnsi="宋体" w:eastAsia="宋体" w:cs="宋体"/>
          <w:strike/>
          <w:dstrike w:val="0"/>
          <w:color w:val="auto"/>
          <w:sz w:val="24"/>
          <w:szCs w:val="24"/>
          <w:highlight w:val="none"/>
        </w:rPr>
        <w:sectPr>
          <w:footerReference r:id="rId60" w:type="default"/>
          <w:pgSz w:w="11905" w:h="16840"/>
          <w:pgMar w:top="1428" w:right="1442" w:bottom="1255" w:left="1581" w:header="0" w:footer="1093" w:gutter="0"/>
          <w:pgNumType w:fmt="decimal"/>
          <w:cols w:space="720" w:num="1"/>
        </w:sectPr>
      </w:pPr>
    </w:p>
    <w:p w14:paraId="43AADCB1">
      <w:pPr>
        <w:spacing w:before="151" w:line="352" w:lineRule="auto"/>
        <w:ind w:left="2" w:right="66" w:firstLine="81"/>
        <w:rPr>
          <w:rFonts w:ascii="宋体" w:hAnsi="宋体" w:eastAsia="宋体" w:cs="宋体"/>
          <w:strike/>
          <w:dstrike w:val="0"/>
          <w:color w:val="auto"/>
          <w:sz w:val="24"/>
          <w:szCs w:val="24"/>
          <w:highlight w:val="none"/>
        </w:rPr>
      </w:pPr>
      <w:r>
        <w:rPr>
          <w:rFonts w:ascii="宋体" w:hAnsi="宋体" w:eastAsia="宋体" w:cs="宋体"/>
          <w:i/>
          <w:iCs/>
          <w:strike/>
          <w:dstrike w:val="0"/>
          <w:color w:val="auto"/>
          <w:spacing w:val="-7"/>
          <w:sz w:val="25"/>
          <w:szCs w:val="25"/>
          <w:highlight w:val="none"/>
        </w:rPr>
        <w:t>定代表人或其委托代表直接确定</w:t>
      </w:r>
      <w:r>
        <w:rPr>
          <w:rFonts w:ascii="Times New Roman" w:hAnsi="Times New Roman" w:eastAsia="Times New Roman" w:cs="Times New Roman"/>
          <w:i/>
          <w:iCs/>
          <w:strike/>
          <w:dstrike w:val="0"/>
          <w:color w:val="auto"/>
          <w:spacing w:val="-7"/>
          <w:sz w:val="24"/>
          <w:szCs w:val="24"/>
          <w:highlight w:val="none"/>
        </w:rPr>
        <w:t>1</w:t>
      </w:r>
      <w:r>
        <w:rPr>
          <w:rFonts w:ascii="宋体" w:hAnsi="宋体" w:eastAsia="宋体" w:cs="宋体"/>
          <w:i/>
          <w:iCs/>
          <w:strike/>
          <w:dstrike w:val="0"/>
          <w:color w:val="auto"/>
          <w:spacing w:val="-7"/>
          <w:sz w:val="25"/>
          <w:szCs w:val="25"/>
          <w:highlight w:val="none"/>
        </w:rPr>
        <w:t>个中标候选人</w:t>
      </w:r>
      <w:r>
        <w:rPr>
          <w:rFonts w:ascii="宋体" w:hAnsi="宋体" w:eastAsia="宋体" w:cs="宋体"/>
          <w:strike/>
          <w:dstrike w:val="0"/>
          <w:color w:val="auto"/>
          <w:spacing w:val="-7"/>
          <w:sz w:val="24"/>
          <w:szCs w:val="24"/>
          <w:highlight w:val="none"/>
        </w:rPr>
        <w:t>的方式确定进入</w:t>
      </w:r>
      <w:r>
        <w:rPr>
          <w:rFonts w:ascii="宋体" w:hAnsi="宋体" w:eastAsia="宋体" w:cs="宋体"/>
          <w:strike/>
          <w:dstrike w:val="0"/>
          <w:color w:val="auto"/>
          <w:spacing w:val="-8"/>
          <w:sz w:val="24"/>
          <w:szCs w:val="24"/>
          <w:highlight w:val="none"/>
        </w:rPr>
        <w:t>抽签范围的中标候选</w:t>
      </w:r>
      <w:r>
        <w:rPr>
          <w:rFonts w:ascii="宋体" w:hAnsi="宋体" w:eastAsia="宋体" w:cs="宋体"/>
          <w:strike/>
          <w:dstrike w:val="0"/>
          <w:color w:val="auto"/>
          <w:sz w:val="24"/>
          <w:szCs w:val="24"/>
          <w:highlight w:val="none"/>
        </w:rPr>
        <w:t xml:space="preserve"> </w:t>
      </w:r>
      <w:bookmarkStart w:id="236" w:name="_GoBack"/>
      <w:bookmarkEnd w:id="236"/>
      <w:r>
        <w:rPr>
          <w:rFonts w:ascii="宋体" w:hAnsi="宋体" w:eastAsia="宋体" w:cs="宋体"/>
          <w:strike/>
          <w:dstrike w:val="0"/>
          <w:color w:val="auto"/>
          <w:spacing w:val="-12"/>
          <w:sz w:val="24"/>
          <w:szCs w:val="24"/>
          <w:highlight w:val="none"/>
        </w:rPr>
        <w:t>人。</w:t>
      </w:r>
    </w:p>
    <w:p w14:paraId="0FE357FB">
      <w:pPr>
        <w:spacing w:before="1" w:line="359" w:lineRule="auto"/>
        <w:ind w:left="1" w:firstLine="49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当得票超过半数的中标候选人数量不足</w:t>
      </w:r>
      <w:r>
        <w:rPr>
          <w:rFonts w:ascii="Times New Roman" w:hAnsi="Times New Roman" w:eastAsia="Times New Roman" w:cs="Times New Roman"/>
          <w:strike/>
          <w:dstrike w:val="0"/>
          <w:color w:val="auto"/>
          <w:spacing w:val="-2"/>
          <w:sz w:val="24"/>
          <w:szCs w:val="24"/>
          <w:highlight w:val="none"/>
        </w:rPr>
        <w:t>N</w:t>
      </w:r>
      <w:r>
        <w:rPr>
          <w:rFonts w:ascii="宋体" w:hAnsi="宋体" w:eastAsia="宋体" w:cs="宋体"/>
          <w:strike/>
          <w:dstrike w:val="0"/>
          <w:color w:val="auto"/>
          <w:spacing w:val="-2"/>
          <w:sz w:val="24"/>
          <w:szCs w:val="24"/>
          <w:highlight w:val="none"/>
        </w:rPr>
        <w:t>时（假设此时得票超过半数中标候选人</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数量为</w:t>
      </w:r>
      <w:r>
        <w:rPr>
          <w:rFonts w:ascii="Times New Roman" w:hAnsi="Times New Roman" w:eastAsia="Times New Roman" w:cs="Times New Roman"/>
          <w:strike/>
          <w:dstrike w:val="0"/>
          <w:color w:val="auto"/>
          <w:spacing w:val="-3"/>
          <w:sz w:val="24"/>
          <w:szCs w:val="24"/>
          <w:highlight w:val="none"/>
        </w:rPr>
        <w:t>n</w:t>
      </w:r>
      <w:r>
        <w:rPr>
          <w:rFonts w:ascii="宋体" w:hAnsi="宋体" w:eastAsia="宋体" w:cs="宋体"/>
          <w:strike/>
          <w:dstrike w:val="0"/>
          <w:color w:val="auto"/>
          <w:spacing w:val="-26"/>
          <w:sz w:val="24"/>
          <w:szCs w:val="24"/>
          <w:highlight w:val="none"/>
        </w:rPr>
        <w:t>），</w:t>
      </w:r>
      <w:r>
        <w:rPr>
          <w:rFonts w:ascii="宋体" w:hAnsi="宋体" w:eastAsia="宋体" w:cs="宋体"/>
          <w:strike/>
          <w:dstrike w:val="0"/>
          <w:color w:val="auto"/>
          <w:spacing w:val="-3"/>
          <w:sz w:val="24"/>
          <w:szCs w:val="24"/>
          <w:highlight w:val="none"/>
        </w:rPr>
        <w:t>按照前一轮得票数量由多到少的顺序，在得票未过半数的中标候选人中，</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取“</w:t>
      </w:r>
      <w:r>
        <w:rPr>
          <w:rFonts w:ascii="Times New Roman" w:hAnsi="Times New Roman" w:eastAsia="Times New Roman" w:cs="Times New Roman"/>
          <w:strike/>
          <w:dstrike w:val="0"/>
          <w:color w:val="auto"/>
          <w:spacing w:val="-4"/>
          <w:sz w:val="24"/>
          <w:szCs w:val="24"/>
          <w:highlight w:val="none"/>
        </w:rPr>
        <w:t>N-n+2</w:t>
      </w:r>
      <w:r>
        <w:rPr>
          <w:rFonts w:ascii="宋体" w:hAnsi="宋体" w:eastAsia="宋体" w:cs="宋体"/>
          <w:strike/>
          <w:dstrike w:val="0"/>
          <w:color w:val="auto"/>
          <w:spacing w:val="-4"/>
          <w:sz w:val="24"/>
          <w:szCs w:val="24"/>
          <w:highlight w:val="none"/>
        </w:rPr>
        <w:t>”个中标候选人进行二次投票（在取第“</w:t>
      </w:r>
      <w:r>
        <w:rPr>
          <w:rFonts w:ascii="Times New Roman" w:hAnsi="Times New Roman" w:eastAsia="Times New Roman" w:cs="Times New Roman"/>
          <w:strike/>
          <w:dstrike w:val="0"/>
          <w:color w:val="auto"/>
          <w:spacing w:val="-4"/>
          <w:sz w:val="24"/>
          <w:szCs w:val="24"/>
          <w:highlight w:val="none"/>
        </w:rPr>
        <w:t>N-n+2</w:t>
      </w:r>
      <w:r>
        <w:rPr>
          <w:rFonts w:ascii="宋体" w:hAnsi="宋体" w:eastAsia="宋体" w:cs="宋体"/>
          <w:strike/>
          <w:dstrike w:val="0"/>
          <w:color w:val="auto"/>
          <w:spacing w:val="-4"/>
          <w:sz w:val="24"/>
          <w:szCs w:val="24"/>
          <w:highlight w:val="none"/>
        </w:rPr>
        <w:t>”个中标候选人时出现同票</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z w:val="24"/>
          <w:szCs w:val="24"/>
          <w:highlight w:val="none"/>
        </w:rPr>
        <w:t>的，一并进入二次投票；当“</w:t>
      </w:r>
      <w:r>
        <w:rPr>
          <w:rFonts w:ascii="Times New Roman" w:hAnsi="Times New Roman" w:eastAsia="Times New Roman" w:cs="Times New Roman"/>
          <w:strike/>
          <w:dstrike w:val="0"/>
          <w:color w:val="auto"/>
          <w:sz w:val="24"/>
          <w:szCs w:val="24"/>
          <w:highlight w:val="none"/>
        </w:rPr>
        <w:t>N-n+2</w:t>
      </w:r>
      <w:r>
        <w:rPr>
          <w:rFonts w:ascii="宋体" w:hAnsi="宋体" w:eastAsia="宋体" w:cs="宋体"/>
          <w:strike/>
          <w:dstrike w:val="0"/>
          <w:color w:val="auto"/>
          <w:sz w:val="24"/>
          <w:szCs w:val="24"/>
          <w:highlight w:val="none"/>
        </w:rPr>
        <w:t>”≥得票未超过半数</w:t>
      </w:r>
      <w:r>
        <w:rPr>
          <w:rFonts w:ascii="宋体" w:hAnsi="宋体" w:eastAsia="宋体" w:cs="宋体"/>
          <w:strike/>
          <w:dstrike w:val="0"/>
          <w:color w:val="auto"/>
          <w:spacing w:val="-1"/>
          <w:sz w:val="24"/>
          <w:szCs w:val="24"/>
          <w:highlight w:val="none"/>
        </w:rPr>
        <w:t>“中标候选人”时，则得票</w:t>
      </w:r>
      <w:r>
        <w:rPr>
          <w:rFonts w:ascii="宋体" w:hAnsi="宋体" w:eastAsia="宋体" w:cs="宋体"/>
          <w:strike/>
          <w:dstrike w:val="0"/>
          <w:color w:val="auto"/>
          <w:sz w:val="24"/>
          <w:szCs w:val="24"/>
          <w:highlight w:val="none"/>
        </w:rPr>
        <w:t xml:space="preserve"> 未超过半数的“中标候选人”全部进入二次投票</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z w:val="24"/>
          <w:szCs w:val="24"/>
          <w:highlight w:val="none"/>
        </w:rPr>
        <w:t>以每人投票支持“</w:t>
      </w:r>
      <w:r>
        <w:rPr>
          <w:rFonts w:ascii="Times New Roman" w:hAnsi="Times New Roman" w:eastAsia="Times New Roman" w:cs="Times New Roman"/>
          <w:strike/>
          <w:dstrike w:val="0"/>
          <w:color w:val="auto"/>
          <w:sz w:val="24"/>
          <w:szCs w:val="24"/>
          <w:highlight w:val="none"/>
        </w:rPr>
        <w:t>N-n</w:t>
      </w:r>
      <w:r>
        <w:rPr>
          <w:rFonts w:ascii="宋体" w:hAnsi="宋体" w:eastAsia="宋体" w:cs="宋体"/>
          <w:strike/>
          <w:dstrike w:val="0"/>
          <w:color w:val="auto"/>
          <w:sz w:val="24"/>
          <w:szCs w:val="24"/>
          <w:highlight w:val="none"/>
        </w:rPr>
        <w:t>”个中标</w:t>
      </w:r>
      <w:r>
        <w:rPr>
          <w:rFonts w:ascii="宋体" w:hAnsi="宋体" w:eastAsia="宋体" w:cs="宋体"/>
          <w:strike/>
          <w:dstrike w:val="0"/>
          <w:color w:val="auto"/>
          <w:spacing w:val="1"/>
          <w:sz w:val="24"/>
          <w:szCs w:val="24"/>
          <w:highlight w:val="none"/>
        </w:rPr>
        <w:t xml:space="preserve"> 候选人，直至确定</w:t>
      </w:r>
      <w:r>
        <w:rPr>
          <w:rFonts w:ascii="Times New Roman" w:hAnsi="Times New Roman" w:eastAsia="Times New Roman" w:cs="Times New Roman"/>
          <w:strike/>
          <w:dstrike w:val="0"/>
          <w:color w:val="auto"/>
          <w:spacing w:val="1"/>
          <w:sz w:val="24"/>
          <w:szCs w:val="24"/>
          <w:highlight w:val="none"/>
        </w:rPr>
        <w:t>N</w:t>
      </w:r>
      <w:r>
        <w:rPr>
          <w:rFonts w:ascii="宋体" w:hAnsi="宋体" w:eastAsia="宋体" w:cs="宋体"/>
          <w:strike/>
          <w:dstrike w:val="0"/>
          <w:color w:val="auto"/>
          <w:spacing w:val="1"/>
          <w:sz w:val="24"/>
          <w:szCs w:val="24"/>
          <w:highlight w:val="none"/>
        </w:rPr>
        <w:t>个得票超过半数的中标候选人为止。定标委员会</w:t>
      </w:r>
      <w:r>
        <w:rPr>
          <w:rFonts w:ascii="宋体" w:hAnsi="宋体" w:eastAsia="宋体" w:cs="宋体"/>
          <w:strike/>
          <w:dstrike w:val="0"/>
          <w:color w:val="auto"/>
          <w:sz w:val="24"/>
          <w:szCs w:val="24"/>
          <w:highlight w:val="none"/>
        </w:rPr>
        <w:t>在上述</w:t>
      </w:r>
      <w:r>
        <w:rPr>
          <w:rFonts w:ascii="Times New Roman" w:hAnsi="Times New Roman" w:eastAsia="Times New Roman" w:cs="Times New Roman"/>
          <w:strike/>
          <w:dstrike w:val="0"/>
          <w:color w:val="auto"/>
          <w:sz w:val="24"/>
          <w:szCs w:val="24"/>
          <w:highlight w:val="none"/>
        </w:rPr>
        <w:t>N</w:t>
      </w:r>
      <w:r>
        <w:rPr>
          <w:rFonts w:ascii="宋体" w:hAnsi="宋体" w:eastAsia="宋体" w:cs="宋体"/>
          <w:strike/>
          <w:dstrike w:val="0"/>
          <w:color w:val="auto"/>
          <w:sz w:val="24"/>
          <w:szCs w:val="24"/>
          <w:highlight w:val="none"/>
        </w:rPr>
        <w:t xml:space="preserve">个中标 </w:t>
      </w:r>
      <w:r>
        <w:rPr>
          <w:rFonts w:ascii="宋体" w:hAnsi="宋体" w:eastAsia="宋体" w:cs="宋体"/>
          <w:strike/>
          <w:dstrike w:val="0"/>
          <w:color w:val="auto"/>
          <w:spacing w:val="-3"/>
          <w:sz w:val="24"/>
          <w:szCs w:val="24"/>
          <w:highlight w:val="none"/>
        </w:rPr>
        <w:t>候选人中随机抽签确定中标人。</w:t>
      </w:r>
    </w:p>
    <w:p w14:paraId="52430487">
      <w:pPr>
        <w:spacing w:line="335" w:lineRule="auto"/>
        <w:ind w:right="54" w:firstLine="506"/>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票决抽签法二：定标委员会对全部中标候选人采取逐轮逆淘汰方式表决。原则</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6"/>
          <w:sz w:val="24"/>
          <w:szCs w:val="24"/>
          <w:highlight w:val="none"/>
        </w:rPr>
        <w:t>上逐轮淘汰</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名中标候选人。各轮投票时， 每人投</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个淘汰单位，该轮得票最多的中标</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4"/>
          <w:sz w:val="24"/>
          <w:szCs w:val="24"/>
          <w:highlight w:val="none"/>
        </w:rPr>
        <w:t>候选人被淘汰。得票最多的中标候选人不止</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个时，一并加以淘汰，但必须确保</w:t>
      </w:r>
      <w:r>
        <w:rPr>
          <w:rFonts w:ascii="Times New Roman" w:hAnsi="Times New Roman" w:eastAsia="Times New Roman" w:cs="Times New Roman"/>
          <w:i/>
          <w:iCs/>
          <w:strike/>
          <w:dstrike w:val="0"/>
          <w:color w:val="auto"/>
          <w:spacing w:val="-4"/>
          <w:sz w:val="24"/>
          <w:szCs w:val="24"/>
          <w:highlight w:val="none"/>
          <w:u w:val="single" w:color="auto"/>
        </w:rPr>
        <w:t>N</w:t>
      </w:r>
      <w:r>
        <w:rPr>
          <w:rFonts w:ascii="宋体" w:hAnsi="宋体" w:eastAsia="宋体" w:cs="宋体"/>
          <w:strike/>
          <w:dstrike w:val="0"/>
          <w:color w:val="auto"/>
          <w:spacing w:val="-4"/>
          <w:sz w:val="24"/>
          <w:szCs w:val="24"/>
          <w:highlight w:val="none"/>
        </w:rPr>
        <w:t>个中</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标候选人，剩余的中标候选人进入下一轮淘汰投票，最终确定</w:t>
      </w:r>
      <w:r>
        <w:rPr>
          <w:rFonts w:ascii="Times New Roman" w:hAnsi="Times New Roman" w:eastAsia="Times New Roman" w:cs="Times New Roman"/>
          <w:i/>
          <w:iCs/>
          <w:strike/>
          <w:dstrike w:val="0"/>
          <w:color w:val="auto"/>
          <w:spacing w:val="-1"/>
          <w:sz w:val="24"/>
          <w:szCs w:val="24"/>
          <w:highlight w:val="none"/>
          <w:u w:val="single" w:color="auto"/>
        </w:rPr>
        <w:t>N</w:t>
      </w:r>
      <w:r>
        <w:rPr>
          <w:rFonts w:ascii="宋体" w:hAnsi="宋体" w:eastAsia="宋体" w:cs="宋体"/>
          <w:strike/>
          <w:dstrike w:val="0"/>
          <w:color w:val="auto"/>
          <w:spacing w:val="-1"/>
          <w:sz w:val="24"/>
          <w:szCs w:val="24"/>
          <w:highlight w:val="none"/>
        </w:rPr>
        <w:t>个中标候选人。在最</w:t>
      </w:r>
      <w:r>
        <w:rPr>
          <w:rFonts w:ascii="宋体" w:hAnsi="宋体" w:eastAsia="宋体" w:cs="宋体"/>
          <w:strike/>
          <w:dstrike w:val="0"/>
          <w:color w:val="auto"/>
          <w:spacing w:val="15"/>
          <w:sz w:val="24"/>
          <w:szCs w:val="24"/>
          <w:highlight w:val="none"/>
        </w:rPr>
        <w:t xml:space="preserve"> </w:t>
      </w:r>
      <w:r>
        <w:rPr>
          <w:rFonts w:ascii="宋体" w:hAnsi="宋体" w:eastAsia="宋体" w:cs="宋体"/>
          <w:strike/>
          <w:dstrike w:val="0"/>
          <w:color w:val="auto"/>
          <w:spacing w:val="-7"/>
          <w:sz w:val="24"/>
          <w:szCs w:val="24"/>
          <w:highlight w:val="none"/>
        </w:rPr>
        <w:t>终确定第</w:t>
      </w:r>
      <w:r>
        <w:rPr>
          <w:rFonts w:ascii="Times New Roman" w:hAnsi="Times New Roman" w:eastAsia="Times New Roman" w:cs="Times New Roman"/>
          <w:i/>
          <w:iCs/>
          <w:strike/>
          <w:dstrike w:val="0"/>
          <w:color w:val="auto"/>
          <w:spacing w:val="-7"/>
          <w:sz w:val="24"/>
          <w:szCs w:val="24"/>
          <w:highlight w:val="none"/>
          <w:u w:val="single" w:color="auto"/>
        </w:rPr>
        <w:t>N</w:t>
      </w:r>
      <w:r>
        <w:rPr>
          <w:rFonts w:ascii="宋体" w:hAnsi="宋体" w:eastAsia="宋体" w:cs="宋体"/>
          <w:strike/>
          <w:dstrike w:val="0"/>
          <w:color w:val="auto"/>
          <w:spacing w:val="-7"/>
          <w:sz w:val="24"/>
          <w:szCs w:val="24"/>
          <w:highlight w:val="none"/>
        </w:rPr>
        <w:t xml:space="preserve">个中标候选人时如果出现同票的，则采用 </w:t>
      </w:r>
      <w:r>
        <w:rPr>
          <w:rFonts w:ascii="宋体" w:hAnsi="宋体" w:eastAsia="宋体" w:cs="宋体"/>
          <w:i/>
          <w:iCs/>
          <w:strike/>
          <w:dstrike w:val="0"/>
          <w:color w:val="auto"/>
          <w:spacing w:val="-7"/>
          <w:sz w:val="25"/>
          <w:szCs w:val="25"/>
          <w:highlight w:val="none"/>
        </w:rPr>
        <w:t>□</w:t>
      </w:r>
      <w:r>
        <w:rPr>
          <w:rFonts w:ascii="宋体" w:hAnsi="宋体" w:eastAsia="宋体" w:cs="宋体"/>
          <w:i/>
          <w:iCs/>
          <w:strike/>
          <w:dstrike w:val="0"/>
          <w:color w:val="auto"/>
          <w:spacing w:val="-8"/>
          <w:sz w:val="25"/>
          <w:szCs w:val="25"/>
          <w:highlight w:val="none"/>
        </w:rPr>
        <w:t>抽签抽取□报价低者（报价相</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3"/>
          <w:sz w:val="25"/>
          <w:szCs w:val="25"/>
          <w:highlight w:val="none"/>
        </w:rPr>
        <w:t>同时抽签抽取</w:t>
      </w:r>
      <w:r>
        <w:rPr>
          <w:rFonts w:ascii="Times New Roman" w:hAnsi="Times New Roman" w:eastAsia="Times New Roman" w:cs="Times New Roman"/>
          <w:i/>
          <w:iCs/>
          <w:strike/>
          <w:dstrike w:val="0"/>
          <w:color w:val="auto"/>
          <w:spacing w:val="-13"/>
          <w:sz w:val="24"/>
          <w:szCs w:val="24"/>
          <w:highlight w:val="none"/>
        </w:rPr>
        <w:t>1</w:t>
      </w:r>
      <w:r>
        <w:rPr>
          <w:rFonts w:ascii="Times New Roman" w:hAnsi="Times New Roman" w:eastAsia="Times New Roman" w:cs="Times New Roman"/>
          <w:i/>
          <w:iCs/>
          <w:strike/>
          <w:dstrike w:val="0"/>
          <w:color w:val="auto"/>
          <w:spacing w:val="25"/>
          <w:sz w:val="24"/>
          <w:szCs w:val="24"/>
          <w:highlight w:val="none"/>
        </w:rPr>
        <w:t xml:space="preserve"> </w:t>
      </w:r>
      <w:r>
        <w:rPr>
          <w:rFonts w:ascii="宋体" w:hAnsi="宋体" w:eastAsia="宋体" w:cs="宋体"/>
          <w:i/>
          <w:iCs/>
          <w:strike/>
          <w:dstrike w:val="0"/>
          <w:color w:val="auto"/>
          <w:spacing w:val="-13"/>
          <w:sz w:val="25"/>
          <w:szCs w:val="25"/>
          <w:highlight w:val="none"/>
        </w:rPr>
        <w:t>个中标候选人）□由招标人法</w:t>
      </w:r>
      <w:r>
        <w:rPr>
          <w:rFonts w:ascii="宋体" w:hAnsi="宋体" w:eastAsia="宋体" w:cs="宋体"/>
          <w:strike/>
          <w:dstrike w:val="0"/>
          <w:color w:val="auto"/>
          <w:spacing w:val="-14"/>
          <w:sz w:val="25"/>
          <w:szCs w:val="25"/>
          <w:highlight w:val="none"/>
        </w:rPr>
        <w:t xml:space="preserve"> </w:t>
      </w:r>
      <w:r>
        <w:rPr>
          <w:rFonts w:ascii="宋体" w:hAnsi="宋体" w:eastAsia="宋体" w:cs="宋体"/>
          <w:i/>
          <w:iCs/>
          <w:strike/>
          <w:dstrike w:val="0"/>
          <w:color w:val="auto"/>
          <w:spacing w:val="-14"/>
          <w:sz w:val="25"/>
          <w:szCs w:val="25"/>
          <w:highlight w:val="none"/>
        </w:rPr>
        <w:t>定代表人或其委托代表直接确定</w:t>
      </w:r>
      <w:r>
        <w:rPr>
          <w:rFonts w:ascii="宋体" w:hAnsi="宋体" w:eastAsia="宋体" w:cs="宋体"/>
          <w:strike/>
          <w:dstrike w:val="0"/>
          <w:color w:val="auto"/>
          <w:spacing w:val="-14"/>
          <w:sz w:val="24"/>
          <w:szCs w:val="24"/>
          <w:highlight w:val="none"/>
        </w:rPr>
        <w:t>进入抽</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2"/>
          <w:sz w:val="24"/>
          <w:szCs w:val="24"/>
          <w:highlight w:val="none"/>
        </w:rPr>
        <w:t>签环节的中标候选人。定标委员会在上述</w:t>
      </w:r>
      <w:r>
        <w:rPr>
          <w:rFonts w:ascii="Times New Roman" w:hAnsi="Times New Roman" w:eastAsia="Times New Roman" w:cs="Times New Roman"/>
          <w:i/>
          <w:iCs/>
          <w:strike/>
          <w:dstrike w:val="0"/>
          <w:color w:val="auto"/>
          <w:spacing w:val="-12"/>
          <w:sz w:val="24"/>
          <w:szCs w:val="24"/>
          <w:highlight w:val="none"/>
          <w:u w:val="single" w:color="auto"/>
        </w:rPr>
        <w:t>N</w:t>
      </w:r>
      <w:r>
        <w:rPr>
          <w:rFonts w:ascii="宋体" w:hAnsi="宋体" w:eastAsia="宋体" w:cs="宋体"/>
          <w:strike/>
          <w:dstrike w:val="0"/>
          <w:color w:val="auto"/>
          <w:spacing w:val="-12"/>
          <w:sz w:val="24"/>
          <w:szCs w:val="24"/>
          <w:highlight w:val="none"/>
        </w:rPr>
        <w:t>个中标候</w:t>
      </w:r>
      <w:r>
        <w:rPr>
          <w:rFonts w:ascii="宋体" w:hAnsi="宋体" w:eastAsia="宋体" w:cs="宋体"/>
          <w:strike/>
          <w:dstrike w:val="0"/>
          <w:color w:val="auto"/>
          <w:spacing w:val="-13"/>
          <w:sz w:val="24"/>
          <w:szCs w:val="24"/>
          <w:highlight w:val="none"/>
        </w:rPr>
        <w:t>选人中随机抽签确定中标人。</w:t>
      </w:r>
    </w:p>
    <w:p w14:paraId="22F4E4D4">
      <w:pPr>
        <w:spacing w:before="181" w:line="220" w:lineRule="auto"/>
        <w:ind w:left="507"/>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7"/>
          <w:sz w:val="24"/>
          <w:szCs w:val="24"/>
          <w:highlight w:val="none"/>
        </w:rPr>
        <w:t>□集体议事法</w:t>
      </w:r>
    </w:p>
    <w:p w14:paraId="6CEC3CE1">
      <w:pPr>
        <w:spacing w:before="181" w:line="359" w:lineRule="auto"/>
        <w:ind w:right="64" w:firstLine="486"/>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定标委员会进行集体商议，定标委员会成员各自发表意见，由定标委员会</w:t>
      </w:r>
      <w:r>
        <w:rPr>
          <w:rFonts w:ascii="宋体" w:hAnsi="宋体" w:eastAsia="宋体" w:cs="宋体"/>
          <w:strike/>
          <w:dstrike w:val="0"/>
          <w:color w:val="auto"/>
          <w:spacing w:val="-4"/>
          <w:sz w:val="24"/>
          <w:szCs w:val="24"/>
          <w:highlight w:val="none"/>
        </w:rPr>
        <w:t>负责人</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5"/>
          <w:sz w:val="24"/>
          <w:szCs w:val="24"/>
          <w:highlight w:val="none"/>
        </w:rPr>
        <w:t>最终确定中标人。所有参加会议的定标委员会成员的意见应当作书面记录，</w:t>
      </w:r>
      <w:r>
        <w:rPr>
          <w:rFonts w:ascii="宋体" w:hAnsi="宋体" w:eastAsia="宋体" w:cs="宋体"/>
          <w:strike/>
          <w:dstrike w:val="0"/>
          <w:color w:val="auto"/>
          <w:spacing w:val="-36"/>
          <w:sz w:val="24"/>
          <w:szCs w:val="24"/>
          <w:highlight w:val="none"/>
        </w:rPr>
        <w:t xml:space="preserve"> </w:t>
      </w:r>
      <w:r>
        <w:rPr>
          <w:rFonts w:ascii="宋体" w:hAnsi="宋体" w:eastAsia="宋体" w:cs="宋体"/>
          <w:strike/>
          <w:dstrike w:val="0"/>
          <w:color w:val="auto"/>
          <w:spacing w:val="-5"/>
          <w:sz w:val="24"/>
          <w:szCs w:val="24"/>
          <w:highlight w:val="none"/>
        </w:rPr>
        <w:t>并由定标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委员会成员签字确认。</w:t>
      </w:r>
    </w:p>
    <w:p w14:paraId="78C7155E">
      <w:pPr>
        <w:spacing w:before="2" w:line="220" w:lineRule="auto"/>
        <w:ind w:left="507"/>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15"/>
          <w:sz w:val="24"/>
          <w:szCs w:val="24"/>
          <w:highlight w:val="none"/>
        </w:rPr>
        <w:t>□组合方法：</w:t>
      </w:r>
    </w:p>
    <w:p w14:paraId="3C9D899D">
      <w:pPr>
        <w:tabs>
          <w:tab w:val="left" w:pos="2448"/>
        </w:tabs>
        <w:spacing w:before="179" w:line="213" w:lineRule="auto"/>
        <w:ind w:left="471"/>
        <w:rPr>
          <w:rFonts w:ascii="宋体" w:hAnsi="宋体" w:eastAsia="宋体" w:cs="宋体"/>
          <w:strike/>
          <w:dstrike w:val="0"/>
          <w:color w:val="auto"/>
          <w:sz w:val="24"/>
          <w:szCs w:val="24"/>
          <w:highlight w:val="none"/>
        </w:rPr>
      </w:pPr>
      <w:r>
        <w:rPr>
          <w:rFonts w:ascii="宋体" w:hAnsi="宋体" w:eastAsia="宋体" w:cs="宋体"/>
          <w:strike/>
          <w:dstrike w:val="0"/>
          <w:color w:val="auto"/>
          <w:sz w:val="25"/>
          <w:szCs w:val="25"/>
          <w:highlight w:val="none"/>
          <w:u w:val="single" w:color="auto"/>
        </w:rPr>
        <w:tab/>
      </w:r>
      <w:r>
        <w:rPr>
          <w:rFonts w:ascii="宋体" w:hAnsi="宋体" w:eastAsia="宋体" w:cs="宋体"/>
          <w:i/>
          <w:iCs/>
          <w:strike/>
          <w:dstrike w:val="0"/>
          <w:color w:val="auto"/>
          <w:spacing w:val="-31"/>
          <w:sz w:val="25"/>
          <w:szCs w:val="25"/>
          <w:highlight w:val="none"/>
          <w:u w:val="single" w:color="auto"/>
        </w:rPr>
        <w:t>（补充细则）</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strike/>
          <w:dstrike w:val="0"/>
          <w:color w:val="auto"/>
          <w:spacing w:val="-31"/>
          <w:sz w:val="24"/>
          <w:szCs w:val="24"/>
          <w:highlight w:val="none"/>
        </w:rPr>
        <w:t>。</w:t>
      </w:r>
    </w:p>
    <w:p w14:paraId="44FBB09E">
      <w:pPr>
        <w:spacing w:before="179" w:line="218" w:lineRule="auto"/>
        <w:ind w:left="503"/>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四、定标报告</w:t>
      </w:r>
    </w:p>
    <w:p w14:paraId="230C7EB5">
      <w:pPr>
        <w:spacing w:before="184" w:line="324" w:lineRule="auto"/>
        <w:ind w:left="1" w:right="64" w:firstLine="4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（一）定标委员会应当向招标人提交书面定标报告。定标报告由定标委</w:t>
      </w:r>
      <w:r>
        <w:rPr>
          <w:rFonts w:ascii="宋体" w:hAnsi="宋体" w:eastAsia="宋体" w:cs="宋体"/>
          <w:color w:val="auto"/>
          <w:spacing w:val="-4"/>
          <w:sz w:val="24"/>
          <w:szCs w:val="24"/>
          <w:highlight w:val="none"/>
        </w:rPr>
        <w:t>员会全体</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成员签字。对定标结果有不同意见的定标委员会成员应当以书面形式说明其不同意见</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和理由，定标报告应当注明该不同意见。定标委员会成员拒绝在定标报告上签字又不</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书面说明其不同意见和理由的，视为同意定标结果。</w:t>
      </w:r>
    </w:p>
    <w:p w14:paraId="4A589AAC">
      <w:pPr>
        <w:spacing w:before="183" w:line="218" w:lineRule="auto"/>
        <w:ind w:left="48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（二）定标报告应包括以下内容：</w:t>
      </w:r>
    </w:p>
    <w:p w14:paraId="5D1FF731">
      <w:pPr>
        <w:spacing w:before="183" w:line="219" w:lineRule="auto"/>
        <w:ind w:left="499"/>
        <w:rPr>
          <w:rFonts w:ascii="宋体" w:hAnsi="宋体" w:eastAsia="宋体" w:cs="宋体"/>
          <w:color w:val="auto"/>
          <w:sz w:val="24"/>
          <w:szCs w:val="24"/>
          <w:highlight w:val="none"/>
        </w:rPr>
      </w:pPr>
      <w:r>
        <w:rPr>
          <w:rFonts w:ascii="Times New Roman" w:hAnsi="Times New Roman" w:eastAsia="Times New Roman" w:cs="Times New Roman"/>
          <w:color w:val="auto"/>
          <w:spacing w:val="-7"/>
          <w:sz w:val="24"/>
          <w:szCs w:val="24"/>
          <w:highlight w:val="none"/>
        </w:rPr>
        <w:t>1.</w:t>
      </w:r>
      <w:r>
        <w:rPr>
          <w:rFonts w:ascii="宋体" w:hAnsi="宋体" w:eastAsia="宋体" w:cs="宋体"/>
          <w:color w:val="auto"/>
          <w:spacing w:val="-7"/>
          <w:sz w:val="24"/>
          <w:szCs w:val="24"/>
          <w:highlight w:val="none"/>
        </w:rPr>
        <w:t>定标委员会的产生过程；</w:t>
      </w:r>
    </w:p>
    <w:p w14:paraId="459CCF72">
      <w:pPr>
        <w:spacing w:line="219" w:lineRule="auto"/>
        <w:rPr>
          <w:rFonts w:ascii="宋体" w:hAnsi="宋体" w:eastAsia="宋体" w:cs="宋体"/>
          <w:color w:val="auto"/>
          <w:sz w:val="24"/>
          <w:szCs w:val="24"/>
          <w:highlight w:val="none"/>
        </w:rPr>
        <w:sectPr>
          <w:headerReference r:id="rId61" w:type="default"/>
          <w:footerReference r:id="rId62" w:type="default"/>
          <w:pgSz w:w="11905" w:h="16840"/>
          <w:pgMar w:top="1791" w:right="1463" w:bottom="1255" w:left="1595" w:header="1401" w:footer="1093" w:gutter="0"/>
          <w:pgNumType w:fmt="decimal"/>
          <w:cols w:space="720" w:num="1"/>
        </w:sectPr>
      </w:pPr>
    </w:p>
    <w:p w14:paraId="09968879">
      <w:pPr>
        <w:pStyle w:val="8"/>
        <w:spacing w:line="248" w:lineRule="auto"/>
        <w:rPr>
          <w:color w:val="auto"/>
          <w:highlight w:val="none"/>
        </w:rPr>
      </w:pPr>
    </w:p>
    <w:p w14:paraId="708D6AAE">
      <w:pPr>
        <w:spacing w:before="78" w:line="220" w:lineRule="auto"/>
        <w:ind w:left="286"/>
        <w:rPr>
          <w:rFonts w:ascii="宋体" w:hAnsi="宋体" w:eastAsia="宋体" w:cs="宋体"/>
          <w:color w:val="auto"/>
          <w:sz w:val="24"/>
          <w:szCs w:val="24"/>
          <w:highlight w:val="none"/>
        </w:rPr>
      </w:pPr>
      <w:r>
        <w:rPr>
          <w:rFonts w:ascii="Times New Roman" w:hAnsi="Times New Roman" w:eastAsia="Times New Roman" w:cs="Times New Roman"/>
          <w:color w:val="auto"/>
          <w:spacing w:val="-8"/>
          <w:sz w:val="24"/>
          <w:szCs w:val="24"/>
          <w:highlight w:val="none"/>
        </w:rPr>
        <w:t>2.</w:t>
      </w:r>
      <w:r>
        <w:rPr>
          <w:rFonts w:ascii="宋体" w:hAnsi="宋体" w:eastAsia="宋体" w:cs="宋体"/>
          <w:color w:val="auto"/>
          <w:spacing w:val="-8"/>
          <w:sz w:val="24"/>
          <w:szCs w:val="24"/>
          <w:highlight w:val="none"/>
        </w:rPr>
        <w:t>定标程序；</w:t>
      </w:r>
    </w:p>
    <w:p w14:paraId="7F5C493F">
      <w:pPr>
        <w:spacing w:before="180" w:line="219" w:lineRule="auto"/>
        <w:ind w:left="291"/>
        <w:rPr>
          <w:rFonts w:ascii="宋体" w:hAnsi="宋体" w:eastAsia="宋体" w:cs="宋体"/>
          <w:color w:val="auto"/>
          <w:sz w:val="24"/>
          <w:szCs w:val="24"/>
          <w:highlight w:val="none"/>
        </w:rPr>
      </w:pPr>
      <w:r>
        <w:rPr>
          <w:rFonts w:ascii="Times New Roman" w:hAnsi="Times New Roman" w:eastAsia="Times New Roman" w:cs="Times New Roman"/>
          <w:color w:val="auto"/>
          <w:spacing w:val="-6"/>
          <w:sz w:val="24"/>
          <w:szCs w:val="24"/>
          <w:highlight w:val="none"/>
        </w:rPr>
        <w:t>3.</w:t>
      </w:r>
      <w:r>
        <w:rPr>
          <w:rFonts w:ascii="宋体" w:hAnsi="宋体" w:eastAsia="宋体" w:cs="宋体"/>
          <w:color w:val="auto"/>
          <w:spacing w:val="-6"/>
          <w:sz w:val="24"/>
          <w:szCs w:val="24"/>
          <w:highlight w:val="none"/>
        </w:rPr>
        <w:t>推荐或不推荐的理由；</w:t>
      </w:r>
    </w:p>
    <w:p w14:paraId="345565E5">
      <w:pPr>
        <w:spacing w:before="182" w:line="220" w:lineRule="auto"/>
        <w:ind w:left="285"/>
        <w:rPr>
          <w:rFonts w:ascii="宋体" w:hAnsi="宋体" w:eastAsia="宋体" w:cs="宋体"/>
          <w:color w:val="auto"/>
          <w:sz w:val="24"/>
          <w:szCs w:val="24"/>
          <w:highlight w:val="none"/>
        </w:rPr>
      </w:pPr>
      <w:r>
        <w:rPr>
          <w:rFonts w:ascii="Times New Roman" w:hAnsi="Times New Roman" w:eastAsia="Times New Roman" w:cs="Times New Roman"/>
          <w:color w:val="auto"/>
          <w:spacing w:val="-7"/>
          <w:sz w:val="24"/>
          <w:szCs w:val="24"/>
          <w:highlight w:val="none"/>
        </w:rPr>
        <w:t>4.</w:t>
      </w:r>
      <w:r>
        <w:rPr>
          <w:rFonts w:ascii="宋体" w:hAnsi="宋体" w:eastAsia="宋体" w:cs="宋体"/>
          <w:color w:val="auto"/>
          <w:spacing w:val="-7"/>
          <w:sz w:val="24"/>
          <w:szCs w:val="24"/>
          <w:highlight w:val="none"/>
        </w:rPr>
        <w:t>定标结果；</w:t>
      </w:r>
    </w:p>
    <w:p w14:paraId="5AE2A61A">
      <w:pPr>
        <w:spacing w:before="180" w:line="219" w:lineRule="auto"/>
        <w:ind w:left="293"/>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5.</w:t>
      </w:r>
      <w:r>
        <w:rPr>
          <w:rFonts w:ascii="宋体" w:hAnsi="宋体" w:eastAsia="宋体" w:cs="宋体"/>
          <w:color w:val="auto"/>
          <w:spacing w:val="-4"/>
          <w:sz w:val="24"/>
          <w:szCs w:val="24"/>
          <w:highlight w:val="none"/>
        </w:rPr>
        <w:t>定标委员会备选人员名单（含单位及职务</w:t>
      </w:r>
      <w:r>
        <w:rPr>
          <w:rFonts w:ascii="宋体" w:hAnsi="宋体" w:eastAsia="宋体" w:cs="宋体"/>
          <w:color w:val="auto"/>
          <w:spacing w:val="7"/>
          <w:sz w:val="24"/>
          <w:szCs w:val="24"/>
          <w:highlight w:val="none"/>
        </w:rPr>
        <w:t>）；</w:t>
      </w:r>
    </w:p>
    <w:p w14:paraId="032EBB06">
      <w:pPr>
        <w:spacing w:before="182" w:line="219" w:lineRule="auto"/>
        <w:ind w:left="292"/>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6.</w:t>
      </w:r>
      <w:r>
        <w:rPr>
          <w:rFonts w:ascii="宋体" w:hAnsi="宋体" w:eastAsia="宋体" w:cs="宋体"/>
          <w:color w:val="auto"/>
          <w:spacing w:val="-4"/>
          <w:sz w:val="24"/>
          <w:szCs w:val="24"/>
          <w:highlight w:val="none"/>
        </w:rPr>
        <w:t>定标委员会正式名单、负责人；</w:t>
      </w:r>
    </w:p>
    <w:p w14:paraId="59A7A39C">
      <w:pPr>
        <w:spacing w:before="182" w:line="218" w:lineRule="auto"/>
        <w:ind w:left="290"/>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7.</w:t>
      </w:r>
      <w:r>
        <w:rPr>
          <w:rFonts w:ascii="宋体" w:hAnsi="宋体" w:eastAsia="宋体" w:cs="宋体"/>
          <w:strike/>
          <w:dstrike w:val="0"/>
          <w:color w:val="auto"/>
          <w:spacing w:val="-3"/>
          <w:sz w:val="24"/>
          <w:szCs w:val="24"/>
          <w:highlight w:val="none"/>
        </w:rPr>
        <w:t>考察、质询报告（如组织考察、质询）。</w:t>
      </w:r>
    </w:p>
    <w:p w14:paraId="7CA8627F">
      <w:pPr>
        <w:spacing w:line="218" w:lineRule="auto"/>
        <w:rPr>
          <w:rFonts w:ascii="宋体" w:hAnsi="宋体" w:eastAsia="宋体" w:cs="宋体"/>
          <w:color w:val="auto"/>
          <w:sz w:val="24"/>
          <w:szCs w:val="24"/>
          <w:highlight w:val="none"/>
        </w:rPr>
        <w:sectPr>
          <w:headerReference r:id="rId63" w:type="default"/>
          <w:footerReference r:id="rId64" w:type="default"/>
          <w:pgSz w:w="11905" w:h="16840"/>
          <w:pgMar w:top="400" w:right="1529" w:bottom="1255" w:left="1785" w:header="0" w:footer="1093" w:gutter="0"/>
          <w:pgNumType w:fmt="decimal"/>
          <w:cols w:space="720" w:num="1"/>
        </w:sectPr>
      </w:pPr>
    </w:p>
    <w:p w14:paraId="4C9D1FD1">
      <w:pPr>
        <w:pStyle w:val="8"/>
        <w:spacing w:line="245" w:lineRule="auto"/>
        <w:rPr>
          <w:color w:val="auto"/>
          <w:highlight w:val="none"/>
        </w:rPr>
      </w:pPr>
    </w:p>
    <w:p w14:paraId="08021905">
      <w:pPr>
        <w:pStyle w:val="8"/>
        <w:spacing w:line="245" w:lineRule="auto"/>
        <w:rPr>
          <w:color w:val="auto"/>
          <w:highlight w:val="none"/>
        </w:rPr>
      </w:pPr>
    </w:p>
    <w:p w14:paraId="36894CC8">
      <w:pPr>
        <w:pStyle w:val="8"/>
        <w:spacing w:line="246" w:lineRule="auto"/>
        <w:rPr>
          <w:color w:val="auto"/>
          <w:highlight w:val="none"/>
        </w:rPr>
      </w:pPr>
    </w:p>
    <w:p w14:paraId="23AE1608">
      <w:pPr>
        <w:pStyle w:val="8"/>
        <w:spacing w:line="246" w:lineRule="auto"/>
        <w:rPr>
          <w:color w:val="auto"/>
          <w:highlight w:val="none"/>
        </w:rPr>
      </w:pPr>
    </w:p>
    <w:p w14:paraId="42BC5986">
      <w:pPr>
        <w:spacing w:before="94" w:line="214" w:lineRule="auto"/>
        <w:ind w:left="1871"/>
        <w:rPr>
          <w:rFonts w:ascii="宋体" w:hAnsi="宋体" w:eastAsia="宋体" w:cs="宋体"/>
          <w:strike/>
          <w:dstrike w:val="0"/>
          <w:color w:val="auto"/>
          <w:sz w:val="27"/>
          <w:szCs w:val="27"/>
          <w:highlight w:val="none"/>
        </w:rPr>
      </w:pPr>
      <w:r>
        <w:rPr>
          <w:rFonts w:ascii="宋体" w:hAnsi="宋体" w:eastAsia="宋体" w:cs="宋体"/>
          <w:b/>
          <w:bCs/>
          <w:strike/>
          <w:dstrike w:val="0"/>
          <w:color w:val="auto"/>
          <w:spacing w:val="-7"/>
          <w:sz w:val="27"/>
          <w:szCs w:val="27"/>
          <w:highlight w:val="none"/>
        </w:rPr>
        <w:t>方法六：定性评审法（</w:t>
      </w:r>
      <w:r>
        <w:rPr>
          <w:rFonts w:ascii="宋体" w:hAnsi="宋体" w:eastAsia="宋体" w:cs="宋体"/>
          <w:strike/>
          <w:dstrike w:val="0"/>
          <w:color w:val="auto"/>
          <w:spacing w:val="-17"/>
          <w:sz w:val="27"/>
          <w:szCs w:val="27"/>
          <w:highlight w:val="none"/>
        </w:rPr>
        <w:t xml:space="preserve"> </w:t>
      </w:r>
      <w:r>
        <w:rPr>
          <w:rFonts w:ascii="宋体" w:hAnsi="宋体" w:eastAsia="宋体" w:cs="宋体"/>
          <w:b/>
          <w:bCs/>
          <w:i/>
          <w:iCs/>
          <w:strike/>
          <w:dstrike w:val="0"/>
          <w:color w:val="auto"/>
          <w:spacing w:val="-7"/>
          <w:sz w:val="29"/>
          <w:szCs w:val="29"/>
          <w:highlight w:val="none"/>
        </w:rPr>
        <w:t>适用于评定分离</w:t>
      </w:r>
      <w:r>
        <w:rPr>
          <w:rFonts w:ascii="宋体" w:hAnsi="宋体" w:eastAsia="宋体" w:cs="宋体"/>
          <w:b/>
          <w:bCs/>
          <w:strike/>
          <w:dstrike w:val="0"/>
          <w:color w:val="auto"/>
          <w:spacing w:val="-7"/>
          <w:sz w:val="27"/>
          <w:szCs w:val="27"/>
          <w:highlight w:val="none"/>
        </w:rPr>
        <w:t>）</w:t>
      </w:r>
    </w:p>
    <w:p w14:paraId="1A35C165">
      <w:pPr>
        <w:pStyle w:val="8"/>
        <w:rPr>
          <w:strike/>
          <w:dstrike w:val="0"/>
          <w:color w:val="auto"/>
          <w:highlight w:val="none"/>
        </w:rPr>
      </w:pPr>
    </w:p>
    <w:p w14:paraId="1A4E9031">
      <w:pPr>
        <w:spacing w:before="88" w:line="225" w:lineRule="auto"/>
        <w:ind w:left="13"/>
        <w:rPr>
          <w:rFonts w:ascii="宋体" w:hAnsi="宋体" w:eastAsia="宋体" w:cs="宋体"/>
          <w:strike/>
          <w:dstrike w:val="0"/>
          <w:color w:val="auto"/>
          <w:sz w:val="27"/>
          <w:szCs w:val="27"/>
          <w:highlight w:val="none"/>
        </w:rPr>
      </w:pPr>
      <w:r>
        <w:rPr>
          <w:rFonts w:ascii="Times New Roman" w:hAnsi="Times New Roman" w:eastAsia="Times New Roman" w:cs="Times New Roman"/>
          <w:b/>
          <w:bCs/>
          <w:strike/>
          <w:dstrike w:val="0"/>
          <w:color w:val="auto"/>
          <w:spacing w:val="-5"/>
          <w:sz w:val="27"/>
          <w:szCs w:val="27"/>
          <w:highlight w:val="none"/>
        </w:rPr>
        <w:t>1</w:t>
      </w:r>
      <w:r>
        <w:rPr>
          <w:rFonts w:ascii="Times New Roman" w:hAnsi="Times New Roman" w:eastAsia="Times New Roman" w:cs="Times New Roman"/>
          <w:b/>
          <w:bCs/>
          <w:strike/>
          <w:dstrike w:val="0"/>
          <w:color w:val="auto"/>
          <w:spacing w:val="10"/>
          <w:sz w:val="27"/>
          <w:szCs w:val="27"/>
          <w:highlight w:val="none"/>
        </w:rPr>
        <w:t xml:space="preserve">  </w:t>
      </w:r>
      <w:r>
        <w:rPr>
          <w:rFonts w:ascii="宋体" w:hAnsi="宋体" w:eastAsia="宋体" w:cs="宋体"/>
          <w:b/>
          <w:bCs/>
          <w:strike/>
          <w:dstrike w:val="0"/>
          <w:color w:val="auto"/>
          <w:spacing w:val="-5"/>
          <w:sz w:val="27"/>
          <w:szCs w:val="27"/>
          <w:highlight w:val="none"/>
        </w:rPr>
        <w:t>依据</w:t>
      </w:r>
    </w:p>
    <w:p w14:paraId="72F55CA5">
      <w:pPr>
        <w:pStyle w:val="8"/>
        <w:spacing w:line="246" w:lineRule="auto"/>
        <w:rPr>
          <w:strike/>
          <w:dstrike w:val="0"/>
          <w:color w:val="auto"/>
          <w:highlight w:val="none"/>
        </w:rPr>
      </w:pPr>
    </w:p>
    <w:p w14:paraId="06C26B7E">
      <w:pPr>
        <w:spacing w:before="78" w:line="360" w:lineRule="auto"/>
        <w:ind w:left="5" w:firstLine="481"/>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为规范招标的评标工作，根据《中华人民共和国招标投标法》、《中华人民共和</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国招标投标法实施条例》、《评标委员会和评标办法暂行规定》（原国家发</w:t>
      </w:r>
      <w:r>
        <w:rPr>
          <w:rFonts w:ascii="宋体" w:hAnsi="宋体" w:eastAsia="宋体" w:cs="宋体"/>
          <w:strike/>
          <w:dstrike w:val="0"/>
          <w:color w:val="auto"/>
          <w:spacing w:val="-4"/>
          <w:sz w:val="24"/>
          <w:szCs w:val="24"/>
          <w:highlight w:val="none"/>
        </w:rPr>
        <w:t>展计划委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员会等七部委令第</w:t>
      </w:r>
      <w:r>
        <w:rPr>
          <w:rFonts w:ascii="Times New Roman" w:hAnsi="Times New Roman" w:eastAsia="Times New Roman" w:cs="Times New Roman"/>
          <w:strike/>
          <w:dstrike w:val="0"/>
          <w:color w:val="auto"/>
          <w:spacing w:val="-3"/>
          <w:sz w:val="24"/>
          <w:szCs w:val="24"/>
          <w:highlight w:val="none"/>
        </w:rPr>
        <w:t>12</w:t>
      </w:r>
      <w:r>
        <w:rPr>
          <w:rFonts w:ascii="宋体" w:hAnsi="宋体" w:eastAsia="宋体" w:cs="宋体"/>
          <w:strike/>
          <w:dstrike w:val="0"/>
          <w:color w:val="auto"/>
          <w:spacing w:val="-3"/>
          <w:sz w:val="24"/>
          <w:szCs w:val="24"/>
          <w:highlight w:val="none"/>
        </w:rPr>
        <w:t>号）、《工程建设项目施工招标投标办法》（原国家发展计划委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员会等七部委令第</w:t>
      </w:r>
      <w:r>
        <w:rPr>
          <w:rFonts w:ascii="Times New Roman" w:hAnsi="Times New Roman" w:eastAsia="Times New Roman" w:cs="Times New Roman"/>
          <w:strike/>
          <w:dstrike w:val="0"/>
          <w:color w:val="auto"/>
          <w:spacing w:val="-9"/>
          <w:sz w:val="24"/>
          <w:szCs w:val="24"/>
          <w:highlight w:val="none"/>
        </w:rPr>
        <w:t>30</w:t>
      </w:r>
      <w:r>
        <w:rPr>
          <w:rFonts w:ascii="宋体" w:hAnsi="宋体" w:eastAsia="宋体" w:cs="宋体"/>
          <w:strike/>
          <w:dstrike w:val="0"/>
          <w:color w:val="auto"/>
          <w:spacing w:val="-9"/>
          <w:sz w:val="24"/>
          <w:szCs w:val="24"/>
          <w:highlight w:val="none"/>
        </w:rPr>
        <w:t>号）、《关于废止和修改部分招标投标规章和规范性文件的决定》</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9"/>
          <w:sz w:val="24"/>
          <w:szCs w:val="24"/>
          <w:highlight w:val="none"/>
        </w:rPr>
        <w:t>（九部委第</w:t>
      </w:r>
      <w:r>
        <w:rPr>
          <w:rFonts w:ascii="Times New Roman" w:hAnsi="Times New Roman" w:eastAsia="Times New Roman" w:cs="Times New Roman"/>
          <w:strike/>
          <w:dstrike w:val="0"/>
          <w:color w:val="auto"/>
          <w:spacing w:val="-9"/>
          <w:sz w:val="24"/>
          <w:szCs w:val="24"/>
          <w:highlight w:val="none"/>
        </w:rPr>
        <w:t>23</w:t>
      </w:r>
      <w:r>
        <w:rPr>
          <w:rFonts w:ascii="宋体" w:hAnsi="宋体" w:eastAsia="宋体" w:cs="宋体"/>
          <w:strike/>
          <w:dstrike w:val="0"/>
          <w:color w:val="auto"/>
          <w:spacing w:val="-9"/>
          <w:sz w:val="24"/>
          <w:szCs w:val="24"/>
          <w:highlight w:val="none"/>
        </w:rPr>
        <w:t>号令）、《浙江省招标投标条例》等有关的法律、法规和规章制度规定，</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7"/>
          <w:sz w:val="24"/>
          <w:szCs w:val="24"/>
          <w:highlight w:val="none"/>
        </w:rPr>
        <w:t>制定本办法。</w:t>
      </w:r>
    </w:p>
    <w:p w14:paraId="3BBA4731">
      <w:pPr>
        <w:spacing w:before="122" w:line="227" w:lineRule="auto"/>
        <w:ind w:left="2"/>
        <w:rPr>
          <w:rFonts w:ascii="宋体" w:hAnsi="宋体" w:eastAsia="宋体" w:cs="宋体"/>
          <w:strike/>
          <w:dstrike w:val="0"/>
          <w:color w:val="auto"/>
          <w:sz w:val="27"/>
          <w:szCs w:val="27"/>
          <w:highlight w:val="none"/>
        </w:rPr>
      </w:pPr>
      <w:r>
        <w:rPr>
          <w:rFonts w:ascii="Times New Roman" w:hAnsi="Times New Roman" w:eastAsia="Times New Roman" w:cs="Times New Roman"/>
          <w:b/>
          <w:bCs/>
          <w:strike/>
          <w:dstrike w:val="0"/>
          <w:color w:val="auto"/>
          <w:spacing w:val="3"/>
          <w:sz w:val="27"/>
          <w:szCs w:val="27"/>
          <w:highlight w:val="none"/>
        </w:rPr>
        <w:t>2</w:t>
      </w:r>
      <w:r>
        <w:rPr>
          <w:rFonts w:ascii="Times New Roman" w:hAnsi="Times New Roman" w:eastAsia="Times New Roman" w:cs="Times New Roman"/>
          <w:b/>
          <w:bCs/>
          <w:strike/>
          <w:dstrike w:val="0"/>
          <w:color w:val="auto"/>
          <w:spacing w:val="9"/>
          <w:sz w:val="27"/>
          <w:szCs w:val="27"/>
          <w:highlight w:val="none"/>
        </w:rPr>
        <w:t xml:space="preserve">  </w:t>
      </w:r>
      <w:r>
        <w:rPr>
          <w:rFonts w:ascii="宋体" w:hAnsi="宋体" w:eastAsia="宋体" w:cs="宋体"/>
          <w:b/>
          <w:bCs/>
          <w:strike/>
          <w:dstrike w:val="0"/>
          <w:color w:val="auto"/>
          <w:spacing w:val="3"/>
          <w:sz w:val="27"/>
          <w:szCs w:val="27"/>
          <w:highlight w:val="none"/>
        </w:rPr>
        <w:t>评标原则</w:t>
      </w:r>
    </w:p>
    <w:p w14:paraId="156758BA">
      <w:pPr>
        <w:pStyle w:val="8"/>
        <w:spacing w:line="246" w:lineRule="auto"/>
        <w:rPr>
          <w:strike/>
          <w:dstrike w:val="0"/>
          <w:color w:val="auto"/>
          <w:highlight w:val="none"/>
        </w:rPr>
      </w:pPr>
    </w:p>
    <w:p w14:paraId="597281F1">
      <w:pPr>
        <w:spacing w:before="78" w:line="219" w:lineRule="auto"/>
        <w:ind w:left="4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评标应遵循公平、公正、科学、择优的原则。</w:t>
      </w:r>
    </w:p>
    <w:p w14:paraId="62A44FE1">
      <w:pPr>
        <w:spacing w:before="308" w:line="227" w:lineRule="auto"/>
        <w:rPr>
          <w:rFonts w:ascii="宋体" w:hAnsi="宋体" w:eastAsia="宋体" w:cs="宋体"/>
          <w:strike/>
          <w:dstrike w:val="0"/>
          <w:color w:val="auto"/>
          <w:sz w:val="27"/>
          <w:szCs w:val="27"/>
          <w:highlight w:val="none"/>
        </w:rPr>
      </w:pPr>
      <w:r>
        <w:rPr>
          <w:rFonts w:ascii="Times New Roman" w:hAnsi="Times New Roman" w:eastAsia="Times New Roman" w:cs="Times New Roman"/>
          <w:b/>
          <w:bCs/>
          <w:strike/>
          <w:dstrike w:val="0"/>
          <w:color w:val="auto"/>
          <w:spacing w:val="4"/>
          <w:sz w:val="27"/>
          <w:szCs w:val="27"/>
          <w:highlight w:val="none"/>
        </w:rPr>
        <w:t>3</w:t>
      </w:r>
      <w:r>
        <w:rPr>
          <w:rFonts w:ascii="Times New Roman" w:hAnsi="Times New Roman" w:eastAsia="Times New Roman" w:cs="Times New Roman"/>
          <w:b/>
          <w:bCs/>
          <w:strike/>
          <w:dstrike w:val="0"/>
          <w:color w:val="auto"/>
          <w:spacing w:val="7"/>
          <w:sz w:val="27"/>
          <w:szCs w:val="27"/>
          <w:highlight w:val="none"/>
        </w:rPr>
        <w:t xml:space="preserve">  </w:t>
      </w:r>
      <w:r>
        <w:rPr>
          <w:rFonts w:ascii="宋体" w:hAnsi="宋体" w:eastAsia="宋体" w:cs="宋体"/>
          <w:b/>
          <w:bCs/>
          <w:strike/>
          <w:dstrike w:val="0"/>
          <w:color w:val="auto"/>
          <w:spacing w:val="4"/>
          <w:sz w:val="27"/>
          <w:szCs w:val="27"/>
          <w:highlight w:val="none"/>
        </w:rPr>
        <w:t>评标组织</w:t>
      </w:r>
    </w:p>
    <w:p w14:paraId="15AB6E7F">
      <w:pPr>
        <w:pStyle w:val="8"/>
        <w:spacing w:line="246" w:lineRule="auto"/>
        <w:rPr>
          <w:strike/>
          <w:dstrike w:val="0"/>
          <w:color w:val="auto"/>
          <w:highlight w:val="none"/>
        </w:rPr>
      </w:pPr>
    </w:p>
    <w:p w14:paraId="5479FDE7">
      <w:pPr>
        <w:spacing w:before="78" w:line="361" w:lineRule="auto"/>
        <w:ind w:left="6" w:firstLine="47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评标工作由招标人依法组建的评标委员会负责，评标委员会的组建办法详见投标</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6"/>
          <w:sz w:val="24"/>
          <w:szCs w:val="24"/>
          <w:highlight w:val="none"/>
        </w:rPr>
        <w:t>人须知前附表。</w:t>
      </w:r>
    </w:p>
    <w:p w14:paraId="690F30A0">
      <w:pPr>
        <w:spacing w:before="122" w:line="226" w:lineRule="auto"/>
        <w:ind w:left="2"/>
        <w:rPr>
          <w:rFonts w:ascii="宋体" w:hAnsi="宋体" w:eastAsia="宋体" w:cs="宋体"/>
          <w:strike/>
          <w:dstrike w:val="0"/>
          <w:color w:val="auto"/>
          <w:sz w:val="27"/>
          <w:szCs w:val="27"/>
          <w:highlight w:val="none"/>
        </w:rPr>
      </w:pPr>
      <w:r>
        <w:rPr>
          <w:rFonts w:ascii="Times New Roman" w:hAnsi="Times New Roman" w:eastAsia="Times New Roman" w:cs="Times New Roman"/>
          <w:b/>
          <w:bCs/>
          <w:strike/>
          <w:dstrike w:val="0"/>
          <w:color w:val="auto"/>
          <w:spacing w:val="5"/>
          <w:sz w:val="27"/>
          <w:szCs w:val="27"/>
          <w:highlight w:val="none"/>
        </w:rPr>
        <w:t xml:space="preserve">4  </w:t>
      </w:r>
      <w:r>
        <w:rPr>
          <w:rFonts w:ascii="宋体" w:hAnsi="宋体" w:eastAsia="宋体" w:cs="宋体"/>
          <w:b/>
          <w:bCs/>
          <w:strike/>
          <w:dstrike w:val="0"/>
          <w:color w:val="auto"/>
          <w:spacing w:val="5"/>
          <w:sz w:val="27"/>
          <w:szCs w:val="27"/>
          <w:highlight w:val="none"/>
        </w:rPr>
        <w:t>评标程序和内容</w:t>
      </w:r>
    </w:p>
    <w:p w14:paraId="2E87A4DB">
      <w:pPr>
        <w:pStyle w:val="8"/>
        <w:spacing w:line="248" w:lineRule="auto"/>
        <w:rPr>
          <w:strike/>
          <w:dstrike w:val="0"/>
          <w:color w:val="auto"/>
          <w:highlight w:val="none"/>
        </w:rPr>
      </w:pPr>
    </w:p>
    <w:p w14:paraId="2F739EF3">
      <w:pPr>
        <w:spacing w:before="78" w:line="223" w:lineRule="auto"/>
        <w:ind w:left="1"/>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4.1  </w:t>
      </w:r>
      <w:r>
        <w:rPr>
          <w:rFonts w:ascii="楷体" w:hAnsi="楷体" w:eastAsia="楷体" w:cs="楷体"/>
          <w:b/>
          <w:bCs/>
          <w:strike/>
          <w:dstrike w:val="0"/>
          <w:color w:val="auto"/>
          <w:spacing w:val="-2"/>
          <w:sz w:val="24"/>
          <w:szCs w:val="24"/>
          <w:highlight w:val="none"/>
        </w:rPr>
        <w:t>评标的一般程序</w:t>
      </w:r>
    </w:p>
    <w:p w14:paraId="4E19F659">
      <w:pPr>
        <w:spacing w:before="177"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）熟悉招标文件和评标办法。</w:t>
      </w:r>
    </w:p>
    <w:p w14:paraId="5559CBE7">
      <w:pPr>
        <w:spacing w:before="180" w:line="220" w:lineRule="auto"/>
        <w:ind w:left="56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）投标文件的符合性审查。</w:t>
      </w:r>
    </w:p>
    <w:p w14:paraId="06EFBE0B">
      <w:pPr>
        <w:spacing w:before="181"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）投标文件的技术评审。</w:t>
      </w:r>
    </w:p>
    <w:p w14:paraId="34CC94E7">
      <w:pPr>
        <w:spacing w:before="181"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4</w:t>
      </w:r>
      <w:r>
        <w:rPr>
          <w:rFonts w:ascii="宋体" w:hAnsi="宋体" w:eastAsia="宋体" w:cs="宋体"/>
          <w:strike/>
          <w:dstrike w:val="0"/>
          <w:color w:val="auto"/>
          <w:spacing w:val="-4"/>
          <w:sz w:val="24"/>
          <w:szCs w:val="24"/>
          <w:highlight w:val="none"/>
        </w:rPr>
        <w:t>）投标文件的资信评审。</w:t>
      </w:r>
    </w:p>
    <w:p w14:paraId="2CF5552C">
      <w:pPr>
        <w:spacing w:before="181"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5</w:t>
      </w:r>
      <w:r>
        <w:rPr>
          <w:rFonts w:ascii="宋体" w:hAnsi="宋体" w:eastAsia="宋体" w:cs="宋体"/>
          <w:strike/>
          <w:dstrike w:val="0"/>
          <w:color w:val="auto"/>
          <w:spacing w:val="-4"/>
          <w:sz w:val="24"/>
          <w:szCs w:val="24"/>
          <w:highlight w:val="none"/>
        </w:rPr>
        <w:t>）投标文件的商务评审。</w:t>
      </w:r>
    </w:p>
    <w:p w14:paraId="0F013675">
      <w:pPr>
        <w:spacing w:before="182" w:line="290" w:lineRule="auto"/>
        <w:ind w:left="7" w:right="6" w:firstLine="51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）必要时对投标文件中的问题进行询标，拟作出否决投标决定前，应对相关</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5"/>
          <w:sz w:val="24"/>
          <w:szCs w:val="24"/>
          <w:highlight w:val="none"/>
        </w:rPr>
        <w:t>投标人进行询问核实。</w:t>
      </w:r>
    </w:p>
    <w:p w14:paraId="0DF5735B">
      <w:pPr>
        <w:spacing w:before="180" w:line="219"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7</w:t>
      </w:r>
      <w:r>
        <w:rPr>
          <w:rFonts w:ascii="宋体" w:hAnsi="宋体" w:eastAsia="宋体" w:cs="宋体"/>
          <w:strike/>
          <w:dstrike w:val="0"/>
          <w:color w:val="auto"/>
          <w:spacing w:val="-5"/>
          <w:sz w:val="24"/>
          <w:szCs w:val="24"/>
          <w:highlight w:val="none"/>
        </w:rPr>
        <w:t>）推荐中标候选人。</w:t>
      </w:r>
    </w:p>
    <w:p w14:paraId="51ED2116">
      <w:pPr>
        <w:spacing w:before="182" w:line="218"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8</w:t>
      </w:r>
      <w:r>
        <w:rPr>
          <w:rFonts w:ascii="宋体" w:hAnsi="宋体" w:eastAsia="宋体" w:cs="宋体"/>
          <w:strike/>
          <w:dstrike w:val="0"/>
          <w:color w:val="auto"/>
          <w:spacing w:val="-5"/>
          <w:sz w:val="24"/>
          <w:szCs w:val="24"/>
          <w:highlight w:val="none"/>
        </w:rPr>
        <w:t>）完成评标报告。</w:t>
      </w:r>
    </w:p>
    <w:p w14:paraId="3A4960EB">
      <w:pPr>
        <w:spacing w:line="218" w:lineRule="auto"/>
        <w:rPr>
          <w:rFonts w:ascii="宋体" w:hAnsi="宋体" w:eastAsia="宋体" w:cs="宋体"/>
          <w:strike/>
          <w:dstrike w:val="0"/>
          <w:color w:val="auto"/>
          <w:sz w:val="24"/>
          <w:szCs w:val="24"/>
          <w:highlight w:val="none"/>
        </w:rPr>
        <w:sectPr>
          <w:footerReference r:id="rId65" w:type="default"/>
          <w:pgSz w:w="11905" w:h="16840"/>
          <w:pgMar w:top="400" w:right="1528" w:bottom="1255" w:left="1592" w:header="0" w:footer="1093" w:gutter="0"/>
          <w:pgNumType w:fmt="decimal"/>
          <w:cols w:space="720" w:num="1"/>
        </w:sectPr>
      </w:pPr>
    </w:p>
    <w:p w14:paraId="36F33220">
      <w:pPr>
        <w:pStyle w:val="8"/>
        <w:spacing w:line="247" w:lineRule="auto"/>
        <w:rPr>
          <w:strike/>
          <w:dstrike w:val="0"/>
          <w:color w:val="auto"/>
          <w:highlight w:val="none"/>
        </w:rPr>
      </w:pPr>
    </w:p>
    <w:p w14:paraId="350EA073">
      <w:pPr>
        <w:pStyle w:val="8"/>
        <w:spacing w:line="247" w:lineRule="auto"/>
        <w:rPr>
          <w:strike/>
          <w:dstrike w:val="0"/>
          <w:color w:val="auto"/>
          <w:highlight w:val="none"/>
        </w:rPr>
      </w:pPr>
    </w:p>
    <w:p w14:paraId="1FBA5185">
      <w:pPr>
        <w:pStyle w:val="8"/>
        <w:spacing w:line="247" w:lineRule="auto"/>
        <w:rPr>
          <w:strike/>
          <w:dstrike w:val="0"/>
          <w:color w:val="auto"/>
          <w:highlight w:val="none"/>
        </w:rPr>
      </w:pPr>
    </w:p>
    <w:p w14:paraId="27F223F9">
      <w:pPr>
        <w:pStyle w:val="8"/>
        <w:spacing w:line="248" w:lineRule="auto"/>
        <w:rPr>
          <w:strike/>
          <w:dstrike w:val="0"/>
          <w:color w:val="auto"/>
          <w:highlight w:val="none"/>
        </w:rPr>
      </w:pPr>
    </w:p>
    <w:p w14:paraId="635B1796">
      <w:pPr>
        <w:spacing w:before="91" w:line="216" w:lineRule="auto"/>
        <w:ind w:left="3345"/>
        <w:rPr>
          <w:rFonts w:ascii="等线" w:hAnsi="等线" w:eastAsia="等线" w:cs="等线"/>
          <w:strike/>
          <w:dstrike w:val="0"/>
          <w:color w:val="auto"/>
          <w:sz w:val="27"/>
          <w:szCs w:val="27"/>
          <w:highlight w:val="none"/>
        </w:rPr>
      </w:pPr>
      <w:r>
        <w:rPr>
          <w:rFonts w:ascii="等线" w:hAnsi="等线" w:eastAsia="等线" w:cs="等线"/>
          <w:b/>
          <w:bCs/>
          <w:strike/>
          <w:dstrike w:val="0"/>
          <w:color w:val="auto"/>
          <w:spacing w:val="7"/>
          <w:sz w:val="27"/>
          <w:szCs w:val="27"/>
          <w:highlight w:val="none"/>
        </w:rPr>
        <w:t>第⼀节</w:t>
      </w:r>
      <w:r>
        <w:rPr>
          <w:rFonts w:ascii="等线" w:hAnsi="等线" w:eastAsia="等线" w:cs="等线"/>
          <w:b/>
          <w:bCs/>
          <w:strike/>
          <w:dstrike w:val="0"/>
          <w:color w:val="auto"/>
          <w:spacing w:val="1"/>
          <w:sz w:val="27"/>
          <w:szCs w:val="27"/>
          <w:highlight w:val="none"/>
        </w:rPr>
        <w:t xml:space="preserve">  </w:t>
      </w:r>
      <w:r>
        <w:rPr>
          <w:rFonts w:ascii="等线" w:hAnsi="等线" w:eastAsia="等线" w:cs="等线"/>
          <w:b/>
          <w:bCs/>
          <w:strike/>
          <w:dstrike w:val="0"/>
          <w:color w:val="auto"/>
          <w:spacing w:val="7"/>
          <w:sz w:val="27"/>
          <w:szCs w:val="27"/>
          <w:highlight w:val="none"/>
        </w:rPr>
        <w:t>评标办法</w:t>
      </w:r>
    </w:p>
    <w:p w14:paraId="7F103C42">
      <w:pPr>
        <w:pStyle w:val="8"/>
        <w:spacing w:line="269" w:lineRule="auto"/>
        <w:rPr>
          <w:strike/>
          <w:dstrike w:val="0"/>
          <w:color w:val="auto"/>
          <w:highlight w:val="none"/>
        </w:rPr>
      </w:pPr>
    </w:p>
    <w:p w14:paraId="76B8E8F5">
      <w:pPr>
        <w:spacing w:before="78"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4.2  </w:t>
      </w:r>
      <w:r>
        <w:rPr>
          <w:rFonts w:ascii="楷体" w:hAnsi="楷体" w:eastAsia="楷体" w:cs="楷体"/>
          <w:b/>
          <w:bCs/>
          <w:strike/>
          <w:dstrike w:val="0"/>
          <w:color w:val="auto"/>
          <w:spacing w:val="-2"/>
          <w:sz w:val="24"/>
          <w:szCs w:val="24"/>
          <w:highlight w:val="none"/>
        </w:rPr>
        <w:t>投标文件的符合性审查</w:t>
      </w:r>
    </w:p>
    <w:p w14:paraId="462E01F6">
      <w:pPr>
        <w:spacing w:before="177" w:line="324" w:lineRule="auto"/>
        <w:ind w:left="2" w:firstLine="54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4.2.1  </w:t>
      </w:r>
      <w:r>
        <w:rPr>
          <w:rFonts w:ascii="宋体" w:hAnsi="宋体" w:eastAsia="宋体" w:cs="宋体"/>
          <w:strike/>
          <w:dstrike w:val="0"/>
          <w:color w:val="auto"/>
          <w:spacing w:val="-1"/>
          <w:sz w:val="24"/>
          <w:szCs w:val="24"/>
          <w:highlight w:val="none"/>
        </w:rPr>
        <w:t>评标委员会应依照招标文件的要求和规定，</w:t>
      </w:r>
      <w:r>
        <w:rPr>
          <w:rFonts w:ascii="宋体" w:hAnsi="宋体" w:eastAsia="宋体" w:cs="宋体"/>
          <w:strike/>
          <w:dstrike w:val="0"/>
          <w:color w:val="auto"/>
          <w:spacing w:val="-2"/>
          <w:sz w:val="24"/>
          <w:szCs w:val="24"/>
          <w:highlight w:val="none"/>
        </w:rPr>
        <w:t>首先对投标人的投标资格和投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标文件进行符合性审查，符合性审查应包括三个方面内容：投标人资格审查、投标文</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3"/>
          <w:sz w:val="24"/>
          <w:szCs w:val="24"/>
          <w:highlight w:val="none"/>
        </w:rPr>
        <w:t>件实质性格式要求响应性审查、投标文件实质性内容要求响应性审查。符合性审查未</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通过的投标文件不再进入后续评审。</w:t>
      </w:r>
    </w:p>
    <w:p w14:paraId="1ABAA94B">
      <w:pPr>
        <w:spacing w:before="181" w:line="289" w:lineRule="auto"/>
        <w:ind w:left="23" w:right="1" w:firstLine="52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4.2.2  </w:t>
      </w:r>
      <w:r>
        <w:rPr>
          <w:rFonts w:ascii="宋体" w:hAnsi="宋体" w:eastAsia="宋体" w:cs="宋体"/>
          <w:strike/>
          <w:dstrike w:val="0"/>
          <w:color w:val="auto"/>
          <w:spacing w:val="-1"/>
          <w:sz w:val="24"/>
          <w:szCs w:val="24"/>
          <w:highlight w:val="none"/>
        </w:rPr>
        <w:t>投标人不得通过补充、修改或撤销投标文件中的内容使</w:t>
      </w:r>
      <w:r>
        <w:rPr>
          <w:rFonts w:ascii="宋体" w:hAnsi="宋体" w:eastAsia="宋体" w:cs="宋体"/>
          <w:strike/>
          <w:dstrike w:val="0"/>
          <w:color w:val="auto"/>
          <w:spacing w:val="-2"/>
          <w:sz w:val="24"/>
          <w:szCs w:val="24"/>
          <w:highlight w:val="none"/>
        </w:rPr>
        <w:t>其成为实质性响应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223B1F7D">
      <w:pPr>
        <w:spacing w:before="182" w:line="313" w:lineRule="auto"/>
        <w:ind w:left="1" w:firstLine="53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4.2.3  </w:t>
      </w:r>
      <w:r>
        <w:rPr>
          <w:rFonts w:ascii="宋体" w:hAnsi="宋体" w:eastAsia="宋体" w:cs="宋体"/>
          <w:strike/>
          <w:dstrike w:val="0"/>
          <w:color w:val="auto"/>
          <w:spacing w:val="-1"/>
          <w:sz w:val="24"/>
          <w:szCs w:val="24"/>
          <w:highlight w:val="none"/>
        </w:rPr>
        <w:t>投标文件如存在以下情况之一的，由评标委员会全体成员按照少数服从多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数的原则记名投票（不得弃权）认定，作为符合性审查未通过予以否决其投标，不再</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6"/>
          <w:sz w:val="24"/>
          <w:szCs w:val="24"/>
          <w:highlight w:val="none"/>
        </w:rPr>
        <w:t>进行技术和商务的评审：</w:t>
      </w:r>
    </w:p>
    <w:p w14:paraId="3AFBD171">
      <w:pPr>
        <w:spacing w:before="180" w:line="220" w:lineRule="auto"/>
        <w:ind w:left="57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21"/>
          <w:sz w:val="24"/>
          <w:szCs w:val="24"/>
          <w:highlight w:val="none"/>
        </w:rPr>
        <w:t xml:space="preserve"> </w:t>
      </w:r>
      <w:r>
        <w:rPr>
          <w:rFonts w:ascii="宋体" w:hAnsi="宋体" w:eastAsia="宋体" w:cs="宋体"/>
          <w:strike/>
          <w:dstrike w:val="0"/>
          <w:color w:val="auto"/>
          <w:spacing w:val="-7"/>
          <w:sz w:val="24"/>
          <w:szCs w:val="24"/>
          <w:highlight w:val="none"/>
        </w:rPr>
        <w:t>．技术标符合性审查未通过的情形：</w:t>
      </w:r>
    </w:p>
    <w:p w14:paraId="1E98AF02">
      <w:pPr>
        <w:spacing w:before="182" w:line="289" w:lineRule="auto"/>
        <w:ind w:left="2" w:right="11"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572098A5">
      <w:pPr>
        <w:spacing w:before="182" w:line="289" w:lineRule="auto"/>
        <w:ind w:left="8" w:right="11" w:firstLine="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）投标人法定代表人授权委托代理人签署投标文件，未提供有效的授权委托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书的或投标人法定代表人亲自签署投标文件</w:t>
      </w:r>
      <w:r>
        <w:rPr>
          <w:rFonts w:ascii="宋体" w:hAnsi="宋体" w:eastAsia="宋体" w:cs="宋体"/>
          <w:strike/>
          <w:dstrike w:val="0"/>
          <w:color w:val="auto"/>
          <w:spacing w:val="-2"/>
          <w:sz w:val="24"/>
          <w:szCs w:val="24"/>
          <w:highlight w:val="none"/>
        </w:rPr>
        <w:t>，未提供法定代表人身份证明的。</w:t>
      </w:r>
    </w:p>
    <w:p w14:paraId="1A671B2B">
      <w:pPr>
        <w:spacing w:before="182"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1B54C3BA">
      <w:pPr>
        <w:spacing w:before="182" w:line="289" w:lineRule="auto"/>
        <w:ind w:left="22" w:right="14" w:firstLine="53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）投标人的投标资格不满足招标文件载明的强制性要求的（以投标人</w:t>
      </w:r>
      <w:r>
        <w:rPr>
          <w:rFonts w:ascii="宋体" w:hAnsi="宋体" w:eastAsia="宋体" w:cs="宋体"/>
          <w:strike/>
          <w:dstrike w:val="0"/>
          <w:color w:val="auto"/>
          <w:spacing w:val="-3"/>
          <w:sz w:val="24"/>
          <w:szCs w:val="24"/>
          <w:highlight w:val="none"/>
        </w:rPr>
        <w:t>须知前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款实质性响应招标文件资料为准</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或不满足国家有关规定的。</w:t>
      </w:r>
    </w:p>
    <w:p w14:paraId="2A3381AB">
      <w:pPr>
        <w:spacing w:before="182" w:line="289" w:lineRule="auto"/>
        <w:ind w:left="4" w:right="12"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3C64B46A">
      <w:pPr>
        <w:spacing w:before="183" w:line="289" w:lineRule="auto"/>
        <w:ind w:left="2" w:right="1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）同一投标人提交两个以上不同的投标文件且未声明哪一个有效的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3CD6B817">
      <w:pPr>
        <w:spacing w:before="182" w:line="290" w:lineRule="auto"/>
        <w:ind w:left="4" w:right="10"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7</w:t>
      </w:r>
      <w:r>
        <w:rPr>
          <w:rFonts w:ascii="宋体" w:hAnsi="宋体" w:eastAsia="宋体" w:cs="宋体"/>
          <w:strike/>
          <w:dstrike w:val="0"/>
          <w:color w:val="auto"/>
          <w:spacing w:val="-2"/>
          <w:sz w:val="24"/>
          <w:szCs w:val="24"/>
          <w:highlight w:val="none"/>
        </w:rPr>
        <w:t>）投标人不以自己的名义或未按招标文件要求提供投标保证金或提供的投标</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保证金有缺陷而不能接受的。</w:t>
      </w:r>
    </w:p>
    <w:p w14:paraId="1C35C29A">
      <w:pPr>
        <w:spacing w:before="180" w:line="290" w:lineRule="auto"/>
        <w:ind w:left="7" w:firstLine="55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8</w:t>
      </w:r>
      <w:r>
        <w:rPr>
          <w:rFonts w:ascii="宋体" w:hAnsi="宋体" w:eastAsia="宋体" w:cs="宋体"/>
          <w:strike/>
          <w:dstrike w:val="0"/>
          <w:color w:val="auto"/>
          <w:spacing w:val="-7"/>
          <w:sz w:val="24"/>
          <w:szCs w:val="24"/>
          <w:highlight w:val="none"/>
        </w:rPr>
        <w:t>）投标工期和质量不满足招标文件要求的（以投标人须知前附表第</w:t>
      </w:r>
      <w:r>
        <w:rPr>
          <w:rFonts w:ascii="Times New Roman" w:hAnsi="Times New Roman" w:eastAsia="Times New Roman" w:cs="Times New Roman"/>
          <w:strike/>
          <w:dstrike w:val="0"/>
          <w:color w:val="auto"/>
          <w:spacing w:val="-7"/>
          <w:sz w:val="24"/>
          <w:szCs w:val="24"/>
          <w:highlight w:val="none"/>
        </w:rPr>
        <w:t>1.3.2</w:t>
      </w: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8"/>
          <w:sz w:val="24"/>
          <w:szCs w:val="24"/>
          <w:highlight w:val="none"/>
        </w:rPr>
        <w:t>.3.3</w:t>
      </w:r>
      <w:r>
        <w:rPr>
          <w:rFonts w:ascii="Times New Roman" w:hAnsi="Times New Roman" w:eastAsia="Times New Roman" w:cs="Times New Roman"/>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项为准）。</w:t>
      </w:r>
    </w:p>
    <w:p w14:paraId="1AC143C4">
      <w:pPr>
        <w:spacing w:before="179" w:line="290" w:lineRule="auto"/>
        <w:ind w:left="4" w:right="1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9</w:t>
      </w:r>
      <w:r>
        <w:rPr>
          <w:rFonts w:ascii="宋体" w:hAnsi="宋体" w:eastAsia="宋体" w:cs="宋体"/>
          <w:strike/>
          <w:dstrike w:val="0"/>
          <w:color w:val="auto"/>
          <w:spacing w:val="-2"/>
          <w:sz w:val="24"/>
          <w:szCs w:val="24"/>
          <w:highlight w:val="none"/>
        </w:rPr>
        <w:t>）采用的验收标准或主要技术指标达不到国家强制性标准或招标文件以下条</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1"/>
          <w:sz w:val="24"/>
          <w:szCs w:val="24"/>
          <w:highlight w:val="none"/>
        </w:rPr>
        <w:t>款规定的：</w:t>
      </w:r>
    </w:p>
    <w:p w14:paraId="0DE60249">
      <w:pPr>
        <w:spacing w:line="290" w:lineRule="auto"/>
        <w:rPr>
          <w:rFonts w:ascii="宋体" w:hAnsi="宋体" w:eastAsia="宋体" w:cs="宋体"/>
          <w:strike/>
          <w:dstrike w:val="0"/>
          <w:color w:val="auto"/>
          <w:sz w:val="24"/>
          <w:szCs w:val="24"/>
          <w:highlight w:val="none"/>
        </w:rPr>
        <w:sectPr>
          <w:footerReference r:id="rId66" w:type="default"/>
          <w:pgSz w:w="11905" w:h="16840"/>
          <w:pgMar w:top="400" w:right="1527" w:bottom="1255" w:left="1593" w:header="0" w:footer="1093" w:gutter="0"/>
          <w:pgNumType w:fmt="decimal"/>
          <w:cols w:space="720" w:num="1"/>
        </w:sectPr>
      </w:pPr>
    </w:p>
    <w:p w14:paraId="1D9A0E6C">
      <w:pPr>
        <w:pStyle w:val="8"/>
        <w:spacing w:line="247" w:lineRule="auto"/>
        <w:rPr>
          <w:strike/>
          <w:dstrike w:val="0"/>
          <w:color w:val="auto"/>
          <w:highlight w:val="none"/>
        </w:rPr>
      </w:pPr>
    </w:p>
    <w:p w14:paraId="7E391E73">
      <w:pPr>
        <w:pStyle w:val="8"/>
        <w:spacing w:line="247" w:lineRule="auto"/>
        <w:rPr>
          <w:strike/>
          <w:dstrike w:val="0"/>
          <w:color w:val="auto"/>
          <w:highlight w:val="none"/>
        </w:rPr>
      </w:pPr>
    </w:p>
    <w:p w14:paraId="635EC0BA">
      <w:pPr>
        <w:pStyle w:val="8"/>
        <w:spacing w:line="247" w:lineRule="auto"/>
        <w:rPr>
          <w:strike/>
          <w:dstrike w:val="0"/>
          <w:color w:val="auto"/>
          <w:highlight w:val="none"/>
        </w:rPr>
      </w:pPr>
    </w:p>
    <w:p w14:paraId="7A9BAE6A">
      <w:pPr>
        <w:pStyle w:val="8"/>
        <w:spacing w:line="247" w:lineRule="auto"/>
        <w:rPr>
          <w:strike/>
          <w:dstrike w:val="0"/>
          <w:color w:val="auto"/>
          <w:highlight w:val="none"/>
        </w:rPr>
      </w:pPr>
    </w:p>
    <w:p w14:paraId="6D2CCEF4">
      <w:pPr>
        <w:spacing w:before="81" w:line="213" w:lineRule="auto"/>
        <w:ind w:left="602"/>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17"/>
          <w:sz w:val="25"/>
          <w:szCs w:val="25"/>
          <w:highlight w:val="none"/>
        </w:rPr>
        <w:t>……</w:t>
      </w:r>
      <w:r>
        <w:rPr>
          <w:rFonts w:ascii="宋体" w:hAnsi="宋体" w:eastAsia="宋体" w:cs="宋体"/>
          <w:strike/>
          <w:dstrike w:val="0"/>
          <w:color w:val="auto"/>
          <w:spacing w:val="59"/>
          <w:sz w:val="25"/>
          <w:szCs w:val="25"/>
          <w:highlight w:val="none"/>
        </w:rPr>
        <w:t xml:space="preserve"> </w:t>
      </w:r>
      <w:r>
        <w:rPr>
          <w:rFonts w:ascii="宋体" w:hAnsi="宋体" w:eastAsia="宋体" w:cs="宋体"/>
          <w:i/>
          <w:iCs/>
          <w:strike/>
          <w:dstrike w:val="0"/>
          <w:color w:val="auto"/>
          <w:spacing w:val="-17"/>
          <w:sz w:val="25"/>
          <w:szCs w:val="25"/>
          <w:highlight w:val="none"/>
        </w:rPr>
        <w:t>（由招标人自行扩充，如无，请填“无”）</w:t>
      </w:r>
    </w:p>
    <w:p w14:paraId="76C7397A">
      <w:pPr>
        <w:spacing w:before="178" w:line="290" w:lineRule="auto"/>
        <w:ind w:left="10" w:right="304"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10</w:t>
      </w:r>
      <w:r>
        <w:rPr>
          <w:rFonts w:ascii="宋体" w:hAnsi="宋体" w:eastAsia="宋体" w:cs="宋体"/>
          <w:strike/>
          <w:dstrike w:val="0"/>
          <w:color w:val="auto"/>
          <w:spacing w:val="1"/>
          <w:sz w:val="24"/>
          <w:szCs w:val="24"/>
          <w:highlight w:val="none"/>
        </w:rPr>
        <w:t>）采用的施工工艺、方法或质量安全管理措施不能满足国家强制性标准或</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9"/>
          <w:sz w:val="24"/>
          <w:szCs w:val="24"/>
          <w:highlight w:val="none"/>
        </w:rPr>
        <w:t>要求的。</w:t>
      </w:r>
    </w:p>
    <w:p w14:paraId="0284247C">
      <w:pPr>
        <w:spacing w:before="180" w:line="289" w:lineRule="auto"/>
        <w:ind w:left="11" w:right="294"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11</w:t>
      </w:r>
      <w:r>
        <w:rPr>
          <w:rFonts w:ascii="宋体" w:hAnsi="宋体" w:eastAsia="宋体" w:cs="宋体"/>
          <w:strike/>
          <w:dstrike w:val="0"/>
          <w:color w:val="auto"/>
          <w:spacing w:val="-4"/>
          <w:sz w:val="24"/>
          <w:szCs w:val="24"/>
          <w:highlight w:val="none"/>
        </w:rPr>
        <w:t>）投标人存在投标人须知第“</w:t>
      </w:r>
      <w:r>
        <w:rPr>
          <w:rFonts w:ascii="Times New Roman" w:hAnsi="Times New Roman" w:eastAsia="Times New Roman" w:cs="Times New Roman"/>
          <w:strike/>
          <w:dstrike w:val="0"/>
          <w:color w:val="auto"/>
          <w:spacing w:val="-4"/>
          <w:sz w:val="24"/>
          <w:szCs w:val="24"/>
          <w:highlight w:val="none"/>
        </w:rPr>
        <w:t xml:space="preserve">1.4.3  </w:t>
      </w:r>
      <w:r>
        <w:rPr>
          <w:rFonts w:ascii="宋体" w:hAnsi="宋体" w:eastAsia="宋体" w:cs="宋体"/>
          <w:strike/>
          <w:dstrike w:val="0"/>
          <w:color w:val="auto"/>
          <w:spacing w:val="-4"/>
          <w:sz w:val="24"/>
          <w:szCs w:val="24"/>
          <w:highlight w:val="none"/>
        </w:rPr>
        <w:t>投标人不得存在下列情形之一</w:t>
      </w:r>
      <w:r>
        <w:rPr>
          <w:rFonts w:ascii="Times New Roman" w:hAnsi="Times New Roman" w:eastAsia="Times New Roman" w:cs="Times New Roman"/>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项或</w:t>
      </w:r>
      <w:r>
        <w:rPr>
          <w:rFonts w:ascii="宋体" w:hAnsi="宋体" w:eastAsia="宋体" w:cs="宋体"/>
          <w:strike/>
          <w:dstrike w:val="0"/>
          <w:color w:val="auto"/>
          <w:spacing w:val="-5"/>
          <w:sz w:val="24"/>
          <w:szCs w:val="24"/>
          <w:highlight w:val="none"/>
        </w:rPr>
        <w:t>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w:t>
      </w:r>
      <w:r>
        <w:rPr>
          <w:rFonts w:ascii="宋体" w:hAnsi="宋体" w:eastAsia="宋体" w:cs="宋体"/>
          <w:strike/>
          <w:dstrike w:val="0"/>
          <w:color w:val="auto"/>
          <w:spacing w:val="-2"/>
          <w:sz w:val="24"/>
          <w:szCs w:val="24"/>
          <w:highlight w:val="none"/>
        </w:rPr>
        <w:t>的。</w:t>
      </w:r>
    </w:p>
    <w:p w14:paraId="1E28E7C1">
      <w:pPr>
        <w:spacing w:before="181" w:line="213" w:lineRule="auto"/>
        <w:ind w:left="565"/>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12</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60"/>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70F5AA4A">
      <w:pPr>
        <w:spacing w:before="178" w:line="219" w:lineRule="auto"/>
        <w:ind w:left="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13</w:t>
      </w:r>
      <w:r>
        <w:rPr>
          <w:rFonts w:ascii="宋体" w:hAnsi="宋体" w:eastAsia="宋体" w:cs="宋体"/>
          <w:strike/>
          <w:dstrike w:val="0"/>
          <w:color w:val="auto"/>
          <w:spacing w:val="-2"/>
          <w:sz w:val="24"/>
          <w:szCs w:val="24"/>
          <w:highlight w:val="none"/>
        </w:rPr>
        <w:t>）存在法律、法规、规章规定的其他无效投标情况的。</w:t>
      </w:r>
    </w:p>
    <w:p w14:paraId="427FD30D">
      <w:pPr>
        <w:spacing w:before="182" w:line="220" w:lineRule="auto"/>
        <w:ind w:left="55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2</w:t>
      </w:r>
      <w:r>
        <w:rPr>
          <w:rFonts w:ascii="Times New Roman" w:hAnsi="Times New Roman" w:eastAsia="Times New Roman" w:cs="Times New Roman"/>
          <w:strike/>
          <w:dstrike w:val="0"/>
          <w:color w:val="auto"/>
          <w:spacing w:val="-15"/>
          <w:sz w:val="24"/>
          <w:szCs w:val="24"/>
          <w:highlight w:val="none"/>
        </w:rPr>
        <w:t xml:space="preserve"> </w:t>
      </w:r>
      <w:r>
        <w:rPr>
          <w:rFonts w:ascii="宋体" w:hAnsi="宋体" w:eastAsia="宋体" w:cs="宋体"/>
          <w:strike/>
          <w:dstrike w:val="0"/>
          <w:color w:val="auto"/>
          <w:spacing w:val="-6"/>
          <w:sz w:val="24"/>
          <w:szCs w:val="24"/>
          <w:highlight w:val="none"/>
        </w:rPr>
        <w:t>．商务标符合性审查未通过的情形：</w:t>
      </w:r>
    </w:p>
    <w:p w14:paraId="321FB361">
      <w:pPr>
        <w:spacing w:before="182" w:line="289" w:lineRule="auto"/>
        <w:ind w:left="8" w:right="304"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09B2F0F9">
      <w:pPr>
        <w:spacing w:before="183" w:line="289" w:lineRule="auto"/>
        <w:ind w:left="8" w:right="308"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）同一投标人提交两个以上不同的投标报价且未声明哪一个有效的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616471D2">
      <w:pPr>
        <w:spacing w:before="182" w:line="289" w:lineRule="auto"/>
        <w:ind w:left="8" w:right="30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）投标函载明的投标工期和质量不满足招标文件要求的（以投标人须知前附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表第</w:t>
      </w:r>
      <w:r>
        <w:rPr>
          <w:rFonts w:ascii="Times New Roman" w:hAnsi="Times New Roman" w:eastAsia="Times New Roman" w:cs="Times New Roman"/>
          <w:strike/>
          <w:dstrike w:val="0"/>
          <w:color w:val="auto"/>
          <w:spacing w:val="-4"/>
          <w:sz w:val="24"/>
          <w:szCs w:val="24"/>
          <w:highlight w:val="none"/>
        </w:rPr>
        <w:t>1.3.2</w:t>
      </w:r>
      <w:r>
        <w:rPr>
          <w:rFonts w:ascii="Times New Roman" w:hAnsi="Times New Roman" w:eastAsia="Times New Roman" w:cs="Times New Roman"/>
          <w:strike/>
          <w:dstrike w:val="0"/>
          <w:color w:val="auto"/>
          <w:spacing w:val="-26"/>
          <w:sz w:val="24"/>
          <w:szCs w:val="24"/>
          <w:highlight w:val="none"/>
        </w:rPr>
        <w:t xml:space="preserve"> </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1.3.3</w:t>
      </w:r>
      <w:r>
        <w:rPr>
          <w:rFonts w:ascii="宋体" w:hAnsi="宋体" w:eastAsia="宋体" w:cs="宋体"/>
          <w:strike/>
          <w:dstrike w:val="0"/>
          <w:color w:val="auto"/>
          <w:spacing w:val="-4"/>
          <w:sz w:val="24"/>
          <w:szCs w:val="24"/>
          <w:highlight w:val="none"/>
        </w:rPr>
        <w:t>项为准）。</w:t>
      </w:r>
    </w:p>
    <w:p w14:paraId="00F77BC8">
      <w:pPr>
        <w:spacing w:before="182" w:line="218" w:lineRule="auto"/>
        <w:ind w:left="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）投标报价高于招标文件设定的最高投标限价或分项限价的。</w:t>
      </w:r>
    </w:p>
    <w:p w14:paraId="50A199F8">
      <w:pPr>
        <w:spacing w:before="182" w:line="313" w:lineRule="auto"/>
        <w:ind w:left="9" w:right="209" w:firstLine="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）改变招标人提供的工程量清单中的项目编码、项目名</w:t>
      </w:r>
      <w:r>
        <w:rPr>
          <w:rFonts w:ascii="宋体" w:hAnsi="宋体" w:eastAsia="宋体" w:cs="宋体"/>
          <w:strike/>
          <w:dstrike w:val="0"/>
          <w:color w:val="auto"/>
          <w:sz w:val="24"/>
          <w:szCs w:val="24"/>
          <w:highlight w:val="none"/>
        </w:rPr>
        <w:t xml:space="preserve">称、项目主要特征、 </w:t>
      </w:r>
      <w:r>
        <w:rPr>
          <w:rFonts w:ascii="宋体" w:hAnsi="宋体" w:eastAsia="宋体" w:cs="宋体"/>
          <w:strike/>
          <w:dstrike w:val="0"/>
          <w:color w:val="auto"/>
          <w:spacing w:val="-3"/>
          <w:sz w:val="24"/>
          <w:szCs w:val="24"/>
          <w:highlight w:val="none"/>
        </w:rPr>
        <w:t>计量单位、工程数量、主要技术条款编码、金额等内容的（但按照国家规范所作的修</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改和招标文件规定的除外）。</w:t>
      </w:r>
    </w:p>
    <w:p w14:paraId="521BA482">
      <w:pPr>
        <w:spacing w:before="180" w:line="220" w:lineRule="auto"/>
        <w:ind w:left="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）投标人存在投标人须知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项规定情形之一的。</w:t>
      </w:r>
    </w:p>
    <w:p w14:paraId="244AD547">
      <w:pPr>
        <w:spacing w:before="182" w:line="213" w:lineRule="auto"/>
        <w:ind w:left="565"/>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7</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654EE516">
      <w:pPr>
        <w:spacing w:before="178" w:line="219" w:lineRule="auto"/>
        <w:ind w:left="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）存在法律、法规、规章规定的其他无效投标情况的。</w:t>
      </w:r>
    </w:p>
    <w:p w14:paraId="0E428CFD">
      <w:pPr>
        <w:spacing w:before="182" w:line="223"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  </w:t>
      </w:r>
      <w:r>
        <w:rPr>
          <w:rFonts w:ascii="楷体" w:hAnsi="楷体" w:eastAsia="楷体" w:cs="楷体"/>
          <w:b/>
          <w:bCs/>
          <w:strike/>
          <w:dstrike w:val="0"/>
          <w:color w:val="auto"/>
          <w:spacing w:val="-2"/>
          <w:sz w:val="24"/>
          <w:szCs w:val="24"/>
          <w:highlight w:val="none"/>
        </w:rPr>
        <w:t>投标文件的技术评审</w:t>
      </w:r>
    </w:p>
    <w:p w14:paraId="179D848B">
      <w:pPr>
        <w:spacing w:before="177" w:line="219" w:lineRule="auto"/>
        <w:ind w:left="54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评标委员会对通过符合性评审的投标文件进行技术评审。技术评</w:t>
      </w:r>
      <w:r>
        <w:rPr>
          <w:rFonts w:ascii="宋体" w:hAnsi="宋体" w:eastAsia="宋体" w:cs="宋体"/>
          <w:strike/>
          <w:dstrike w:val="0"/>
          <w:color w:val="auto"/>
          <w:spacing w:val="-3"/>
          <w:sz w:val="24"/>
          <w:szCs w:val="24"/>
          <w:highlight w:val="none"/>
        </w:rPr>
        <w:t>审内容见下表。</w:t>
      </w:r>
    </w:p>
    <w:p w14:paraId="231FFDB4">
      <w:pPr>
        <w:pStyle w:val="8"/>
        <w:spacing w:line="256" w:lineRule="auto"/>
        <w:rPr>
          <w:strike/>
          <w:dstrike w:val="0"/>
          <w:color w:val="auto"/>
          <w:highlight w:val="none"/>
        </w:rPr>
      </w:pPr>
    </w:p>
    <w:p w14:paraId="0D74E685">
      <w:pPr>
        <w:pStyle w:val="8"/>
        <w:spacing w:line="257" w:lineRule="auto"/>
        <w:rPr>
          <w:strike/>
          <w:dstrike w:val="0"/>
          <w:color w:val="auto"/>
          <w:highlight w:val="none"/>
        </w:rPr>
      </w:pPr>
    </w:p>
    <w:p w14:paraId="32F99C70">
      <w:pPr>
        <w:spacing w:before="78" w:line="220" w:lineRule="auto"/>
        <w:ind w:left="3559"/>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技术评审标准表</w:t>
      </w:r>
    </w:p>
    <w:p w14:paraId="45441B67">
      <w:pPr>
        <w:spacing w:line="120" w:lineRule="auto"/>
        <w:rPr>
          <w:rFonts w:ascii="Arial"/>
          <w:strike/>
          <w:dstrike w:val="0"/>
          <w:color w:val="auto"/>
          <w:sz w:val="2"/>
          <w:highlight w:val="none"/>
        </w:rPr>
      </w:pPr>
    </w:p>
    <w:tbl>
      <w:tblPr>
        <w:tblStyle w:val="16"/>
        <w:tblW w:w="906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5056"/>
        <w:gridCol w:w="828"/>
        <w:gridCol w:w="826"/>
        <w:gridCol w:w="828"/>
        <w:gridCol w:w="837"/>
      </w:tblGrid>
      <w:tr w14:paraId="676D0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691" w:type="dxa"/>
            <w:vMerge w:val="restart"/>
            <w:tcBorders>
              <w:top w:val="single" w:color="000000" w:sz="6" w:space="0"/>
              <w:left w:val="single" w:color="000000" w:sz="6" w:space="0"/>
              <w:bottom w:val="nil"/>
            </w:tcBorders>
            <w:vAlign w:val="top"/>
          </w:tcPr>
          <w:p w14:paraId="673BBBAA">
            <w:pPr>
              <w:spacing w:line="288" w:lineRule="auto"/>
              <w:rPr>
                <w:rFonts w:ascii="Arial"/>
                <w:strike/>
                <w:dstrike w:val="0"/>
                <w:color w:val="auto"/>
                <w:sz w:val="21"/>
                <w:highlight w:val="none"/>
              </w:rPr>
            </w:pPr>
          </w:p>
          <w:p w14:paraId="4BE4B6D5">
            <w:pPr>
              <w:pStyle w:val="17"/>
              <w:spacing w:before="69" w:line="221" w:lineRule="auto"/>
              <w:ind w:left="133"/>
              <w:rPr>
                <w:strike/>
                <w:dstrike w:val="0"/>
                <w:color w:val="auto"/>
                <w:sz w:val="21"/>
                <w:szCs w:val="21"/>
                <w:highlight w:val="none"/>
              </w:rPr>
            </w:pPr>
            <w:r>
              <w:rPr>
                <w:strike/>
                <w:dstrike w:val="0"/>
                <w:color w:val="auto"/>
                <w:spacing w:val="-2"/>
                <w:sz w:val="21"/>
                <w:szCs w:val="21"/>
                <w:highlight w:val="none"/>
              </w:rPr>
              <w:t>序号</w:t>
            </w:r>
          </w:p>
        </w:tc>
        <w:tc>
          <w:tcPr>
            <w:tcW w:w="5056" w:type="dxa"/>
            <w:vMerge w:val="restart"/>
            <w:tcBorders>
              <w:top w:val="single" w:color="000000" w:sz="6" w:space="0"/>
              <w:bottom w:val="nil"/>
            </w:tcBorders>
            <w:vAlign w:val="top"/>
          </w:tcPr>
          <w:p w14:paraId="65286014">
            <w:pPr>
              <w:spacing w:line="288" w:lineRule="auto"/>
              <w:rPr>
                <w:rFonts w:ascii="Arial"/>
                <w:strike/>
                <w:dstrike w:val="0"/>
                <w:color w:val="auto"/>
                <w:sz w:val="21"/>
                <w:highlight w:val="none"/>
              </w:rPr>
            </w:pPr>
          </w:p>
          <w:p w14:paraId="6DE9432D">
            <w:pPr>
              <w:pStyle w:val="17"/>
              <w:spacing w:before="68" w:line="220" w:lineRule="auto"/>
              <w:ind w:left="1822"/>
              <w:rPr>
                <w:strike/>
                <w:dstrike w:val="0"/>
                <w:color w:val="auto"/>
                <w:sz w:val="21"/>
                <w:szCs w:val="21"/>
                <w:highlight w:val="none"/>
              </w:rPr>
            </w:pPr>
            <w:r>
              <w:rPr>
                <w:strike/>
                <w:dstrike w:val="0"/>
                <w:color w:val="auto"/>
                <w:spacing w:val="-14"/>
                <w:sz w:val="21"/>
                <w:szCs w:val="21"/>
                <w:highlight w:val="none"/>
              </w:rPr>
              <w:t>内</w:t>
            </w:r>
            <w:r>
              <w:rPr>
                <w:strike/>
                <w:dstrike w:val="0"/>
                <w:color w:val="auto"/>
                <w:spacing w:val="6"/>
                <w:sz w:val="21"/>
                <w:szCs w:val="21"/>
                <w:highlight w:val="none"/>
              </w:rPr>
              <w:t xml:space="preserve">  </w:t>
            </w:r>
            <w:r>
              <w:rPr>
                <w:strike/>
                <w:dstrike w:val="0"/>
                <w:color w:val="auto"/>
                <w:spacing w:val="-14"/>
                <w:sz w:val="21"/>
                <w:szCs w:val="21"/>
                <w:highlight w:val="none"/>
              </w:rPr>
              <w:t>容</w:t>
            </w:r>
            <w:r>
              <w:rPr>
                <w:strike/>
                <w:dstrike w:val="0"/>
                <w:color w:val="auto"/>
                <w:spacing w:val="5"/>
                <w:sz w:val="21"/>
                <w:szCs w:val="21"/>
                <w:highlight w:val="none"/>
              </w:rPr>
              <w:t xml:space="preserve">  </w:t>
            </w:r>
            <w:r>
              <w:rPr>
                <w:strike/>
                <w:dstrike w:val="0"/>
                <w:color w:val="auto"/>
                <w:spacing w:val="-14"/>
                <w:sz w:val="21"/>
                <w:szCs w:val="21"/>
                <w:highlight w:val="none"/>
              </w:rPr>
              <w:t>要</w:t>
            </w:r>
            <w:r>
              <w:rPr>
                <w:strike/>
                <w:dstrike w:val="0"/>
                <w:color w:val="auto"/>
                <w:spacing w:val="4"/>
                <w:sz w:val="21"/>
                <w:szCs w:val="21"/>
                <w:highlight w:val="none"/>
              </w:rPr>
              <w:t xml:space="preserve">  </w:t>
            </w:r>
            <w:r>
              <w:rPr>
                <w:strike/>
                <w:dstrike w:val="0"/>
                <w:color w:val="auto"/>
                <w:spacing w:val="-14"/>
                <w:sz w:val="21"/>
                <w:szCs w:val="21"/>
                <w:highlight w:val="none"/>
              </w:rPr>
              <w:t>求</w:t>
            </w:r>
          </w:p>
        </w:tc>
        <w:tc>
          <w:tcPr>
            <w:tcW w:w="3319" w:type="dxa"/>
            <w:gridSpan w:val="4"/>
            <w:tcBorders>
              <w:top w:val="single" w:color="000000" w:sz="6" w:space="0"/>
              <w:right w:val="single" w:color="000000" w:sz="6" w:space="0"/>
            </w:tcBorders>
            <w:vAlign w:val="top"/>
          </w:tcPr>
          <w:p w14:paraId="24280BD6">
            <w:pPr>
              <w:pStyle w:val="17"/>
              <w:spacing w:before="126" w:line="220" w:lineRule="auto"/>
              <w:ind w:left="1243"/>
              <w:rPr>
                <w:strike/>
                <w:dstrike w:val="0"/>
                <w:color w:val="auto"/>
                <w:sz w:val="21"/>
                <w:szCs w:val="21"/>
                <w:highlight w:val="none"/>
              </w:rPr>
            </w:pPr>
            <w:r>
              <w:rPr>
                <w:strike/>
                <w:dstrike w:val="0"/>
                <w:color w:val="auto"/>
                <w:spacing w:val="-2"/>
                <w:sz w:val="21"/>
                <w:szCs w:val="21"/>
                <w:highlight w:val="none"/>
              </w:rPr>
              <w:t>评审意见</w:t>
            </w:r>
          </w:p>
        </w:tc>
      </w:tr>
      <w:tr w14:paraId="0D447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691" w:type="dxa"/>
            <w:vMerge w:val="continue"/>
            <w:tcBorders>
              <w:top w:val="nil"/>
              <w:left w:val="single" w:color="000000" w:sz="6" w:space="0"/>
            </w:tcBorders>
            <w:vAlign w:val="top"/>
          </w:tcPr>
          <w:p w14:paraId="3C0226FA">
            <w:pPr>
              <w:rPr>
                <w:rFonts w:ascii="Arial"/>
                <w:strike/>
                <w:dstrike w:val="0"/>
                <w:color w:val="auto"/>
                <w:sz w:val="21"/>
                <w:highlight w:val="none"/>
              </w:rPr>
            </w:pPr>
          </w:p>
        </w:tc>
        <w:tc>
          <w:tcPr>
            <w:tcW w:w="5056" w:type="dxa"/>
            <w:vMerge w:val="continue"/>
            <w:tcBorders>
              <w:top w:val="nil"/>
            </w:tcBorders>
            <w:vAlign w:val="top"/>
          </w:tcPr>
          <w:p w14:paraId="048061DD">
            <w:pPr>
              <w:rPr>
                <w:rFonts w:ascii="Arial"/>
                <w:strike/>
                <w:dstrike w:val="0"/>
                <w:color w:val="auto"/>
                <w:sz w:val="21"/>
                <w:highlight w:val="none"/>
              </w:rPr>
            </w:pPr>
          </w:p>
        </w:tc>
        <w:tc>
          <w:tcPr>
            <w:tcW w:w="828" w:type="dxa"/>
            <w:vAlign w:val="top"/>
          </w:tcPr>
          <w:p w14:paraId="4522418E">
            <w:pPr>
              <w:pStyle w:val="17"/>
              <w:spacing w:before="124" w:line="220" w:lineRule="auto"/>
              <w:ind w:left="314"/>
              <w:rPr>
                <w:strike/>
                <w:dstrike w:val="0"/>
                <w:color w:val="auto"/>
                <w:sz w:val="21"/>
                <w:szCs w:val="21"/>
                <w:highlight w:val="none"/>
              </w:rPr>
            </w:pPr>
            <w:r>
              <w:rPr>
                <w:strike/>
                <w:dstrike w:val="0"/>
                <w:color w:val="auto"/>
                <w:sz w:val="21"/>
                <w:szCs w:val="21"/>
                <w:highlight w:val="none"/>
              </w:rPr>
              <w:t>好</w:t>
            </w:r>
          </w:p>
        </w:tc>
        <w:tc>
          <w:tcPr>
            <w:tcW w:w="826" w:type="dxa"/>
            <w:vAlign w:val="top"/>
          </w:tcPr>
          <w:p w14:paraId="4DFB6584">
            <w:pPr>
              <w:pStyle w:val="17"/>
              <w:spacing w:before="124" w:line="220" w:lineRule="auto"/>
              <w:ind w:left="209"/>
              <w:rPr>
                <w:strike/>
                <w:dstrike w:val="0"/>
                <w:color w:val="auto"/>
                <w:sz w:val="21"/>
                <w:szCs w:val="21"/>
                <w:highlight w:val="none"/>
              </w:rPr>
            </w:pPr>
            <w:r>
              <w:rPr>
                <w:strike/>
                <w:dstrike w:val="0"/>
                <w:color w:val="auto"/>
                <w:spacing w:val="-1"/>
                <w:sz w:val="21"/>
                <w:szCs w:val="21"/>
                <w:highlight w:val="none"/>
              </w:rPr>
              <w:t>较好</w:t>
            </w:r>
          </w:p>
        </w:tc>
        <w:tc>
          <w:tcPr>
            <w:tcW w:w="828" w:type="dxa"/>
            <w:vAlign w:val="top"/>
          </w:tcPr>
          <w:p w14:paraId="3774BBC9">
            <w:pPr>
              <w:pStyle w:val="17"/>
              <w:spacing w:before="124" w:line="221" w:lineRule="auto"/>
              <w:ind w:left="215"/>
              <w:rPr>
                <w:strike/>
                <w:dstrike w:val="0"/>
                <w:color w:val="auto"/>
                <w:sz w:val="21"/>
                <w:szCs w:val="21"/>
                <w:highlight w:val="none"/>
              </w:rPr>
            </w:pPr>
            <w:r>
              <w:rPr>
                <w:strike/>
                <w:dstrike w:val="0"/>
                <w:color w:val="auto"/>
                <w:spacing w:val="-4"/>
                <w:sz w:val="21"/>
                <w:szCs w:val="21"/>
                <w:highlight w:val="none"/>
              </w:rPr>
              <w:t>一般</w:t>
            </w:r>
          </w:p>
        </w:tc>
        <w:tc>
          <w:tcPr>
            <w:tcW w:w="837" w:type="dxa"/>
            <w:tcBorders>
              <w:right w:val="single" w:color="000000" w:sz="6" w:space="0"/>
            </w:tcBorders>
            <w:vAlign w:val="top"/>
          </w:tcPr>
          <w:p w14:paraId="1264566E">
            <w:pPr>
              <w:pStyle w:val="17"/>
              <w:spacing w:before="124" w:line="227" w:lineRule="auto"/>
              <w:ind w:left="321"/>
              <w:rPr>
                <w:strike/>
                <w:dstrike w:val="0"/>
                <w:color w:val="auto"/>
                <w:sz w:val="21"/>
                <w:szCs w:val="21"/>
                <w:highlight w:val="none"/>
              </w:rPr>
            </w:pPr>
            <w:r>
              <w:rPr>
                <w:strike/>
                <w:dstrike w:val="0"/>
                <w:color w:val="auto"/>
                <w:sz w:val="21"/>
                <w:szCs w:val="21"/>
                <w:highlight w:val="none"/>
              </w:rPr>
              <w:t>差</w:t>
            </w:r>
          </w:p>
        </w:tc>
      </w:tr>
      <w:tr w14:paraId="2D2CD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691" w:type="dxa"/>
            <w:tcBorders>
              <w:left w:val="single" w:color="000000" w:sz="6" w:space="0"/>
            </w:tcBorders>
            <w:vAlign w:val="top"/>
          </w:tcPr>
          <w:p w14:paraId="00E7280C">
            <w:pPr>
              <w:spacing w:before="164" w:line="188" w:lineRule="auto"/>
              <w:ind w:left="30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5056" w:type="dxa"/>
            <w:vAlign w:val="top"/>
          </w:tcPr>
          <w:p w14:paraId="706326E4">
            <w:pPr>
              <w:pStyle w:val="17"/>
              <w:spacing w:before="166" w:line="158" w:lineRule="auto"/>
              <w:ind w:left="172"/>
              <w:rPr>
                <w:strike/>
                <w:dstrike w:val="0"/>
                <w:color w:val="auto"/>
                <w:sz w:val="22"/>
                <w:szCs w:val="22"/>
                <w:highlight w:val="none"/>
              </w:rPr>
            </w:pPr>
            <w:r>
              <w:rPr>
                <w:i/>
                <w:iCs/>
                <w:strike/>
                <w:dstrike w:val="0"/>
                <w:color w:val="auto"/>
                <w:spacing w:val="-16"/>
                <w:sz w:val="22"/>
                <w:szCs w:val="22"/>
                <w:highlight w:val="none"/>
              </w:rPr>
              <w:t>项目管理人员的配备和专业配置</w:t>
            </w:r>
          </w:p>
        </w:tc>
        <w:tc>
          <w:tcPr>
            <w:tcW w:w="828" w:type="dxa"/>
            <w:vAlign w:val="top"/>
          </w:tcPr>
          <w:p w14:paraId="23E8BA90">
            <w:pPr>
              <w:rPr>
                <w:rFonts w:ascii="Arial"/>
                <w:strike/>
                <w:dstrike w:val="0"/>
                <w:color w:val="auto"/>
                <w:sz w:val="21"/>
                <w:highlight w:val="none"/>
              </w:rPr>
            </w:pPr>
          </w:p>
        </w:tc>
        <w:tc>
          <w:tcPr>
            <w:tcW w:w="826" w:type="dxa"/>
            <w:vAlign w:val="top"/>
          </w:tcPr>
          <w:p w14:paraId="1E4DB007">
            <w:pPr>
              <w:rPr>
                <w:rFonts w:ascii="Arial"/>
                <w:strike/>
                <w:dstrike w:val="0"/>
                <w:color w:val="auto"/>
                <w:sz w:val="21"/>
                <w:highlight w:val="none"/>
              </w:rPr>
            </w:pPr>
          </w:p>
        </w:tc>
        <w:tc>
          <w:tcPr>
            <w:tcW w:w="828" w:type="dxa"/>
            <w:vAlign w:val="top"/>
          </w:tcPr>
          <w:p w14:paraId="7604E5C7">
            <w:pPr>
              <w:rPr>
                <w:rFonts w:ascii="Arial"/>
                <w:strike/>
                <w:dstrike w:val="0"/>
                <w:color w:val="auto"/>
                <w:sz w:val="21"/>
                <w:highlight w:val="none"/>
              </w:rPr>
            </w:pPr>
          </w:p>
        </w:tc>
        <w:tc>
          <w:tcPr>
            <w:tcW w:w="837" w:type="dxa"/>
            <w:tcBorders>
              <w:right w:val="single" w:color="000000" w:sz="6" w:space="0"/>
            </w:tcBorders>
            <w:vAlign w:val="top"/>
          </w:tcPr>
          <w:p w14:paraId="40C16DED">
            <w:pPr>
              <w:rPr>
                <w:rFonts w:ascii="Arial"/>
                <w:strike/>
                <w:dstrike w:val="0"/>
                <w:color w:val="auto"/>
                <w:sz w:val="21"/>
                <w:highlight w:val="none"/>
              </w:rPr>
            </w:pPr>
          </w:p>
        </w:tc>
      </w:tr>
      <w:tr w14:paraId="5840C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691" w:type="dxa"/>
            <w:tcBorders>
              <w:left w:val="single" w:color="000000" w:sz="6" w:space="0"/>
            </w:tcBorders>
            <w:vAlign w:val="top"/>
          </w:tcPr>
          <w:p w14:paraId="175B557C">
            <w:pPr>
              <w:spacing w:before="168" w:line="188" w:lineRule="auto"/>
              <w:ind w:left="28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2</w:t>
            </w:r>
          </w:p>
        </w:tc>
        <w:tc>
          <w:tcPr>
            <w:tcW w:w="5056" w:type="dxa"/>
            <w:vAlign w:val="top"/>
          </w:tcPr>
          <w:p w14:paraId="4963BE8F">
            <w:pPr>
              <w:pStyle w:val="17"/>
              <w:spacing w:before="173" w:line="184" w:lineRule="exact"/>
              <w:ind w:left="145"/>
              <w:rPr>
                <w:strike/>
                <w:dstrike w:val="0"/>
                <w:color w:val="auto"/>
                <w:sz w:val="22"/>
                <w:szCs w:val="22"/>
                <w:highlight w:val="none"/>
              </w:rPr>
            </w:pPr>
            <w:r>
              <w:rPr>
                <w:i/>
                <w:iCs/>
                <w:strike/>
                <w:dstrike w:val="0"/>
                <w:color w:val="auto"/>
                <w:spacing w:val="-14"/>
                <w:position w:val="-3"/>
                <w:sz w:val="22"/>
                <w:szCs w:val="22"/>
                <w:highlight w:val="none"/>
              </w:rPr>
              <w:t>施工总平面布置</w:t>
            </w:r>
          </w:p>
        </w:tc>
        <w:tc>
          <w:tcPr>
            <w:tcW w:w="828" w:type="dxa"/>
            <w:vAlign w:val="top"/>
          </w:tcPr>
          <w:p w14:paraId="7EBDD3C6">
            <w:pPr>
              <w:rPr>
                <w:rFonts w:ascii="Arial"/>
                <w:strike/>
                <w:dstrike w:val="0"/>
                <w:color w:val="auto"/>
                <w:sz w:val="21"/>
                <w:highlight w:val="none"/>
              </w:rPr>
            </w:pPr>
          </w:p>
        </w:tc>
        <w:tc>
          <w:tcPr>
            <w:tcW w:w="826" w:type="dxa"/>
            <w:vAlign w:val="top"/>
          </w:tcPr>
          <w:p w14:paraId="086CFDBE">
            <w:pPr>
              <w:rPr>
                <w:rFonts w:ascii="Arial"/>
                <w:strike/>
                <w:dstrike w:val="0"/>
                <w:color w:val="auto"/>
                <w:sz w:val="21"/>
                <w:highlight w:val="none"/>
              </w:rPr>
            </w:pPr>
          </w:p>
        </w:tc>
        <w:tc>
          <w:tcPr>
            <w:tcW w:w="828" w:type="dxa"/>
            <w:vAlign w:val="top"/>
          </w:tcPr>
          <w:p w14:paraId="0CDB217C">
            <w:pPr>
              <w:rPr>
                <w:rFonts w:ascii="Arial"/>
                <w:strike/>
                <w:dstrike w:val="0"/>
                <w:color w:val="auto"/>
                <w:sz w:val="21"/>
                <w:highlight w:val="none"/>
              </w:rPr>
            </w:pPr>
          </w:p>
        </w:tc>
        <w:tc>
          <w:tcPr>
            <w:tcW w:w="837" w:type="dxa"/>
            <w:tcBorders>
              <w:right w:val="single" w:color="000000" w:sz="6" w:space="0"/>
            </w:tcBorders>
            <w:vAlign w:val="top"/>
          </w:tcPr>
          <w:p w14:paraId="6A6CC9E9">
            <w:pPr>
              <w:rPr>
                <w:rFonts w:ascii="Arial"/>
                <w:strike/>
                <w:dstrike w:val="0"/>
                <w:color w:val="auto"/>
                <w:sz w:val="21"/>
                <w:highlight w:val="none"/>
              </w:rPr>
            </w:pPr>
          </w:p>
        </w:tc>
      </w:tr>
      <w:tr w14:paraId="2EEDB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91" w:type="dxa"/>
            <w:tcBorders>
              <w:left w:val="single" w:color="000000" w:sz="6" w:space="0"/>
              <w:bottom w:val="single" w:color="000000" w:sz="6" w:space="0"/>
            </w:tcBorders>
            <w:vAlign w:val="top"/>
          </w:tcPr>
          <w:p w14:paraId="1978A3D3">
            <w:pPr>
              <w:spacing w:before="171" w:line="188" w:lineRule="auto"/>
              <w:ind w:left="292"/>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3</w:t>
            </w:r>
          </w:p>
        </w:tc>
        <w:tc>
          <w:tcPr>
            <w:tcW w:w="5056" w:type="dxa"/>
            <w:tcBorders>
              <w:bottom w:val="single" w:color="000000" w:sz="6" w:space="0"/>
            </w:tcBorders>
            <w:vAlign w:val="top"/>
          </w:tcPr>
          <w:p w14:paraId="4E3969F9">
            <w:pPr>
              <w:pStyle w:val="17"/>
              <w:spacing w:before="176" w:line="184" w:lineRule="exact"/>
              <w:ind w:left="142"/>
              <w:rPr>
                <w:strike/>
                <w:dstrike w:val="0"/>
                <w:color w:val="auto"/>
                <w:sz w:val="22"/>
                <w:szCs w:val="22"/>
                <w:highlight w:val="none"/>
              </w:rPr>
            </w:pPr>
            <w:r>
              <w:rPr>
                <w:i/>
                <w:iCs/>
                <w:strike/>
                <w:dstrike w:val="0"/>
                <w:color w:val="auto"/>
                <w:spacing w:val="-14"/>
                <w:position w:val="-3"/>
                <w:sz w:val="22"/>
                <w:szCs w:val="22"/>
                <w:highlight w:val="none"/>
              </w:rPr>
              <w:t>施工进度计划</w:t>
            </w:r>
          </w:p>
        </w:tc>
        <w:tc>
          <w:tcPr>
            <w:tcW w:w="828" w:type="dxa"/>
            <w:tcBorders>
              <w:bottom w:val="single" w:color="000000" w:sz="6" w:space="0"/>
            </w:tcBorders>
            <w:vAlign w:val="top"/>
          </w:tcPr>
          <w:p w14:paraId="532BF4F2">
            <w:pPr>
              <w:rPr>
                <w:rFonts w:ascii="Arial"/>
                <w:strike/>
                <w:dstrike w:val="0"/>
                <w:color w:val="auto"/>
                <w:sz w:val="21"/>
                <w:highlight w:val="none"/>
              </w:rPr>
            </w:pPr>
          </w:p>
        </w:tc>
        <w:tc>
          <w:tcPr>
            <w:tcW w:w="826" w:type="dxa"/>
            <w:tcBorders>
              <w:bottom w:val="single" w:color="000000" w:sz="6" w:space="0"/>
            </w:tcBorders>
            <w:vAlign w:val="top"/>
          </w:tcPr>
          <w:p w14:paraId="16B4B721">
            <w:pPr>
              <w:rPr>
                <w:rFonts w:ascii="Arial"/>
                <w:strike/>
                <w:dstrike w:val="0"/>
                <w:color w:val="auto"/>
                <w:sz w:val="21"/>
                <w:highlight w:val="none"/>
              </w:rPr>
            </w:pPr>
          </w:p>
        </w:tc>
        <w:tc>
          <w:tcPr>
            <w:tcW w:w="828" w:type="dxa"/>
            <w:tcBorders>
              <w:bottom w:val="single" w:color="000000" w:sz="6" w:space="0"/>
            </w:tcBorders>
            <w:vAlign w:val="top"/>
          </w:tcPr>
          <w:p w14:paraId="6E3EA841">
            <w:pPr>
              <w:rPr>
                <w:rFonts w:ascii="Arial"/>
                <w:strike/>
                <w:dstrike w:val="0"/>
                <w:color w:val="auto"/>
                <w:sz w:val="21"/>
                <w:highlight w:val="none"/>
              </w:rPr>
            </w:pPr>
          </w:p>
        </w:tc>
        <w:tc>
          <w:tcPr>
            <w:tcW w:w="837" w:type="dxa"/>
            <w:tcBorders>
              <w:bottom w:val="single" w:color="000000" w:sz="6" w:space="0"/>
              <w:right w:val="single" w:color="000000" w:sz="6" w:space="0"/>
            </w:tcBorders>
            <w:vAlign w:val="top"/>
          </w:tcPr>
          <w:p w14:paraId="0C4D15DE">
            <w:pPr>
              <w:rPr>
                <w:rFonts w:ascii="Arial"/>
                <w:strike/>
                <w:dstrike w:val="0"/>
                <w:color w:val="auto"/>
                <w:sz w:val="21"/>
                <w:highlight w:val="none"/>
              </w:rPr>
            </w:pPr>
          </w:p>
        </w:tc>
      </w:tr>
    </w:tbl>
    <w:p w14:paraId="77E0C4E2">
      <w:pPr>
        <w:pStyle w:val="8"/>
        <w:rPr>
          <w:strike/>
          <w:dstrike w:val="0"/>
          <w:color w:val="auto"/>
          <w:highlight w:val="none"/>
        </w:rPr>
      </w:pPr>
    </w:p>
    <w:p w14:paraId="11472233">
      <w:pPr>
        <w:rPr>
          <w:strike/>
          <w:dstrike w:val="0"/>
          <w:color w:val="auto"/>
          <w:highlight w:val="none"/>
        </w:rPr>
        <w:sectPr>
          <w:footerReference r:id="rId67" w:type="default"/>
          <w:pgSz w:w="11905" w:h="16840"/>
          <w:pgMar w:top="400" w:right="1235" w:bottom="1255" w:left="1587" w:header="0" w:footer="1093" w:gutter="0"/>
          <w:pgNumType w:fmt="decimal"/>
          <w:cols w:space="720" w:num="1"/>
        </w:sectPr>
      </w:pPr>
    </w:p>
    <w:p w14:paraId="1F8779DB">
      <w:pPr>
        <w:spacing w:before="19"/>
        <w:rPr>
          <w:strike/>
          <w:dstrike w:val="0"/>
          <w:color w:val="auto"/>
          <w:highlight w:val="none"/>
        </w:rPr>
      </w:pPr>
    </w:p>
    <w:p w14:paraId="20316968">
      <w:pPr>
        <w:spacing w:before="19"/>
        <w:rPr>
          <w:strike/>
          <w:dstrike w:val="0"/>
          <w:color w:val="auto"/>
          <w:highlight w:val="none"/>
        </w:rPr>
      </w:pPr>
    </w:p>
    <w:p w14:paraId="65F1504F">
      <w:pPr>
        <w:spacing w:before="18"/>
        <w:rPr>
          <w:strike/>
          <w:dstrike w:val="0"/>
          <w:color w:val="auto"/>
          <w:highlight w:val="none"/>
        </w:rPr>
      </w:pPr>
    </w:p>
    <w:p w14:paraId="6B43054C">
      <w:pPr>
        <w:spacing w:before="18"/>
        <w:rPr>
          <w:strike/>
          <w:dstrike w:val="0"/>
          <w:color w:val="auto"/>
          <w:highlight w:val="none"/>
        </w:rPr>
      </w:pPr>
    </w:p>
    <w:tbl>
      <w:tblPr>
        <w:tblStyle w:val="16"/>
        <w:tblW w:w="906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5056"/>
        <w:gridCol w:w="828"/>
        <w:gridCol w:w="826"/>
        <w:gridCol w:w="828"/>
        <w:gridCol w:w="837"/>
      </w:tblGrid>
      <w:tr w14:paraId="4C3FE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691" w:type="dxa"/>
            <w:tcBorders>
              <w:top w:val="single" w:color="000000" w:sz="6" w:space="0"/>
              <w:left w:val="single" w:color="000000" w:sz="6" w:space="0"/>
            </w:tcBorders>
            <w:vAlign w:val="top"/>
          </w:tcPr>
          <w:p w14:paraId="52161A91">
            <w:pPr>
              <w:spacing w:before="162" w:line="188" w:lineRule="auto"/>
              <w:ind w:left="287"/>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4</w:t>
            </w:r>
          </w:p>
        </w:tc>
        <w:tc>
          <w:tcPr>
            <w:tcW w:w="5056" w:type="dxa"/>
            <w:tcBorders>
              <w:top w:val="single" w:color="000000" w:sz="6" w:space="0"/>
            </w:tcBorders>
            <w:vAlign w:val="top"/>
          </w:tcPr>
          <w:p w14:paraId="2B590E04">
            <w:pPr>
              <w:pStyle w:val="17"/>
              <w:spacing w:before="166" w:line="184" w:lineRule="exact"/>
              <w:ind w:left="146"/>
              <w:rPr>
                <w:strike/>
                <w:dstrike w:val="0"/>
                <w:color w:val="auto"/>
                <w:sz w:val="22"/>
                <w:szCs w:val="22"/>
                <w:highlight w:val="none"/>
              </w:rPr>
            </w:pPr>
            <w:r>
              <w:rPr>
                <w:i/>
                <w:iCs/>
                <w:strike/>
                <w:dstrike w:val="0"/>
                <w:color w:val="auto"/>
                <w:spacing w:val="-14"/>
                <w:position w:val="-2"/>
                <w:sz w:val="22"/>
                <w:szCs w:val="22"/>
                <w:highlight w:val="none"/>
              </w:rPr>
              <w:t>施工质量的控制</w:t>
            </w:r>
          </w:p>
        </w:tc>
        <w:tc>
          <w:tcPr>
            <w:tcW w:w="828" w:type="dxa"/>
            <w:tcBorders>
              <w:top w:val="single" w:color="000000" w:sz="6" w:space="0"/>
            </w:tcBorders>
            <w:vAlign w:val="top"/>
          </w:tcPr>
          <w:p w14:paraId="07115E4D">
            <w:pPr>
              <w:rPr>
                <w:rFonts w:ascii="Arial"/>
                <w:strike/>
                <w:dstrike w:val="0"/>
                <w:color w:val="auto"/>
                <w:sz w:val="21"/>
                <w:highlight w:val="none"/>
              </w:rPr>
            </w:pPr>
          </w:p>
        </w:tc>
        <w:tc>
          <w:tcPr>
            <w:tcW w:w="826" w:type="dxa"/>
            <w:tcBorders>
              <w:top w:val="single" w:color="000000" w:sz="6" w:space="0"/>
            </w:tcBorders>
            <w:vAlign w:val="top"/>
          </w:tcPr>
          <w:p w14:paraId="4760DA9E">
            <w:pPr>
              <w:rPr>
                <w:rFonts w:ascii="Arial"/>
                <w:strike/>
                <w:dstrike w:val="0"/>
                <w:color w:val="auto"/>
                <w:sz w:val="21"/>
                <w:highlight w:val="none"/>
              </w:rPr>
            </w:pPr>
          </w:p>
        </w:tc>
        <w:tc>
          <w:tcPr>
            <w:tcW w:w="828" w:type="dxa"/>
            <w:tcBorders>
              <w:top w:val="single" w:color="000000" w:sz="6" w:space="0"/>
            </w:tcBorders>
            <w:vAlign w:val="top"/>
          </w:tcPr>
          <w:p w14:paraId="43AA8B46">
            <w:pPr>
              <w:rPr>
                <w:rFonts w:ascii="Arial"/>
                <w:strike/>
                <w:dstrike w:val="0"/>
                <w:color w:val="auto"/>
                <w:sz w:val="21"/>
                <w:highlight w:val="none"/>
              </w:rPr>
            </w:pPr>
          </w:p>
        </w:tc>
        <w:tc>
          <w:tcPr>
            <w:tcW w:w="837" w:type="dxa"/>
            <w:tcBorders>
              <w:top w:val="single" w:color="000000" w:sz="6" w:space="0"/>
              <w:right w:val="single" w:color="000000" w:sz="6" w:space="0"/>
            </w:tcBorders>
            <w:vAlign w:val="top"/>
          </w:tcPr>
          <w:p w14:paraId="590138B7">
            <w:pPr>
              <w:rPr>
                <w:rFonts w:ascii="Arial"/>
                <w:strike/>
                <w:dstrike w:val="0"/>
                <w:color w:val="auto"/>
                <w:sz w:val="21"/>
                <w:highlight w:val="none"/>
              </w:rPr>
            </w:pPr>
          </w:p>
        </w:tc>
      </w:tr>
      <w:tr w14:paraId="25250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691" w:type="dxa"/>
            <w:tcBorders>
              <w:left w:val="single" w:color="000000" w:sz="6" w:space="0"/>
            </w:tcBorders>
            <w:vAlign w:val="top"/>
          </w:tcPr>
          <w:p w14:paraId="694A4800">
            <w:pPr>
              <w:spacing w:before="163" w:line="185" w:lineRule="auto"/>
              <w:ind w:left="293"/>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5</w:t>
            </w:r>
          </w:p>
        </w:tc>
        <w:tc>
          <w:tcPr>
            <w:tcW w:w="5056" w:type="dxa"/>
            <w:vAlign w:val="top"/>
          </w:tcPr>
          <w:p w14:paraId="4CFD29DF">
            <w:pPr>
              <w:pStyle w:val="17"/>
              <w:spacing w:before="164" w:line="186" w:lineRule="exact"/>
              <w:ind w:left="163"/>
              <w:rPr>
                <w:strike/>
                <w:dstrike w:val="0"/>
                <w:color w:val="auto"/>
                <w:sz w:val="22"/>
                <w:szCs w:val="22"/>
                <w:highlight w:val="none"/>
              </w:rPr>
            </w:pPr>
            <w:r>
              <w:rPr>
                <w:i/>
                <w:iCs/>
                <w:strike/>
                <w:dstrike w:val="0"/>
                <w:color w:val="auto"/>
                <w:spacing w:val="-16"/>
                <w:position w:val="-1"/>
                <w:sz w:val="22"/>
                <w:szCs w:val="22"/>
                <w:highlight w:val="none"/>
              </w:rPr>
              <w:t>施工设备和检验仪器的投入</w:t>
            </w:r>
          </w:p>
        </w:tc>
        <w:tc>
          <w:tcPr>
            <w:tcW w:w="828" w:type="dxa"/>
            <w:vAlign w:val="top"/>
          </w:tcPr>
          <w:p w14:paraId="250C166A">
            <w:pPr>
              <w:rPr>
                <w:rFonts w:ascii="Arial"/>
                <w:strike/>
                <w:dstrike w:val="0"/>
                <w:color w:val="auto"/>
                <w:sz w:val="21"/>
                <w:highlight w:val="none"/>
              </w:rPr>
            </w:pPr>
          </w:p>
        </w:tc>
        <w:tc>
          <w:tcPr>
            <w:tcW w:w="826" w:type="dxa"/>
            <w:vAlign w:val="top"/>
          </w:tcPr>
          <w:p w14:paraId="1A2648D6">
            <w:pPr>
              <w:rPr>
                <w:rFonts w:ascii="Arial"/>
                <w:strike/>
                <w:dstrike w:val="0"/>
                <w:color w:val="auto"/>
                <w:sz w:val="21"/>
                <w:highlight w:val="none"/>
              </w:rPr>
            </w:pPr>
          </w:p>
        </w:tc>
        <w:tc>
          <w:tcPr>
            <w:tcW w:w="828" w:type="dxa"/>
            <w:vAlign w:val="top"/>
          </w:tcPr>
          <w:p w14:paraId="0E1BECC1">
            <w:pPr>
              <w:rPr>
                <w:rFonts w:ascii="Arial"/>
                <w:strike/>
                <w:dstrike w:val="0"/>
                <w:color w:val="auto"/>
                <w:sz w:val="21"/>
                <w:highlight w:val="none"/>
              </w:rPr>
            </w:pPr>
          </w:p>
        </w:tc>
        <w:tc>
          <w:tcPr>
            <w:tcW w:w="837" w:type="dxa"/>
            <w:tcBorders>
              <w:right w:val="single" w:color="000000" w:sz="6" w:space="0"/>
            </w:tcBorders>
            <w:vAlign w:val="top"/>
          </w:tcPr>
          <w:p w14:paraId="35CA8ED7">
            <w:pPr>
              <w:rPr>
                <w:rFonts w:ascii="Arial"/>
                <w:strike/>
                <w:dstrike w:val="0"/>
                <w:color w:val="auto"/>
                <w:sz w:val="21"/>
                <w:highlight w:val="none"/>
              </w:rPr>
            </w:pPr>
          </w:p>
        </w:tc>
      </w:tr>
      <w:tr w14:paraId="16044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691" w:type="dxa"/>
            <w:tcBorders>
              <w:left w:val="single" w:color="000000" w:sz="6" w:space="0"/>
            </w:tcBorders>
            <w:vAlign w:val="top"/>
          </w:tcPr>
          <w:p w14:paraId="5A6291C5">
            <w:pPr>
              <w:spacing w:before="162" w:line="188" w:lineRule="auto"/>
              <w:ind w:left="292"/>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6</w:t>
            </w:r>
          </w:p>
        </w:tc>
        <w:tc>
          <w:tcPr>
            <w:tcW w:w="5056" w:type="dxa"/>
            <w:vAlign w:val="top"/>
          </w:tcPr>
          <w:p w14:paraId="6A46A3F7">
            <w:pPr>
              <w:pStyle w:val="17"/>
              <w:spacing w:before="166" w:line="186" w:lineRule="exact"/>
              <w:ind w:left="171"/>
              <w:rPr>
                <w:strike/>
                <w:dstrike w:val="0"/>
                <w:color w:val="auto"/>
                <w:sz w:val="22"/>
                <w:szCs w:val="22"/>
                <w:highlight w:val="none"/>
              </w:rPr>
            </w:pPr>
            <w:r>
              <w:rPr>
                <w:i/>
                <w:iCs/>
                <w:strike/>
                <w:dstrike w:val="0"/>
                <w:color w:val="auto"/>
                <w:spacing w:val="-16"/>
                <w:position w:val="-1"/>
                <w:sz w:val="22"/>
                <w:szCs w:val="22"/>
                <w:highlight w:val="none"/>
              </w:rPr>
              <w:t>各专业工种的配置和劳动力的投入</w:t>
            </w:r>
          </w:p>
        </w:tc>
        <w:tc>
          <w:tcPr>
            <w:tcW w:w="828" w:type="dxa"/>
            <w:vAlign w:val="top"/>
          </w:tcPr>
          <w:p w14:paraId="7D3679B0">
            <w:pPr>
              <w:rPr>
                <w:rFonts w:ascii="Arial"/>
                <w:strike/>
                <w:dstrike w:val="0"/>
                <w:color w:val="auto"/>
                <w:sz w:val="21"/>
                <w:highlight w:val="none"/>
              </w:rPr>
            </w:pPr>
          </w:p>
        </w:tc>
        <w:tc>
          <w:tcPr>
            <w:tcW w:w="826" w:type="dxa"/>
            <w:vAlign w:val="top"/>
          </w:tcPr>
          <w:p w14:paraId="7B9CDA75">
            <w:pPr>
              <w:rPr>
                <w:rFonts w:ascii="Arial"/>
                <w:strike/>
                <w:dstrike w:val="0"/>
                <w:color w:val="auto"/>
                <w:sz w:val="21"/>
                <w:highlight w:val="none"/>
              </w:rPr>
            </w:pPr>
          </w:p>
        </w:tc>
        <w:tc>
          <w:tcPr>
            <w:tcW w:w="828" w:type="dxa"/>
            <w:vAlign w:val="top"/>
          </w:tcPr>
          <w:p w14:paraId="0CF3BE95">
            <w:pPr>
              <w:rPr>
                <w:rFonts w:ascii="Arial"/>
                <w:strike/>
                <w:dstrike w:val="0"/>
                <w:color w:val="auto"/>
                <w:sz w:val="21"/>
                <w:highlight w:val="none"/>
              </w:rPr>
            </w:pPr>
          </w:p>
        </w:tc>
        <w:tc>
          <w:tcPr>
            <w:tcW w:w="837" w:type="dxa"/>
            <w:tcBorders>
              <w:right w:val="single" w:color="000000" w:sz="6" w:space="0"/>
            </w:tcBorders>
            <w:vAlign w:val="top"/>
          </w:tcPr>
          <w:p w14:paraId="171CD33B">
            <w:pPr>
              <w:rPr>
                <w:rFonts w:ascii="Arial"/>
                <w:strike/>
                <w:dstrike w:val="0"/>
                <w:color w:val="auto"/>
                <w:sz w:val="21"/>
                <w:highlight w:val="none"/>
              </w:rPr>
            </w:pPr>
          </w:p>
        </w:tc>
      </w:tr>
      <w:tr w14:paraId="50628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7" w:hRule="atLeast"/>
        </w:trPr>
        <w:tc>
          <w:tcPr>
            <w:tcW w:w="691" w:type="dxa"/>
            <w:tcBorders>
              <w:left w:val="single" w:color="000000" w:sz="6" w:space="0"/>
            </w:tcBorders>
            <w:vAlign w:val="top"/>
          </w:tcPr>
          <w:p w14:paraId="3BAF0B44">
            <w:pPr>
              <w:spacing w:before="167" w:line="185" w:lineRule="auto"/>
              <w:ind w:left="291"/>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7</w:t>
            </w:r>
          </w:p>
        </w:tc>
        <w:tc>
          <w:tcPr>
            <w:tcW w:w="5056" w:type="dxa"/>
            <w:vAlign w:val="top"/>
          </w:tcPr>
          <w:p w14:paraId="3A54293E">
            <w:pPr>
              <w:pStyle w:val="17"/>
              <w:spacing w:before="168" w:line="185" w:lineRule="exact"/>
              <w:ind w:left="171"/>
              <w:rPr>
                <w:strike/>
                <w:dstrike w:val="0"/>
                <w:color w:val="auto"/>
                <w:sz w:val="22"/>
                <w:szCs w:val="22"/>
                <w:highlight w:val="none"/>
              </w:rPr>
            </w:pPr>
            <w:r>
              <w:rPr>
                <w:i/>
                <w:iCs/>
                <w:strike/>
                <w:dstrike w:val="0"/>
                <w:color w:val="auto"/>
                <w:spacing w:val="-16"/>
                <w:position w:val="-1"/>
                <w:sz w:val="22"/>
                <w:szCs w:val="22"/>
                <w:highlight w:val="none"/>
              </w:rPr>
              <w:t>工程的关键部位和关键施工方案</w:t>
            </w:r>
          </w:p>
        </w:tc>
        <w:tc>
          <w:tcPr>
            <w:tcW w:w="828" w:type="dxa"/>
            <w:vAlign w:val="top"/>
          </w:tcPr>
          <w:p w14:paraId="748196A6">
            <w:pPr>
              <w:rPr>
                <w:rFonts w:ascii="Arial"/>
                <w:strike/>
                <w:dstrike w:val="0"/>
                <w:color w:val="auto"/>
                <w:sz w:val="21"/>
                <w:highlight w:val="none"/>
              </w:rPr>
            </w:pPr>
          </w:p>
        </w:tc>
        <w:tc>
          <w:tcPr>
            <w:tcW w:w="826" w:type="dxa"/>
            <w:vAlign w:val="top"/>
          </w:tcPr>
          <w:p w14:paraId="1174DD25">
            <w:pPr>
              <w:rPr>
                <w:rFonts w:ascii="Arial"/>
                <w:strike/>
                <w:dstrike w:val="0"/>
                <w:color w:val="auto"/>
                <w:sz w:val="21"/>
                <w:highlight w:val="none"/>
              </w:rPr>
            </w:pPr>
          </w:p>
        </w:tc>
        <w:tc>
          <w:tcPr>
            <w:tcW w:w="828" w:type="dxa"/>
            <w:vAlign w:val="top"/>
          </w:tcPr>
          <w:p w14:paraId="75FE128D">
            <w:pPr>
              <w:rPr>
                <w:rFonts w:ascii="Arial"/>
                <w:strike/>
                <w:dstrike w:val="0"/>
                <w:color w:val="auto"/>
                <w:sz w:val="21"/>
                <w:highlight w:val="none"/>
              </w:rPr>
            </w:pPr>
          </w:p>
        </w:tc>
        <w:tc>
          <w:tcPr>
            <w:tcW w:w="837" w:type="dxa"/>
            <w:tcBorders>
              <w:right w:val="single" w:color="000000" w:sz="6" w:space="0"/>
            </w:tcBorders>
            <w:vAlign w:val="top"/>
          </w:tcPr>
          <w:p w14:paraId="7CC9FD04">
            <w:pPr>
              <w:rPr>
                <w:rFonts w:ascii="Arial"/>
                <w:strike/>
                <w:dstrike w:val="0"/>
                <w:color w:val="auto"/>
                <w:sz w:val="21"/>
                <w:highlight w:val="none"/>
              </w:rPr>
            </w:pPr>
          </w:p>
        </w:tc>
      </w:tr>
      <w:tr w14:paraId="2E0CE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691" w:type="dxa"/>
            <w:tcBorders>
              <w:left w:val="single" w:color="000000" w:sz="6" w:space="0"/>
            </w:tcBorders>
            <w:vAlign w:val="top"/>
          </w:tcPr>
          <w:p w14:paraId="113CA74B">
            <w:pPr>
              <w:spacing w:before="167" w:line="188" w:lineRule="auto"/>
              <w:ind w:left="29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8</w:t>
            </w:r>
          </w:p>
        </w:tc>
        <w:tc>
          <w:tcPr>
            <w:tcW w:w="5056" w:type="dxa"/>
            <w:vAlign w:val="top"/>
          </w:tcPr>
          <w:p w14:paraId="467C7346">
            <w:pPr>
              <w:pStyle w:val="17"/>
              <w:spacing w:before="174" w:line="166" w:lineRule="auto"/>
              <w:ind w:left="163"/>
              <w:rPr>
                <w:strike/>
                <w:dstrike w:val="0"/>
                <w:color w:val="auto"/>
                <w:sz w:val="22"/>
                <w:szCs w:val="22"/>
                <w:highlight w:val="none"/>
              </w:rPr>
            </w:pPr>
            <w:r>
              <w:rPr>
                <w:i/>
                <w:iCs/>
                <w:strike/>
                <w:dstrike w:val="0"/>
                <w:color w:val="auto"/>
                <w:spacing w:val="-16"/>
                <w:sz w:val="22"/>
                <w:szCs w:val="22"/>
                <w:highlight w:val="none"/>
              </w:rPr>
              <w:t>安全、文明施工及标化创建</w:t>
            </w:r>
          </w:p>
        </w:tc>
        <w:tc>
          <w:tcPr>
            <w:tcW w:w="828" w:type="dxa"/>
            <w:vAlign w:val="top"/>
          </w:tcPr>
          <w:p w14:paraId="7F908100">
            <w:pPr>
              <w:rPr>
                <w:rFonts w:ascii="Arial"/>
                <w:strike/>
                <w:dstrike w:val="0"/>
                <w:color w:val="auto"/>
                <w:sz w:val="21"/>
                <w:highlight w:val="none"/>
              </w:rPr>
            </w:pPr>
          </w:p>
        </w:tc>
        <w:tc>
          <w:tcPr>
            <w:tcW w:w="826" w:type="dxa"/>
            <w:vAlign w:val="top"/>
          </w:tcPr>
          <w:p w14:paraId="1B0CBC7D">
            <w:pPr>
              <w:rPr>
                <w:rFonts w:ascii="Arial"/>
                <w:strike/>
                <w:dstrike w:val="0"/>
                <w:color w:val="auto"/>
                <w:sz w:val="21"/>
                <w:highlight w:val="none"/>
              </w:rPr>
            </w:pPr>
          </w:p>
        </w:tc>
        <w:tc>
          <w:tcPr>
            <w:tcW w:w="828" w:type="dxa"/>
            <w:vAlign w:val="top"/>
          </w:tcPr>
          <w:p w14:paraId="785CCE2D">
            <w:pPr>
              <w:rPr>
                <w:rFonts w:ascii="Arial"/>
                <w:strike/>
                <w:dstrike w:val="0"/>
                <w:color w:val="auto"/>
                <w:sz w:val="21"/>
                <w:highlight w:val="none"/>
              </w:rPr>
            </w:pPr>
          </w:p>
        </w:tc>
        <w:tc>
          <w:tcPr>
            <w:tcW w:w="837" w:type="dxa"/>
            <w:tcBorders>
              <w:right w:val="single" w:color="000000" w:sz="6" w:space="0"/>
            </w:tcBorders>
            <w:vAlign w:val="top"/>
          </w:tcPr>
          <w:p w14:paraId="05045B32">
            <w:pPr>
              <w:rPr>
                <w:rFonts w:ascii="Arial"/>
                <w:strike/>
                <w:dstrike w:val="0"/>
                <w:color w:val="auto"/>
                <w:sz w:val="21"/>
                <w:highlight w:val="none"/>
              </w:rPr>
            </w:pPr>
          </w:p>
        </w:tc>
      </w:tr>
      <w:tr w14:paraId="61FFC7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691" w:type="dxa"/>
            <w:tcBorders>
              <w:left w:val="single" w:color="000000" w:sz="6" w:space="0"/>
            </w:tcBorders>
            <w:vAlign w:val="top"/>
          </w:tcPr>
          <w:p w14:paraId="1C9425AA">
            <w:pPr>
              <w:spacing w:before="169" w:line="188" w:lineRule="auto"/>
              <w:ind w:left="292"/>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9</w:t>
            </w:r>
          </w:p>
        </w:tc>
        <w:tc>
          <w:tcPr>
            <w:tcW w:w="5056" w:type="dxa"/>
            <w:vAlign w:val="top"/>
          </w:tcPr>
          <w:p w14:paraId="64806D46">
            <w:pPr>
              <w:spacing w:before="293" w:line="65" w:lineRule="exact"/>
              <w:ind w:left="123"/>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6"/>
                <w:position w:val="1"/>
                <w:sz w:val="21"/>
                <w:szCs w:val="21"/>
                <w:highlight w:val="none"/>
              </w:rPr>
              <w:t>……</w:t>
            </w:r>
          </w:p>
        </w:tc>
        <w:tc>
          <w:tcPr>
            <w:tcW w:w="828" w:type="dxa"/>
            <w:vAlign w:val="top"/>
          </w:tcPr>
          <w:p w14:paraId="3547415F">
            <w:pPr>
              <w:rPr>
                <w:rFonts w:ascii="Arial"/>
                <w:strike/>
                <w:dstrike w:val="0"/>
                <w:color w:val="auto"/>
                <w:sz w:val="21"/>
                <w:highlight w:val="none"/>
              </w:rPr>
            </w:pPr>
          </w:p>
        </w:tc>
        <w:tc>
          <w:tcPr>
            <w:tcW w:w="826" w:type="dxa"/>
            <w:vAlign w:val="top"/>
          </w:tcPr>
          <w:p w14:paraId="78DAE458">
            <w:pPr>
              <w:rPr>
                <w:rFonts w:ascii="Arial"/>
                <w:strike/>
                <w:dstrike w:val="0"/>
                <w:color w:val="auto"/>
                <w:sz w:val="21"/>
                <w:highlight w:val="none"/>
              </w:rPr>
            </w:pPr>
          </w:p>
        </w:tc>
        <w:tc>
          <w:tcPr>
            <w:tcW w:w="828" w:type="dxa"/>
            <w:vAlign w:val="top"/>
          </w:tcPr>
          <w:p w14:paraId="40B253C4">
            <w:pPr>
              <w:rPr>
                <w:rFonts w:ascii="Arial"/>
                <w:strike/>
                <w:dstrike w:val="0"/>
                <w:color w:val="auto"/>
                <w:sz w:val="21"/>
                <w:highlight w:val="none"/>
              </w:rPr>
            </w:pPr>
          </w:p>
        </w:tc>
        <w:tc>
          <w:tcPr>
            <w:tcW w:w="837" w:type="dxa"/>
            <w:tcBorders>
              <w:right w:val="single" w:color="000000" w:sz="6" w:space="0"/>
            </w:tcBorders>
            <w:vAlign w:val="top"/>
          </w:tcPr>
          <w:p w14:paraId="5ECCBE93">
            <w:pPr>
              <w:rPr>
                <w:rFonts w:ascii="Arial"/>
                <w:strike/>
                <w:dstrike w:val="0"/>
                <w:color w:val="auto"/>
                <w:sz w:val="21"/>
                <w:highlight w:val="none"/>
              </w:rPr>
            </w:pPr>
          </w:p>
        </w:tc>
      </w:tr>
      <w:tr w14:paraId="58C561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91" w:type="dxa"/>
            <w:tcBorders>
              <w:left w:val="single" w:color="000000" w:sz="6" w:space="0"/>
              <w:bottom w:val="single" w:color="000000" w:sz="6" w:space="0"/>
            </w:tcBorders>
            <w:vAlign w:val="top"/>
          </w:tcPr>
          <w:p w14:paraId="7CBF4228">
            <w:pPr>
              <w:rPr>
                <w:rFonts w:ascii="Arial"/>
                <w:strike/>
                <w:dstrike w:val="0"/>
                <w:color w:val="auto"/>
                <w:sz w:val="21"/>
                <w:highlight w:val="none"/>
              </w:rPr>
            </w:pPr>
          </w:p>
        </w:tc>
        <w:tc>
          <w:tcPr>
            <w:tcW w:w="5056" w:type="dxa"/>
            <w:tcBorders>
              <w:bottom w:val="single" w:color="000000" w:sz="6" w:space="0"/>
            </w:tcBorders>
            <w:vAlign w:val="top"/>
          </w:tcPr>
          <w:p w14:paraId="4B5C5C7C">
            <w:pPr>
              <w:pStyle w:val="17"/>
              <w:spacing w:before="134" w:line="220" w:lineRule="auto"/>
              <w:ind w:left="214"/>
              <w:rPr>
                <w:strike/>
                <w:dstrike w:val="0"/>
                <w:color w:val="auto"/>
                <w:sz w:val="21"/>
                <w:szCs w:val="21"/>
                <w:highlight w:val="none"/>
              </w:rPr>
            </w:pPr>
            <w:r>
              <w:rPr>
                <w:strike/>
                <w:dstrike w:val="0"/>
                <w:color w:val="auto"/>
                <w:spacing w:val="-2"/>
                <w:sz w:val="21"/>
                <w:szCs w:val="21"/>
                <w:highlight w:val="none"/>
              </w:rPr>
              <w:t>技术评审结论</w:t>
            </w:r>
          </w:p>
        </w:tc>
        <w:tc>
          <w:tcPr>
            <w:tcW w:w="828" w:type="dxa"/>
            <w:tcBorders>
              <w:bottom w:val="single" w:color="000000" w:sz="6" w:space="0"/>
            </w:tcBorders>
            <w:vAlign w:val="top"/>
          </w:tcPr>
          <w:p w14:paraId="05765AF1">
            <w:pPr>
              <w:rPr>
                <w:rFonts w:ascii="Arial"/>
                <w:strike/>
                <w:dstrike w:val="0"/>
                <w:color w:val="auto"/>
                <w:sz w:val="21"/>
                <w:highlight w:val="none"/>
              </w:rPr>
            </w:pPr>
          </w:p>
        </w:tc>
        <w:tc>
          <w:tcPr>
            <w:tcW w:w="826" w:type="dxa"/>
            <w:tcBorders>
              <w:bottom w:val="single" w:color="000000" w:sz="6" w:space="0"/>
            </w:tcBorders>
            <w:vAlign w:val="top"/>
          </w:tcPr>
          <w:p w14:paraId="5F1C242B">
            <w:pPr>
              <w:rPr>
                <w:rFonts w:ascii="Arial"/>
                <w:strike/>
                <w:dstrike w:val="0"/>
                <w:color w:val="auto"/>
                <w:sz w:val="21"/>
                <w:highlight w:val="none"/>
              </w:rPr>
            </w:pPr>
          </w:p>
        </w:tc>
        <w:tc>
          <w:tcPr>
            <w:tcW w:w="828" w:type="dxa"/>
            <w:tcBorders>
              <w:bottom w:val="single" w:color="000000" w:sz="6" w:space="0"/>
            </w:tcBorders>
            <w:vAlign w:val="top"/>
          </w:tcPr>
          <w:p w14:paraId="3235AB24">
            <w:pPr>
              <w:rPr>
                <w:rFonts w:ascii="Arial"/>
                <w:strike/>
                <w:dstrike w:val="0"/>
                <w:color w:val="auto"/>
                <w:sz w:val="21"/>
                <w:highlight w:val="none"/>
              </w:rPr>
            </w:pPr>
          </w:p>
        </w:tc>
        <w:tc>
          <w:tcPr>
            <w:tcW w:w="837" w:type="dxa"/>
            <w:tcBorders>
              <w:bottom w:val="single" w:color="000000" w:sz="6" w:space="0"/>
              <w:right w:val="single" w:color="000000" w:sz="6" w:space="0"/>
            </w:tcBorders>
            <w:vAlign w:val="top"/>
          </w:tcPr>
          <w:p w14:paraId="4E16A27F">
            <w:pPr>
              <w:rPr>
                <w:rFonts w:ascii="Arial"/>
                <w:strike/>
                <w:dstrike w:val="0"/>
                <w:color w:val="auto"/>
                <w:sz w:val="21"/>
                <w:highlight w:val="none"/>
              </w:rPr>
            </w:pPr>
          </w:p>
        </w:tc>
      </w:tr>
    </w:tbl>
    <w:p w14:paraId="35DD2F1B">
      <w:pPr>
        <w:spacing w:before="32" w:line="213" w:lineRule="auto"/>
        <w:ind w:left="503"/>
        <w:rPr>
          <w:rFonts w:ascii="宋体" w:hAnsi="宋体" w:eastAsia="宋体" w:cs="宋体"/>
          <w:strike/>
          <w:dstrike w:val="0"/>
          <w:color w:val="auto"/>
          <w:sz w:val="22"/>
          <w:szCs w:val="22"/>
          <w:highlight w:val="none"/>
        </w:rPr>
      </w:pPr>
      <w:r>
        <w:rPr>
          <w:rFonts w:ascii="黑体" w:hAnsi="黑体" w:eastAsia="黑体" w:cs="黑体"/>
          <w:i/>
          <w:iCs/>
          <w:strike/>
          <w:dstrike w:val="0"/>
          <w:color w:val="auto"/>
          <w:spacing w:val="-17"/>
          <w:sz w:val="22"/>
          <w:szCs w:val="22"/>
          <w:highlight w:val="none"/>
        </w:rPr>
        <w:t>注：</w:t>
      </w:r>
      <w:r>
        <w:rPr>
          <w:rFonts w:ascii="黑体" w:hAnsi="黑体" w:eastAsia="黑体" w:cs="黑体"/>
          <w:strike/>
          <w:dstrike w:val="0"/>
          <w:color w:val="auto"/>
          <w:spacing w:val="-34"/>
          <w:sz w:val="22"/>
          <w:szCs w:val="22"/>
          <w:highlight w:val="none"/>
        </w:rPr>
        <w:t xml:space="preserve"> </w:t>
      </w:r>
      <w:r>
        <w:rPr>
          <w:rFonts w:ascii="宋体" w:hAnsi="宋体" w:eastAsia="宋体" w:cs="宋体"/>
          <w:i/>
          <w:iCs/>
          <w:strike/>
          <w:dstrike w:val="0"/>
          <w:color w:val="auto"/>
          <w:spacing w:val="-17"/>
          <w:sz w:val="22"/>
          <w:szCs w:val="22"/>
          <w:highlight w:val="none"/>
        </w:rPr>
        <w:t>技术评审内容可根据项目实际情况进行调整。</w:t>
      </w:r>
    </w:p>
    <w:p w14:paraId="02B5E3E7">
      <w:pPr>
        <w:spacing w:before="159" w:line="223"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  </w:t>
      </w:r>
      <w:r>
        <w:rPr>
          <w:rFonts w:ascii="楷体" w:hAnsi="楷体" w:eastAsia="楷体" w:cs="楷体"/>
          <w:b/>
          <w:bCs/>
          <w:strike/>
          <w:dstrike w:val="0"/>
          <w:color w:val="auto"/>
          <w:spacing w:val="-2"/>
          <w:sz w:val="24"/>
          <w:szCs w:val="24"/>
          <w:highlight w:val="none"/>
        </w:rPr>
        <w:t>投标文件的资信评审</w:t>
      </w:r>
    </w:p>
    <w:p w14:paraId="1F45FC27">
      <w:pPr>
        <w:spacing w:before="176" w:line="220"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资信评审内容见下表。</w:t>
      </w:r>
    </w:p>
    <w:p w14:paraId="2DAE5396">
      <w:pPr>
        <w:spacing w:line="165" w:lineRule="exact"/>
        <w:rPr>
          <w:strike/>
          <w:dstrike w:val="0"/>
          <w:color w:val="auto"/>
          <w:highlight w:val="none"/>
        </w:rPr>
      </w:pPr>
    </w:p>
    <w:tbl>
      <w:tblPr>
        <w:tblStyle w:val="16"/>
        <w:tblW w:w="906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5052"/>
        <w:gridCol w:w="824"/>
        <w:gridCol w:w="823"/>
        <w:gridCol w:w="824"/>
        <w:gridCol w:w="833"/>
      </w:tblGrid>
      <w:tr w14:paraId="6AAE6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10" w:type="dxa"/>
            <w:vMerge w:val="restart"/>
            <w:tcBorders>
              <w:top w:val="single" w:color="000000" w:sz="6" w:space="0"/>
              <w:left w:val="single" w:color="000000" w:sz="6" w:space="0"/>
              <w:bottom w:val="nil"/>
            </w:tcBorders>
            <w:vAlign w:val="top"/>
          </w:tcPr>
          <w:p w14:paraId="6B6A2F73">
            <w:pPr>
              <w:spacing w:line="288" w:lineRule="auto"/>
              <w:rPr>
                <w:rFonts w:ascii="Arial"/>
                <w:strike/>
                <w:dstrike w:val="0"/>
                <w:color w:val="auto"/>
                <w:sz w:val="21"/>
                <w:highlight w:val="none"/>
              </w:rPr>
            </w:pPr>
          </w:p>
          <w:p w14:paraId="19D31D44">
            <w:pPr>
              <w:pStyle w:val="17"/>
              <w:spacing w:before="69" w:line="221" w:lineRule="auto"/>
              <w:ind w:left="143"/>
              <w:rPr>
                <w:strike/>
                <w:dstrike w:val="0"/>
                <w:color w:val="auto"/>
                <w:sz w:val="21"/>
                <w:szCs w:val="21"/>
                <w:highlight w:val="none"/>
              </w:rPr>
            </w:pPr>
            <w:r>
              <w:rPr>
                <w:strike/>
                <w:dstrike w:val="0"/>
                <w:color w:val="auto"/>
                <w:spacing w:val="-2"/>
                <w:sz w:val="21"/>
                <w:szCs w:val="21"/>
                <w:highlight w:val="none"/>
              </w:rPr>
              <w:t>序号</w:t>
            </w:r>
          </w:p>
        </w:tc>
        <w:tc>
          <w:tcPr>
            <w:tcW w:w="5052" w:type="dxa"/>
            <w:vMerge w:val="restart"/>
            <w:tcBorders>
              <w:top w:val="single" w:color="000000" w:sz="6" w:space="0"/>
              <w:bottom w:val="nil"/>
            </w:tcBorders>
            <w:vAlign w:val="top"/>
          </w:tcPr>
          <w:p w14:paraId="363DAE98">
            <w:pPr>
              <w:spacing w:line="288" w:lineRule="auto"/>
              <w:rPr>
                <w:rFonts w:ascii="Arial"/>
                <w:strike/>
                <w:dstrike w:val="0"/>
                <w:color w:val="auto"/>
                <w:sz w:val="21"/>
                <w:highlight w:val="none"/>
              </w:rPr>
            </w:pPr>
          </w:p>
          <w:p w14:paraId="61816F93">
            <w:pPr>
              <w:pStyle w:val="17"/>
              <w:spacing w:before="68" w:line="220" w:lineRule="auto"/>
              <w:ind w:left="1821"/>
              <w:rPr>
                <w:strike/>
                <w:dstrike w:val="0"/>
                <w:color w:val="auto"/>
                <w:sz w:val="21"/>
                <w:szCs w:val="21"/>
                <w:highlight w:val="none"/>
              </w:rPr>
            </w:pPr>
            <w:r>
              <w:rPr>
                <w:strike/>
                <w:dstrike w:val="0"/>
                <w:color w:val="auto"/>
                <w:spacing w:val="-14"/>
                <w:sz w:val="21"/>
                <w:szCs w:val="21"/>
                <w:highlight w:val="none"/>
              </w:rPr>
              <w:t>内</w:t>
            </w:r>
            <w:r>
              <w:rPr>
                <w:strike/>
                <w:dstrike w:val="0"/>
                <w:color w:val="auto"/>
                <w:spacing w:val="6"/>
                <w:sz w:val="21"/>
                <w:szCs w:val="21"/>
                <w:highlight w:val="none"/>
              </w:rPr>
              <w:t xml:space="preserve">  </w:t>
            </w:r>
            <w:r>
              <w:rPr>
                <w:strike/>
                <w:dstrike w:val="0"/>
                <w:color w:val="auto"/>
                <w:spacing w:val="-14"/>
                <w:sz w:val="21"/>
                <w:szCs w:val="21"/>
                <w:highlight w:val="none"/>
              </w:rPr>
              <w:t>容</w:t>
            </w:r>
            <w:r>
              <w:rPr>
                <w:strike/>
                <w:dstrike w:val="0"/>
                <w:color w:val="auto"/>
                <w:spacing w:val="5"/>
                <w:sz w:val="21"/>
                <w:szCs w:val="21"/>
                <w:highlight w:val="none"/>
              </w:rPr>
              <w:t xml:space="preserve">  </w:t>
            </w:r>
            <w:r>
              <w:rPr>
                <w:strike/>
                <w:dstrike w:val="0"/>
                <w:color w:val="auto"/>
                <w:spacing w:val="-14"/>
                <w:sz w:val="21"/>
                <w:szCs w:val="21"/>
                <w:highlight w:val="none"/>
              </w:rPr>
              <w:t>要</w:t>
            </w:r>
            <w:r>
              <w:rPr>
                <w:strike/>
                <w:dstrike w:val="0"/>
                <w:color w:val="auto"/>
                <w:spacing w:val="4"/>
                <w:sz w:val="21"/>
                <w:szCs w:val="21"/>
                <w:highlight w:val="none"/>
              </w:rPr>
              <w:t xml:space="preserve">  </w:t>
            </w:r>
            <w:r>
              <w:rPr>
                <w:strike/>
                <w:dstrike w:val="0"/>
                <w:color w:val="auto"/>
                <w:spacing w:val="-14"/>
                <w:sz w:val="21"/>
                <w:szCs w:val="21"/>
                <w:highlight w:val="none"/>
              </w:rPr>
              <w:t>求</w:t>
            </w:r>
          </w:p>
        </w:tc>
        <w:tc>
          <w:tcPr>
            <w:tcW w:w="3304" w:type="dxa"/>
            <w:gridSpan w:val="4"/>
            <w:tcBorders>
              <w:top w:val="single" w:color="000000" w:sz="6" w:space="0"/>
              <w:right w:val="single" w:color="000000" w:sz="6" w:space="0"/>
            </w:tcBorders>
            <w:vAlign w:val="top"/>
          </w:tcPr>
          <w:p w14:paraId="1B03A619">
            <w:pPr>
              <w:pStyle w:val="17"/>
              <w:spacing w:before="125" w:line="220" w:lineRule="auto"/>
              <w:ind w:left="1237"/>
              <w:rPr>
                <w:strike/>
                <w:dstrike w:val="0"/>
                <w:color w:val="auto"/>
                <w:sz w:val="21"/>
                <w:szCs w:val="21"/>
                <w:highlight w:val="none"/>
              </w:rPr>
            </w:pPr>
            <w:r>
              <w:rPr>
                <w:strike/>
                <w:dstrike w:val="0"/>
                <w:color w:val="auto"/>
                <w:spacing w:val="-2"/>
                <w:sz w:val="21"/>
                <w:szCs w:val="21"/>
                <w:highlight w:val="none"/>
              </w:rPr>
              <w:t>评审意见</w:t>
            </w:r>
          </w:p>
        </w:tc>
      </w:tr>
      <w:tr w14:paraId="7865B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10" w:type="dxa"/>
            <w:vMerge w:val="continue"/>
            <w:tcBorders>
              <w:top w:val="nil"/>
              <w:left w:val="single" w:color="000000" w:sz="6" w:space="0"/>
            </w:tcBorders>
            <w:vAlign w:val="top"/>
          </w:tcPr>
          <w:p w14:paraId="5079F679">
            <w:pPr>
              <w:rPr>
                <w:rFonts w:ascii="Arial"/>
                <w:strike/>
                <w:dstrike w:val="0"/>
                <w:color w:val="auto"/>
                <w:sz w:val="21"/>
                <w:highlight w:val="none"/>
              </w:rPr>
            </w:pPr>
          </w:p>
        </w:tc>
        <w:tc>
          <w:tcPr>
            <w:tcW w:w="5052" w:type="dxa"/>
            <w:vMerge w:val="continue"/>
            <w:tcBorders>
              <w:top w:val="nil"/>
            </w:tcBorders>
            <w:vAlign w:val="top"/>
          </w:tcPr>
          <w:p w14:paraId="26F71123">
            <w:pPr>
              <w:rPr>
                <w:rFonts w:ascii="Arial"/>
                <w:strike/>
                <w:dstrike w:val="0"/>
                <w:color w:val="auto"/>
                <w:sz w:val="21"/>
                <w:highlight w:val="none"/>
              </w:rPr>
            </w:pPr>
          </w:p>
        </w:tc>
        <w:tc>
          <w:tcPr>
            <w:tcW w:w="824" w:type="dxa"/>
            <w:vAlign w:val="top"/>
          </w:tcPr>
          <w:p w14:paraId="27CBE5D6">
            <w:pPr>
              <w:pStyle w:val="17"/>
              <w:spacing w:before="123" w:line="220" w:lineRule="auto"/>
              <w:ind w:left="312"/>
              <w:rPr>
                <w:strike/>
                <w:dstrike w:val="0"/>
                <w:color w:val="auto"/>
                <w:sz w:val="21"/>
                <w:szCs w:val="21"/>
                <w:highlight w:val="none"/>
              </w:rPr>
            </w:pPr>
            <w:r>
              <w:rPr>
                <w:strike/>
                <w:dstrike w:val="0"/>
                <w:color w:val="auto"/>
                <w:sz w:val="21"/>
                <w:szCs w:val="21"/>
                <w:highlight w:val="none"/>
              </w:rPr>
              <w:t>好</w:t>
            </w:r>
          </w:p>
        </w:tc>
        <w:tc>
          <w:tcPr>
            <w:tcW w:w="823" w:type="dxa"/>
            <w:vAlign w:val="top"/>
          </w:tcPr>
          <w:p w14:paraId="4E8E1D82">
            <w:pPr>
              <w:pStyle w:val="17"/>
              <w:spacing w:before="123" w:line="220" w:lineRule="auto"/>
              <w:ind w:left="207"/>
              <w:rPr>
                <w:strike/>
                <w:dstrike w:val="0"/>
                <w:color w:val="auto"/>
                <w:sz w:val="21"/>
                <w:szCs w:val="21"/>
                <w:highlight w:val="none"/>
              </w:rPr>
            </w:pPr>
            <w:r>
              <w:rPr>
                <w:strike/>
                <w:dstrike w:val="0"/>
                <w:color w:val="auto"/>
                <w:spacing w:val="-1"/>
                <w:sz w:val="21"/>
                <w:szCs w:val="21"/>
                <w:highlight w:val="none"/>
              </w:rPr>
              <w:t>较好</w:t>
            </w:r>
          </w:p>
        </w:tc>
        <w:tc>
          <w:tcPr>
            <w:tcW w:w="824" w:type="dxa"/>
            <w:vAlign w:val="top"/>
          </w:tcPr>
          <w:p w14:paraId="6776FFA4">
            <w:pPr>
              <w:pStyle w:val="17"/>
              <w:spacing w:before="123" w:line="221" w:lineRule="auto"/>
              <w:ind w:left="212"/>
              <w:rPr>
                <w:strike/>
                <w:dstrike w:val="0"/>
                <w:color w:val="auto"/>
                <w:sz w:val="21"/>
                <w:szCs w:val="21"/>
                <w:highlight w:val="none"/>
              </w:rPr>
            </w:pPr>
            <w:r>
              <w:rPr>
                <w:strike/>
                <w:dstrike w:val="0"/>
                <w:color w:val="auto"/>
                <w:spacing w:val="-4"/>
                <w:sz w:val="21"/>
                <w:szCs w:val="21"/>
                <w:highlight w:val="none"/>
              </w:rPr>
              <w:t>一般</w:t>
            </w:r>
          </w:p>
        </w:tc>
        <w:tc>
          <w:tcPr>
            <w:tcW w:w="833" w:type="dxa"/>
            <w:tcBorders>
              <w:right w:val="single" w:color="000000" w:sz="6" w:space="0"/>
            </w:tcBorders>
            <w:vAlign w:val="top"/>
          </w:tcPr>
          <w:p w14:paraId="4921B408">
            <w:pPr>
              <w:pStyle w:val="17"/>
              <w:spacing w:before="123" w:line="227" w:lineRule="auto"/>
              <w:ind w:left="320"/>
              <w:rPr>
                <w:strike/>
                <w:dstrike w:val="0"/>
                <w:color w:val="auto"/>
                <w:sz w:val="21"/>
                <w:szCs w:val="21"/>
                <w:highlight w:val="none"/>
              </w:rPr>
            </w:pPr>
            <w:r>
              <w:rPr>
                <w:strike/>
                <w:dstrike w:val="0"/>
                <w:color w:val="auto"/>
                <w:sz w:val="21"/>
                <w:szCs w:val="21"/>
                <w:highlight w:val="none"/>
              </w:rPr>
              <w:t>差</w:t>
            </w:r>
          </w:p>
        </w:tc>
      </w:tr>
      <w:tr w14:paraId="53E639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710" w:type="dxa"/>
            <w:tcBorders>
              <w:left w:val="single" w:color="000000" w:sz="6" w:space="0"/>
            </w:tcBorders>
            <w:vAlign w:val="top"/>
          </w:tcPr>
          <w:p w14:paraId="53CD435B">
            <w:pPr>
              <w:spacing w:line="416" w:lineRule="auto"/>
              <w:rPr>
                <w:rFonts w:ascii="Arial"/>
                <w:strike/>
                <w:dstrike w:val="0"/>
                <w:color w:val="auto"/>
                <w:sz w:val="21"/>
                <w:highlight w:val="none"/>
              </w:rPr>
            </w:pPr>
          </w:p>
          <w:p w14:paraId="5D42FA11">
            <w:pPr>
              <w:spacing w:before="60" w:line="188" w:lineRule="auto"/>
              <w:ind w:left="317"/>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5052" w:type="dxa"/>
            <w:vAlign w:val="top"/>
          </w:tcPr>
          <w:p w14:paraId="6561BAE1">
            <w:pPr>
              <w:pStyle w:val="17"/>
              <w:spacing w:before="35" w:line="219" w:lineRule="auto"/>
              <w:ind w:left="144" w:right="124" w:hanging="33"/>
              <w:jc w:val="both"/>
              <w:rPr>
                <w:strike/>
                <w:dstrike w:val="0"/>
                <w:color w:val="auto"/>
                <w:sz w:val="21"/>
                <w:szCs w:val="21"/>
                <w:highlight w:val="none"/>
              </w:rPr>
            </w:pPr>
            <w:r>
              <w:rPr>
                <w:strike/>
                <w:dstrike w:val="0"/>
                <w:color w:val="auto"/>
                <w:spacing w:val="-14"/>
                <w:sz w:val="21"/>
                <w:szCs w:val="21"/>
                <w:highlight w:val="none"/>
              </w:rPr>
              <w:t>企业信用等级（</w:t>
            </w:r>
            <w:r>
              <w:rPr>
                <w:strike/>
                <w:dstrike w:val="0"/>
                <w:color w:val="auto"/>
                <w:spacing w:val="37"/>
                <w:sz w:val="21"/>
                <w:szCs w:val="21"/>
                <w:highlight w:val="none"/>
              </w:rPr>
              <w:t xml:space="preserve"> </w:t>
            </w:r>
            <w:r>
              <w:rPr>
                <w:i/>
                <w:iCs/>
                <w:strike/>
                <w:dstrike w:val="0"/>
                <w:color w:val="auto"/>
                <w:spacing w:val="-14"/>
                <w:sz w:val="22"/>
                <w:szCs w:val="22"/>
                <w:highlight w:val="none"/>
              </w:rPr>
              <w:t>由招标人自主选用全国水利建设市场</w:t>
            </w:r>
            <w:r>
              <w:rPr>
                <w:strike/>
                <w:dstrike w:val="0"/>
                <w:color w:val="auto"/>
                <w:sz w:val="22"/>
                <w:szCs w:val="22"/>
                <w:highlight w:val="none"/>
              </w:rPr>
              <w:t xml:space="preserve"> </w:t>
            </w:r>
            <w:r>
              <w:rPr>
                <w:i/>
                <w:iCs/>
                <w:strike/>
                <w:dstrike w:val="0"/>
                <w:color w:val="auto"/>
                <w:spacing w:val="-13"/>
                <w:sz w:val="22"/>
                <w:szCs w:val="22"/>
                <w:highlight w:val="none"/>
              </w:rPr>
              <w:t>监管服务平台公布的企业信用评价等级（施工类）或</w:t>
            </w:r>
            <w:r>
              <w:rPr>
                <w:strike/>
                <w:dstrike w:val="0"/>
                <w:color w:val="auto"/>
                <w:spacing w:val="16"/>
                <w:sz w:val="22"/>
                <w:szCs w:val="22"/>
                <w:highlight w:val="none"/>
              </w:rPr>
              <w:t xml:space="preserve"> </w:t>
            </w:r>
            <w:r>
              <w:rPr>
                <w:i/>
                <w:iCs/>
                <w:strike/>
                <w:dstrike w:val="0"/>
                <w:color w:val="auto"/>
                <w:spacing w:val="-13"/>
                <w:sz w:val="22"/>
                <w:szCs w:val="22"/>
                <w:highlight w:val="none"/>
              </w:rPr>
              <w:t>浙江省水利建设市场信用评价等级（施工类</w:t>
            </w:r>
            <w:r>
              <w:rPr>
                <w:i/>
                <w:iCs/>
                <w:strike/>
                <w:dstrike w:val="0"/>
                <w:color w:val="auto"/>
                <w:spacing w:val="-5"/>
                <w:sz w:val="22"/>
                <w:szCs w:val="22"/>
                <w:highlight w:val="none"/>
              </w:rPr>
              <w:t>），</w:t>
            </w:r>
            <w:r>
              <w:rPr>
                <w:i/>
                <w:iCs/>
                <w:strike/>
                <w:dstrike w:val="0"/>
                <w:color w:val="auto"/>
                <w:spacing w:val="-13"/>
                <w:sz w:val="22"/>
                <w:szCs w:val="22"/>
                <w:highlight w:val="none"/>
              </w:rPr>
              <w:t>并在</w:t>
            </w:r>
            <w:r>
              <w:rPr>
                <w:strike/>
                <w:dstrike w:val="0"/>
                <w:color w:val="auto"/>
                <w:sz w:val="22"/>
                <w:szCs w:val="22"/>
                <w:highlight w:val="none"/>
              </w:rPr>
              <w:t xml:space="preserve"> </w:t>
            </w:r>
            <w:r>
              <w:rPr>
                <w:i/>
                <w:iCs/>
                <w:strike/>
                <w:dstrike w:val="0"/>
                <w:color w:val="auto"/>
                <w:spacing w:val="-14"/>
                <w:sz w:val="22"/>
                <w:szCs w:val="22"/>
                <w:highlight w:val="none"/>
              </w:rPr>
              <w:t>此予以明确</w:t>
            </w:r>
            <w:r>
              <w:rPr>
                <w:strike/>
                <w:dstrike w:val="0"/>
                <w:color w:val="auto"/>
                <w:spacing w:val="-14"/>
                <w:sz w:val="21"/>
                <w:szCs w:val="21"/>
                <w:highlight w:val="none"/>
              </w:rPr>
              <w:t>）</w:t>
            </w:r>
          </w:p>
        </w:tc>
        <w:tc>
          <w:tcPr>
            <w:tcW w:w="824" w:type="dxa"/>
            <w:vAlign w:val="top"/>
          </w:tcPr>
          <w:p w14:paraId="21E04986">
            <w:pPr>
              <w:rPr>
                <w:rFonts w:ascii="Arial"/>
                <w:strike/>
                <w:dstrike w:val="0"/>
                <w:color w:val="auto"/>
                <w:sz w:val="21"/>
                <w:highlight w:val="none"/>
              </w:rPr>
            </w:pPr>
          </w:p>
        </w:tc>
        <w:tc>
          <w:tcPr>
            <w:tcW w:w="823" w:type="dxa"/>
            <w:vAlign w:val="top"/>
          </w:tcPr>
          <w:p w14:paraId="777D5FE1">
            <w:pPr>
              <w:rPr>
                <w:rFonts w:ascii="Arial"/>
                <w:strike/>
                <w:dstrike w:val="0"/>
                <w:color w:val="auto"/>
                <w:sz w:val="21"/>
                <w:highlight w:val="none"/>
              </w:rPr>
            </w:pPr>
          </w:p>
        </w:tc>
        <w:tc>
          <w:tcPr>
            <w:tcW w:w="824" w:type="dxa"/>
            <w:vAlign w:val="top"/>
          </w:tcPr>
          <w:p w14:paraId="71075C70">
            <w:pPr>
              <w:rPr>
                <w:rFonts w:ascii="Arial"/>
                <w:strike/>
                <w:dstrike w:val="0"/>
                <w:color w:val="auto"/>
                <w:sz w:val="21"/>
                <w:highlight w:val="none"/>
              </w:rPr>
            </w:pPr>
          </w:p>
        </w:tc>
        <w:tc>
          <w:tcPr>
            <w:tcW w:w="833" w:type="dxa"/>
            <w:tcBorders>
              <w:right w:val="single" w:color="000000" w:sz="6" w:space="0"/>
            </w:tcBorders>
            <w:vAlign w:val="top"/>
          </w:tcPr>
          <w:p w14:paraId="7B05E8EF">
            <w:pPr>
              <w:rPr>
                <w:rFonts w:ascii="Arial"/>
                <w:strike/>
                <w:dstrike w:val="0"/>
                <w:color w:val="auto"/>
                <w:sz w:val="21"/>
                <w:highlight w:val="none"/>
              </w:rPr>
            </w:pPr>
          </w:p>
        </w:tc>
      </w:tr>
      <w:tr w14:paraId="22B64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18" w:hRule="atLeast"/>
        </w:trPr>
        <w:tc>
          <w:tcPr>
            <w:tcW w:w="710" w:type="dxa"/>
            <w:tcBorders>
              <w:left w:val="single" w:color="000000" w:sz="6" w:space="0"/>
            </w:tcBorders>
            <w:vAlign w:val="top"/>
          </w:tcPr>
          <w:p w14:paraId="3768EC8A">
            <w:pPr>
              <w:rPr>
                <w:rFonts w:ascii="Arial"/>
                <w:strike/>
                <w:dstrike w:val="0"/>
                <w:color w:val="auto"/>
                <w:sz w:val="21"/>
                <w:highlight w:val="none"/>
              </w:rPr>
            </w:pPr>
          </w:p>
        </w:tc>
        <w:tc>
          <w:tcPr>
            <w:tcW w:w="5052" w:type="dxa"/>
            <w:vAlign w:val="top"/>
          </w:tcPr>
          <w:p w14:paraId="45568AF0">
            <w:pPr>
              <w:pStyle w:val="17"/>
              <w:spacing w:before="39" w:line="215" w:lineRule="auto"/>
              <w:ind w:left="153" w:right="19" w:firstLine="48"/>
              <w:jc w:val="both"/>
              <w:rPr>
                <w:strike/>
                <w:dstrike w:val="0"/>
                <w:color w:val="auto"/>
                <w:sz w:val="22"/>
                <w:szCs w:val="22"/>
                <w:highlight w:val="none"/>
              </w:rPr>
            </w:pPr>
            <w:r>
              <w:rPr>
                <w:i/>
                <w:iCs/>
                <w:strike/>
                <w:dstrike w:val="0"/>
                <w:color w:val="auto"/>
                <w:spacing w:val="-14"/>
                <w:sz w:val="22"/>
                <w:szCs w:val="22"/>
                <w:highlight w:val="none"/>
              </w:rPr>
              <w:t>全国</w:t>
            </w:r>
            <w:r>
              <w:rPr>
                <w:strike/>
                <w:dstrike w:val="0"/>
                <w:color w:val="auto"/>
                <w:spacing w:val="-49"/>
                <w:sz w:val="22"/>
                <w:szCs w:val="22"/>
                <w:highlight w:val="none"/>
              </w:rPr>
              <w:t xml:space="preserve"> </w:t>
            </w:r>
            <w:r>
              <w:rPr>
                <w:i/>
                <w:iCs/>
                <w:strike/>
                <w:dstrike w:val="0"/>
                <w:color w:val="auto"/>
                <w:spacing w:val="-14"/>
                <w:sz w:val="22"/>
                <w:szCs w:val="22"/>
                <w:highlight w:val="none"/>
              </w:rPr>
              <w:t>AAA（或省</w:t>
            </w:r>
            <w:r>
              <w:rPr>
                <w:strike/>
                <w:dstrike w:val="0"/>
                <w:color w:val="auto"/>
                <w:spacing w:val="-52"/>
                <w:sz w:val="22"/>
                <w:szCs w:val="22"/>
                <w:highlight w:val="none"/>
              </w:rPr>
              <w:t xml:space="preserve"> </w:t>
            </w:r>
            <w:r>
              <w:rPr>
                <w:i/>
                <w:iCs/>
                <w:strike/>
                <w:dstrike w:val="0"/>
                <w:color w:val="auto"/>
                <w:spacing w:val="-14"/>
                <w:sz w:val="22"/>
                <w:szCs w:val="22"/>
                <w:highlight w:val="none"/>
              </w:rPr>
              <w:t>A）为好，全国</w:t>
            </w:r>
            <w:r>
              <w:rPr>
                <w:strike/>
                <w:dstrike w:val="0"/>
                <w:color w:val="auto"/>
                <w:spacing w:val="-51"/>
                <w:sz w:val="22"/>
                <w:szCs w:val="22"/>
                <w:highlight w:val="none"/>
              </w:rPr>
              <w:t xml:space="preserve"> </w:t>
            </w:r>
            <w:r>
              <w:rPr>
                <w:i/>
                <w:iCs/>
                <w:strike/>
                <w:dstrike w:val="0"/>
                <w:color w:val="auto"/>
                <w:spacing w:val="-14"/>
                <w:sz w:val="22"/>
                <w:szCs w:val="22"/>
                <w:highlight w:val="none"/>
              </w:rPr>
              <w:t>AA（或省</w:t>
            </w:r>
            <w:r>
              <w:rPr>
                <w:strike/>
                <w:dstrike w:val="0"/>
                <w:color w:val="auto"/>
                <w:spacing w:val="-48"/>
                <w:sz w:val="22"/>
                <w:szCs w:val="22"/>
                <w:highlight w:val="none"/>
              </w:rPr>
              <w:t xml:space="preserve"> </w:t>
            </w:r>
            <w:r>
              <w:rPr>
                <w:i/>
                <w:iCs/>
                <w:strike/>
                <w:dstrike w:val="0"/>
                <w:color w:val="auto"/>
                <w:spacing w:val="-14"/>
                <w:sz w:val="22"/>
                <w:szCs w:val="22"/>
                <w:highlight w:val="none"/>
              </w:rPr>
              <w:t>B）为较</w:t>
            </w:r>
            <w:r>
              <w:rPr>
                <w:i/>
                <w:iCs/>
                <w:strike/>
                <w:dstrike w:val="0"/>
                <w:color w:val="auto"/>
                <w:spacing w:val="-15"/>
                <w:sz w:val="22"/>
                <w:szCs w:val="22"/>
                <w:highlight w:val="none"/>
              </w:rPr>
              <w:t>好，</w:t>
            </w:r>
            <w:r>
              <w:rPr>
                <w:strike/>
                <w:dstrike w:val="0"/>
                <w:color w:val="auto"/>
                <w:sz w:val="22"/>
                <w:szCs w:val="22"/>
                <w:highlight w:val="none"/>
              </w:rPr>
              <w:t xml:space="preserve"> </w:t>
            </w:r>
            <w:r>
              <w:rPr>
                <w:i/>
                <w:iCs/>
                <w:strike/>
                <w:dstrike w:val="0"/>
                <w:color w:val="auto"/>
                <w:spacing w:val="-17"/>
                <w:sz w:val="22"/>
                <w:szCs w:val="22"/>
                <w:highlight w:val="none"/>
              </w:rPr>
              <w:t>全国</w:t>
            </w:r>
            <w:r>
              <w:rPr>
                <w:strike/>
                <w:dstrike w:val="0"/>
                <w:color w:val="auto"/>
                <w:spacing w:val="-51"/>
                <w:sz w:val="22"/>
                <w:szCs w:val="22"/>
                <w:highlight w:val="none"/>
              </w:rPr>
              <w:t xml:space="preserve"> </w:t>
            </w:r>
            <w:r>
              <w:rPr>
                <w:i/>
                <w:iCs/>
                <w:strike/>
                <w:dstrike w:val="0"/>
                <w:color w:val="auto"/>
                <w:spacing w:val="-17"/>
                <w:sz w:val="22"/>
                <w:szCs w:val="22"/>
                <w:highlight w:val="none"/>
              </w:rPr>
              <w:t>A（或省</w:t>
            </w:r>
            <w:r>
              <w:rPr>
                <w:strike/>
                <w:dstrike w:val="0"/>
                <w:color w:val="auto"/>
                <w:spacing w:val="-57"/>
                <w:sz w:val="22"/>
                <w:szCs w:val="22"/>
                <w:highlight w:val="none"/>
              </w:rPr>
              <w:t xml:space="preserve"> </w:t>
            </w:r>
            <w:r>
              <w:rPr>
                <w:i/>
                <w:iCs/>
                <w:strike/>
                <w:dstrike w:val="0"/>
                <w:color w:val="auto"/>
                <w:spacing w:val="-17"/>
                <w:sz w:val="22"/>
                <w:szCs w:val="22"/>
                <w:highlight w:val="none"/>
              </w:rPr>
              <w:t>C）得为一般，全国</w:t>
            </w:r>
            <w:r>
              <w:rPr>
                <w:strike/>
                <w:dstrike w:val="0"/>
                <w:color w:val="auto"/>
                <w:spacing w:val="-53"/>
                <w:sz w:val="22"/>
                <w:szCs w:val="22"/>
                <w:highlight w:val="none"/>
              </w:rPr>
              <w:t xml:space="preserve"> </w:t>
            </w:r>
            <w:r>
              <w:rPr>
                <w:i/>
                <w:iCs/>
                <w:strike/>
                <w:dstrike w:val="0"/>
                <w:color w:val="auto"/>
                <w:spacing w:val="-17"/>
                <w:sz w:val="22"/>
                <w:szCs w:val="22"/>
                <w:highlight w:val="none"/>
              </w:rPr>
              <w:t>B</w:t>
            </w:r>
            <w:r>
              <w:rPr>
                <w:strike/>
                <w:dstrike w:val="0"/>
                <w:color w:val="auto"/>
                <w:spacing w:val="-32"/>
                <w:sz w:val="22"/>
                <w:szCs w:val="22"/>
                <w:highlight w:val="none"/>
              </w:rPr>
              <w:t xml:space="preserve"> </w:t>
            </w:r>
            <w:r>
              <w:rPr>
                <w:i/>
                <w:iCs/>
                <w:strike/>
                <w:dstrike w:val="0"/>
                <w:color w:val="auto"/>
                <w:spacing w:val="-17"/>
                <w:sz w:val="22"/>
                <w:szCs w:val="22"/>
                <w:highlight w:val="none"/>
              </w:rPr>
              <w:t>及以下或无信用评</w:t>
            </w:r>
            <w:r>
              <w:rPr>
                <w:strike/>
                <w:dstrike w:val="0"/>
                <w:color w:val="auto"/>
                <w:sz w:val="22"/>
                <w:szCs w:val="22"/>
                <w:highlight w:val="none"/>
              </w:rPr>
              <w:t xml:space="preserve"> </w:t>
            </w:r>
            <w:r>
              <w:rPr>
                <w:i/>
                <w:iCs/>
                <w:strike/>
                <w:dstrike w:val="0"/>
                <w:color w:val="auto"/>
                <w:spacing w:val="-18"/>
                <w:sz w:val="22"/>
                <w:szCs w:val="22"/>
                <w:highlight w:val="none"/>
              </w:rPr>
              <w:t>价等级（或省</w:t>
            </w:r>
            <w:r>
              <w:rPr>
                <w:strike/>
                <w:dstrike w:val="0"/>
                <w:color w:val="auto"/>
                <w:spacing w:val="-37"/>
                <w:sz w:val="22"/>
                <w:szCs w:val="22"/>
                <w:highlight w:val="none"/>
              </w:rPr>
              <w:t xml:space="preserve"> </w:t>
            </w:r>
            <w:r>
              <w:rPr>
                <w:i/>
                <w:iCs/>
                <w:strike/>
                <w:dstrike w:val="0"/>
                <w:color w:val="auto"/>
                <w:spacing w:val="-18"/>
                <w:sz w:val="22"/>
                <w:szCs w:val="22"/>
                <w:highlight w:val="none"/>
              </w:rPr>
              <w:t>D</w:t>
            </w:r>
            <w:r>
              <w:rPr>
                <w:strike/>
                <w:dstrike w:val="0"/>
                <w:color w:val="auto"/>
                <w:spacing w:val="-49"/>
                <w:sz w:val="22"/>
                <w:szCs w:val="22"/>
                <w:highlight w:val="none"/>
              </w:rPr>
              <w:t xml:space="preserve"> </w:t>
            </w:r>
            <w:r>
              <w:rPr>
                <w:i/>
                <w:iCs/>
                <w:strike/>
                <w:dstrike w:val="0"/>
                <w:color w:val="auto"/>
                <w:spacing w:val="-18"/>
                <w:sz w:val="22"/>
                <w:szCs w:val="22"/>
                <w:highlight w:val="none"/>
              </w:rPr>
              <w:t>及以下等级或无信用评价等级）为差。</w:t>
            </w:r>
          </w:p>
        </w:tc>
        <w:tc>
          <w:tcPr>
            <w:tcW w:w="824" w:type="dxa"/>
            <w:vAlign w:val="top"/>
          </w:tcPr>
          <w:p w14:paraId="4692ED33">
            <w:pPr>
              <w:rPr>
                <w:rFonts w:ascii="Arial"/>
                <w:strike/>
                <w:dstrike w:val="0"/>
                <w:color w:val="auto"/>
                <w:sz w:val="21"/>
                <w:highlight w:val="none"/>
              </w:rPr>
            </w:pPr>
          </w:p>
        </w:tc>
        <w:tc>
          <w:tcPr>
            <w:tcW w:w="823" w:type="dxa"/>
            <w:vAlign w:val="top"/>
          </w:tcPr>
          <w:p w14:paraId="62E72795">
            <w:pPr>
              <w:rPr>
                <w:rFonts w:ascii="Arial"/>
                <w:strike/>
                <w:dstrike w:val="0"/>
                <w:color w:val="auto"/>
                <w:sz w:val="21"/>
                <w:highlight w:val="none"/>
              </w:rPr>
            </w:pPr>
          </w:p>
        </w:tc>
        <w:tc>
          <w:tcPr>
            <w:tcW w:w="824" w:type="dxa"/>
            <w:vAlign w:val="top"/>
          </w:tcPr>
          <w:p w14:paraId="13112BA1">
            <w:pPr>
              <w:rPr>
                <w:rFonts w:ascii="Arial"/>
                <w:strike/>
                <w:dstrike w:val="0"/>
                <w:color w:val="auto"/>
                <w:sz w:val="21"/>
                <w:highlight w:val="none"/>
              </w:rPr>
            </w:pPr>
          </w:p>
        </w:tc>
        <w:tc>
          <w:tcPr>
            <w:tcW w:w="833" w:type="dxa"/>
            <w:tcBorders>
              <w:right w:val="single" w:color="000000" w:sz="6" w:space="0"/>
            </w:tcBorders>
            <w:vAlign w:val="top"/>
          </w:tcPr>
          <w:p w14:paraId="32CD84E3">
            <w:pPr>
              <w:rPr>
                <w:rFonts w:ascii="Arial"/>
                <w:strike/>
                <w:dstrike w:val="0"/>
                <w:color w:val="auto"/>
                <w:sz w:val="21"/>
                <w:highlight w:val="none"/>
              </w:rPr>
            </w:pPr>
          </w:p>
        </w:tc>
      </w:tr>
      <w:tr w14:paraId="0ED13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10" w:type="dxa"/>
            <w:tcBorders>
              <w:left w:val="single" w:color="000000" w:sz="6" w:space="0"/>
              <w:bottom w:val="single" w:color="000000" w:sz="6" w:space="0"/>
            </w:tcBorders>
            <w:vAlign w:val="top"/>
          </w:tcPr>
          <w:p w14:paraId="091A6F9F">
            <w:pPr>
              <w:rPr>
                <w:rFonts w:ascii="Arial"/>
                <w:strike/>
                <w:dstrike w:val="0"/>
                <w:color w:val="auto"/>
                <w:sz w:val="21"/>
                <w:highlight w:val="none"/>
              </w:rPr>
            </w:pPr>
          </w:p>
        </w:tc>
        <w:tc>
          <w:tcPr>
            <w:tcW w:w="5052" w:type="dxa"/>
            <w:tcBorders>
              <w:bottom w:val="single" w:color="000000" w:sz="6" w:space="0"/>
            </w:tcBorders>
            <w:vAlign w:val="top"/>
          </w:tcPr>
          <w:p w14:paraId="592466BF">
            <w:pPr>
              <w:pStyle w:val="17"/>
              <w:spacing w:before="134" w:line="220" w:lineRule="auto"/>
              <w:ind w:left="222"/>
              <w:rPr>
                <w:strike/>
                <w:dstrike w:val="0"/>
                <w:color w:val="auto"/>
                <w:sz w:val="21"/>
                <w:szCs w:val="21"/>
                <w:highlight w:val="none"/>
              </w:rPr>
            </w:pPr>
            <w:r>
              <w:rPr>
                <w:strike/>
                <w:dstrike w:val="0"/>
                <w:color w:val="auto"/>
                <w:spacing w:val="-3"/>
                <w:sz w:val="21"/>
                <w:szCs w:val="21"/>
                <w:highlight w:val="none"/>
              </w:rPr>
              <w:t>资信评审结论</w:t>
            </w:r>
          </w:p>
        </w:tc>
        <w:tc>
          <w:tcPr>
            <w:tcW w:w="824" w:type="dxa"/>
            <w:tcBorders>
              <w:bottom w:val="single" w:color="000000" w:sz="6" w:space="0"/>
            </w:tcBorders>
            <w:vAlign w:val="top"/>
          </w:tcPr>
          <w:p w14:paraId="4B4D985D">
            <w:pPr>
              <w:rPr>
                <w:rFonts w:ascii="Arial"/>
                <w:strike/>
                <w:dstrike w:val="0"/>
                <w:color w:val="auto"/>
                <w:sz w:val="21"/>
                <w:highlight w:val="none"/>
              </w:rPr>
            </w:pPr>
          </w:p>
        </w:tc>
        <w:tc>
          <w:tcPr>
            <w:tcW w:w="823" w:type="dxa"/>
            <w:tcBorders>
              <w:bottom w:val="single" w:color="000000" w:sz="6" w:space="0"/>
            </w:tcBorders>
            <w:vAlign w:val="top"/>
          </w:tcPr>
          <w:p w14:paraId="5D50EB27">
            <w:pPr>
              <w:rPr>
                <w:rFonts w:ascii="Arial"/>
                <w:strike/>
                <w:dstrike w:val="0"/>
                <w:color w:val="auto"/>
                <w:sz w:val="21"/>
                <w:highlight w:val="none"/>
              </w:rPr>
            </w:pPr>
          </w:p>
        </w:tc>
        <w:tc>
          <w:tcPr>
            <w:tcW w:w="824" w:type="dxa"/>
            <w:tcBorders>
              <w:bottom w:val="single" w:color="000000" w:sz="6" w:space="0"/>
            </w:tcBorders>
            <w:vAlign w:val="top"/>
          </w:tcPr>
          <w:p w14:paraId="16F855D2">
            <w:pPr>
              <w:rPr>
                <w:rFonts w:ascii="Arial"/>
                <w:strike/>
                <w:dstrike w:val="0"/>
                <w:color w:val="auto"/>
                <w:sz w:val="21"/>
                <w:highlight w:val="none"/>
              </w:rPr>
            </w:pPr>
          </w:p>
        </w:tc>
        <w:tc>
          <w:tcPr>
            <w:tcW w:w="833" w:type="dxa"/>
            <w:tcBorders>
              <w:bottom w:val="single" w:color="000000" w:sz="6" w:space="0"/>
              <w:right w:val="single" w:color="000000" w:sz="6" w:space="0"/>
            </w:tcBorders>
            <w:vAlign w:val="top"/>
          </w:tcPr>
          <w:p w14:paraId="697EC028">
            <w:pPr>
              <w:rPr>
                <w:rFonts w:ascii="Arial"/>
                <w:strike/>
                <w:dstrike w:val="0"/>
                <w:color w:val="auto"/>
                <w:sz w:val="21"/>
                <w:highlight w:val="none"/>
              </w:rPr>
            </w:pPr>
          </w:p>
        </w:tc>
      </w:tr>
    </w:tbl>
    <w:p w14:paraId="02025292">
      <w:pPr>
        <w:pStyle w:val="8"/>
        <w:spacing w:line="371" w:lineRule="auto"/>
        <w:rPr>
          <w:strike/>
          <w:dstrike w:val="0"/>
          <w:color w:val="auto"/>
          <w:highlight w:val="none"/>
        </w:rPr>
      </w:pPr>
    </w:p>
    <w:p w14:paraId="5D70EBC3">
      <w:pPr>
        <w:spacing w:before="78" w:line="359" w:lineRule="auto"/>
        <w:ind w:left="9" w:right="294" w:firstLine="48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企业信用等级证明材料指：选用全国水利建设市场监管服务平台企业信用评</w:t>
      </w:r>
      <w:r>
        <w:rPr>
          <w:rFonts w:ascii="宋体" w:hAnsi="宋体" w:eastAsia="宋体" w:cs="宋体"/>
          <w:strike/>
          <w:dstrike w:val="0"/>
          <w:color w:val="auto"/>
          <w:spacing w:val="-4"/>
          <w:sz w:val="24"/>
          <w:szCs w:val="24"/>
          <w:highlight w:val="none"/>
        </w:rPr>
        <w:t>价等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级的提供显示颁发日期及有效期的网页打印件；选用浙江省水利建设市场信用评价等</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4"/>
          <w:sz w:val="24"/>
          <w:szCs w:val="24"/>
          <w:highlight w:val="none"/>
        </w:rPr>
        <w:t>级（施工类）的提供投标截止日前最新一期信用评价等级打印件（信用评价等级每周</w:t>
      </w:r>
      <w:r>
        <w:rPr>
          <w:rFonts w:ascii="宋体" w:hAnsi="宋体" w:eastAsia="宋体" w:cs="宋体"/>
          <w:strike/>
          <w:dstrike w:val="0"/>
          <w:color w:val="auto"/>
          <w:spacing w:val="15"/>
          <w:sz w:val="24"/>
          <w:szCs w:val="24"/>
          <w:highlight w:val="none"/>
        </w:rPr>
        <w:t xml:space="preserve"> </w:t>
      </w:r>
      <w:r>
        <w:rPr>
          <w:rFonts w:ascii="宋体" w:hAnsi="宋体" w:eastAsia="宋体" w:cs="宋体"/>
          <w:strike/>
          <w:dstrike w:val="0"/>
          <w:color w:val="auto"/>
          <w:spacing w:val="-1"/>
          <w:sz w:val="24"/>
          <w:szCs w:val="24"/>
          <w:highlight w:val="none"/>
        </w:rPr>
        <w:t xml:space="preserve">三下午 </w:t>
      </w:r>
      <w:r>
        <w:rPr>
          <w:rFonts w:ascii="Times New Roman" w:hAnsi="Times New Roman" w:eastAsia="Times New Roman" w:cs="Times New Roman"/>
          <w:strike/>
          <w:dstrike w:val="0"/>
          <w:color w:val="auto"/>
          <w:spacing w:val="-1"/>
          <w:sz w:val="24"/>
          <w:szCs w:val="24"/>
          <w:highlight w:val="none"/>
        </w:rPr>
        <w:t>17:00-18:00</w:t>
      </w:r>
      <w:r>
        <w:rPr>
          <w:rFonts w:ascii="宋体" w:hAnsi="宋体" w:eastAsia="宋体" w:cs="宋体"/>
          <w:strike/>
          <w:dstrike w:val="0"/>
          <w:color w:val="auto"/>
          <w:spacing w:val="-1"/>
          <w:sz w:val="24"/>
          <w:szCs w:val="24"/>
          <w:highlight w:val="none"/>
        </w:rPr>
        <w:t>更新</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打印件应含有“浙江水利透明工</w:t>
      </w:r>
      <w:r>
        <w:rPr>
          <w:rFonts w:ascii="宋体" w:hAnsi="宋体" w:eastAsia="宋体" w:cs="宋体"/>
          <w:strike/>
          <w:dstrike w:val="0"/>
          <w:color w:val="auto"/>
          <w:spacing w:val="-2"/>
          <w:sz w:val="24"/>
          <w:szCs w:val="24"/>
          <w:highlight w:val="none"/>
        </w:rPr>
        <w:t>程”水印。</w:t>
      </w:r>
    </w:p>
    <w:p w14:paraId="0CDECCC4">
      <w:pPr>
        <w:spacing w:line="223"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  </w:t>
      </w:r>
      <w:r>
        <w:rPr>
          <w:rFonts w:ascii="楷体" w:hAnsi="楷体" w:eastAsia="楷体" w:cs="楷体"/>
          <w:b/>
          <w:bCs/>
          <w:strike/>
          <w:dstrike w:val="0"/>
          <w:color w:val="auto"/>
          <w:spacing w:val="-2"/>
          <w:sz w:val="24"/>
          <w:szCs w:val="24"/>
          <w:highlight w:val="none"/>
        </w:rPr>
        <w:t>投标文件的商务评审</w:t>
      </w:r>
    </w:p>
    <w:p w14:paraId="241AE9AD">
      <w:pPr>
        <w:spacing w:before="178" w:line="312" w:lineRule="auto"/>
        <w:ind w:left="8" w:right="294"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4.5.1  </w:t>
      </w:r>
      <w:r>
        <w:rPr>
          <w:rFonts w:ascii="宋体" w:hAnsi="宋体" w:eastAsia="宋体" w:cs="宋体"/>
          <w:strike/>
          <w:dstrike w:val="0"/>
          <w:color w:val="auto"/>
          <w:sz w:val="24"/>
          <w:szCs w:val="24"/>
          <w:highlight w:val="none"/>
        </w:rPr>
        <w:t>评标委员会对通过符合性评审、技术评审的投标文件进行商务评审。评标</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委员会应对商务报价的范围、数量、单价、费用组成和总价等进行全面审阅和对比分</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析，找出报价差异的原因及存在的问题。</w:t>
      </w:r>
    </w:p>
    <w:p w14:paraId="6F65E7BD">
      <w:pPr>
        <w:spacing w:before="184" w:line="312" w:lineRule="auto"/>
        <w:ind w:left="11" w:right="292" w:firstLine="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4.5.2  </w:t>
      </w:r>
      <w:r>
        <w:rPr>
          <w:rFonts w:ascii="宋体" w:hAnsi="宋体" w:eastAsia="宋体" w:cs="宋体"/>
          <w:strike/>
          <w:dstrike w:val="0"/>
          <w:color w:val="auto"/>
          <w:sz w:val="24"/>
          <w:szCs w:val="24"/>
          <w:highlight w:val="none"/>
        </w:rPr>
        <w:t>商务评审应以报价口径范围一致的投标评标价为依据。投标评标价应在最</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终报价的基础上，按照招标文件约定的因素和方法进行计算。凡属招标文件的原因造</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成报价口径范围不一致的，应调整投标报价。其中算术错误的调整原则为：</w:t>
      </w:r>
    </w:p>
    <w:p w14:paraId="7CC51832">
      <w:pPr>
        <w:spacing w:before="182" w:line="220"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）用数字表示的金额与文字表示的数额不一致时，以文字数额为准。</w:t>
      </w:r>
    </w:p>
    <w:p w14:paraId="49CCD665">
      <w:pPr>
        <w:spacing w:line="220" w:lineRule="auto"/>
        <w:rPr>
          <w:rFonts w:ascii="宋体" w:hAnsi="宋体" w:eastAsia="宋体" w:cs="宋体"/>
          <w:strike/>
          <w:dstrike w:val="0"/>
          <w:color w:val="auto"/>
          <w:sz w:val="24"/>
          <w:szCs w:val="24"/>
          <w:highlight w:val="none"/>
        </w:rPr>
        <w:sectPr>
          <w:footerReference r:id="rId68" w:type="default"/>
          <w:pgSz w:w="11905" w:h="16840"/>
          <w:pgMar w:top="400" w:right="1235" w:bottom="1255" w:left="1587" w:header="0" w:footer="1093" w:gutter="0"/>
          <w:pgNumType w:fmt="decimal"/>
          <w:cols w:space="720" w:num="1"/>
        </w:sectPr>
      </w:pPr>
    </w:p>
    <w:p w14:paraId="4BBBDD0A">
      <w:pPr>
        <w:pStyle w:val="8"/>
        <w:spacing w:line="248" w:lineRule="auto"/>
        <w:rPr>
          <w:strike/>
          <w:dstrike w:val="0"/>
          <w:color w:val="auto"/>
          <w:highlight w:val="none"/>
        </w:rPr>
      </w:pPr>
    </w:p>
    <w:p w14:paraId="3263BB0C">
      <w:pPr>
        <w:pStyle w:val="8"/>
        <w:spacing w:line="248" w:lineRule="auto"/>
        <w:rPr>
          <w:strike/>
          <w:dstrike w:val="0"/>
          <w:color w:val="auto"/>
          <w:highlight w:val="none"/>
        </w:rPr>
      </w:pPr>
    </w:p>
    <w:p w14:paraId="06617AA2">
      <w:pPr>
        <w:pStyle w:val="8"/>
        <w:spacing w:line="248" w:lineRule="auto"/>
        <w:rPr>
          <w:strike/>
          <w:dstrike w:val="0"/>
          <w:color w:val="auto"/>
          <w:highlight w:val="none"/>
        </w:rPr>
      </w:pPr>
    </w:p>
    <w:p w14:paraId="03C28C37">
      <w:pPr>
        <w:pStyle w:val="8"/>
        <w:spacing w:line="248" w:lineRule="auto"/>
        <w:rPr>
          <w:strike/>
          <w:dstrike w:val="0"/>
          <w:color w:val="auto"/>
          <w:highlight w:val="none"/>
        </w:rPr>
      </w:pPr>
    </w:p>
    <w:p w14:paraId="4E42CC6C">
      <w:pPr>
        <w:spacing w:before="78" w:line="359" w:lineRule="auto"/>
        <w:ind w:left="11" w:firstLine="54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）凡属投标人自身失误造成多算、少算、漏算的，</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7"/>
          <w:sz w:val="24"/>
          <w:szCs w:val="24"/>
          <w:highlight w:val="none"/>
        </w:rPr>
        <w:t>不调整投标报价。若有算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术性差错，均在投标报价不变的前提下按招标人要求调整单价及有关费用，调整后的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单价及有关费用对投标人起约束作用，如果投标人不接受修正后的单价及有关</w:t>
      </w:r>
      <w:r>
        <w:rPr>
          <w:rFonts w:ascii="宋体" w:hAnsi="宋体" w:eastAsia="宋体" w:cs="宋体"/>
          <w:strike/>
          <w:dstrike w:val="0"/>
          <w:color w:val="auto"/>
          <w:spacing w:val="-2"/>
          <w:sz w:val="24"/>
          <w:szCs w:val="24"/>
          <w:highlight w:val="none"/>
        </w:rPr>
        <w:t>费用，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则按商务评审不合格处理。</w:t>
      </w:r>
    </w:p>
    <w:p w14:paraId="70868B9A">
      <w:pPr>
        <w:spacing w:line="218" w:lineRule="auto"/>
        <w:ind w:left="546"/>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4.5.3  </w:t>
      </w:r>
      <w:r>
        <w:rPr>
          <w:rFonts w:ascii="宋体" w:hAnsi="宋体" w:eastAsia="宋体" w:cs="宋体"/>
          <w:strike/>
          <w:dstrike w:val="0"/>
          <w:color w:val="auto"/>
          <w:spacing w:val="-2"/>
          <w:sz w:val="24"/>
          <w:szCs w:val="24"/>
          <w:highlight w:val="none"/>
        </w:rPr>
        <w:t>投标报价中，如有以下情况之一的，按商务评审不合格处理：</w:t>
      </w:r>
    </w:p>
    <w:p w14:paraId="057F5696">
      <w:pPr>
        <w:spacing w:before="183" w:line="218"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）投标人拒绝修正不平衡报价或拒绝提供报价分析说明和证明材料的。</w:t>
      </w:r>
    </w:p>
    <w:p w14:paraId="7D0D2088">
      <w:pPr>
        <w:spacing w:before="182" w:line="291" w:lineRule="auto"/>
        <w:ind w:left="9" w:right="84"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）因投标人自身多算、少算、错算、漏算而造成的错误金额超过投标总价的</w:t>
      </w:r>
      <w:r>
        <w:rPr>
          <w:rFonts w:ascii="宋体" w:hAnsi="宋体" w:eastAsia="宋体" w:cs="宋体"/>
          <w:strike/>
          <w:dstrike w:val="0"/>
          <w:color w:val="auto"/>
          <w:spacing w:val="2"/>
          <w:sz w:val="24"/>
          <w:szCs w:val="24"/>
          <w:highlight w:val="none"/>
        </w:rPr>
        <w:t xml:space="preserve"> </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的。</w:t>
      </w:r>
    </w:p>
    <w:p w14:paraId="56B80606">
      <w:pPr>
        <w:spacing w:before="178" w:line="220"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）安全施工费低于招标文件规定的。</w:t>
      </w:r>
    </w:p>
    <w:p w14:paraId="57AC964E">
      <w:pPr>
        <w:spacing w:before="181" w:line="312" w:lineRule="auto"/>
        <w:ind w:left="8" w:right="65" w:firstLine="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4</w:t>
      </w:r>
      <w:r>
        <w:rPr>
          <w:rFonts w:ascii="宋体" w:hAnsi="宋体" w:eastAsia="宋体" w:cs="宋体"/>
          <w:strike/>
          <w:dstrike w:val="0"/>
          <w:color w:val="auto"/>
          <w:spacing w:val="-1"/>
          <w:sz w:val="24"/>
          <w:szCs w:val="24"/>
          <w:highlight w:val="none"/>
        </w:rPr>
        <w:t>）通过符合性审查、技术评审的最低投标评</w:t>
      </w:r>
      <w:r>
        <w:rPr>
          <w:rFonts w:ascii="宋体" w:hAnsi="宋体" w:eastAsia="宋体" w:cs="宋体"/>
          <w:strike/>
          <w:dstrike w:val="0"/>
          <w:color w:val="auto"/>
          <w:spacing w:val="-2"/>
          <w:sz w:val="24"/>
          <w:szCs w:val="24"/>
          <w:highlight w:val="none"/>
        </w:rPr>
        <w:t>标价低于通过符合性审查和技术</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评审的次低投标评标价</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，且经询标投标人对</w:t>
      </w:r>
      <w:r>
        <w:rPr>
          <w:rFonts w:ascii="宋体" w:hAnsi="宋体" w:eastAsia="宋体" w:cs="宋体"/>
          <w:strike/>
          <w:dstrike w:val="0"/>
          <w:color w:val="auto"/>
          <w:spacing w:val="1"/>
          <w:sz w:val="24"/>
          <w:szCs w:val="24"/>
          <w:highlight w:val="none"/>
        </w:rPr>
        <w:t>其报价不能充分说明理由，或提供的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相关材料无法证明报价不低于其成本价的。</w:t>
      </w:r>
    </w:p>
    <w:p w14:paraId="66910906">
      <w:pPr>
        <w:spacing w:before="183" w:line="219"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）评标委员会认定属投标人自身原因有重大漏项的。</w:t>
      </w:r>
    </w:p>
    <w:p w14:paraId="359C9228">
      <w:pPr>
        <w:spacing w:before="182" w:line="213" w:lineRule="auto"/>
        <w:ind w:left="565"/>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6</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7680DE1C">
      <w:pPr>
        <w:spacing w:before="178" w:line="220" w:lineRule="auto"/>
        <w:ind w:left="52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4.5.4  </w:t>
      </w:r>
      <w:r>
        <w:rPr>
          <w:rFonts w:ascii="宋体" w:hAnsi="宋体" w:eastAsia="宋体" w:cs="宋体"/>
          <w:strike/>
          <w:dstrike w:val="0"/>
          <w:color w:val="auto"/>
          <w:spacing w:val="-2"/>
          <w:sz w:val="24"/>
          <w:szCs w:val="24"/>
          <w:highlight w:val="none"/>
        </w:rPr>
        <w:t>商务评审不通过的投标文件不再进入后续评分。</w:t>
      </w:r>
    </w:p>
    <w:p w14:paraId="62C54E0A">
      <w:pPr>
        <w:spacing w:before="183" w:line="278" w:lineRule="auto"/>
        <w:ind w:left="35" w:right="826" w:firstLine="49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1"/>
          <w:sz w:val="24"/>
          <w:szCs w:val="24"/>
          <w:highlight w:val="none"/>
        </w:rPr>
        <w:t xml:space="preserve">4.5.5  </w:t>
      </w:r>
      <w:r>
        <w:rPr>
          <w:rFonts w:ascii="宋体" w:hAnsi="宋体" w:eastAsia="宋体" w:cs="宋体"/>
          <w:strike/>
          <w:dstrike w:val="0"/>
          <w:color w:val="auto"/>
          <w:spacing w:val="-11"/>
          <w:sz w:val="24"/>
          <w:szCs w:val="24"/>
          <w:highlight w:val="none"/>
        </w:rPr>
        <w:t xml:space="preserve">评标基准价的确定 </w:t>
      </w:r>
      <w:r>
        <w:rPr>
          <w:rFonts w:ascii="宋体" w:hAnsi="宋体" w:eastAsia="宋体" w:cs="宋体"/>
          <w:i/>
          <w:iCs/>
          <w:strike/>
          <w:dstrike w:val="0"/>
          <w:color w:val="auto"/>
          <w:spacing w:val="-11"/>
          <w:sz w:val="25"/>
          <w:szCs w:val="25"/>
          <w:highlight w:val="none"/>
        </w:rPr>
        <w:t>（以下列出的两种评分基准价的确定方法仅供参</w:t>
      </w:r>
      <w:r>
        <w:rPr>
          <w:rFonts w:ascii="宋体" w:hAnsi="宋体" w:eastAsia="宋体" w:cs="宋体"/>
          <w:strike/>
          <w:dstrike w:val="0"/>
          <w:color w:val="auto"/>
          <w:spacing w:val="13"/>
          <w:sz w:val="25"/>
          <w:szCs w:val="25"/>
          <w:highlight w:val="none"/>
        </w:rPr>
        <w:t xml:space="preserve"> </w:t>
      </w:r>
      <w:r>
        <w:rPr>
          <w:rFonts w:ascii="宋体" w:hAnsi="宋体" w:eastAsia="宋体" w:cs="宋体"/>
          <w:i/>
          <w:iCs/>
          <w:strike/>
          <w:dstrike w:val="0"/>
          <w:color w:val="auto"/>
          <w:spacing w:val="-13"/>
          <w:sz w:val="25"/>
          <w:szCs w:val="25"/>
          <w:highlight w:val="none"/>
        </w:rPr>
        <w:t>考</w:t>
      </w:r>
      <w:r>
        <w:rPr>
          <w:rFonts w:ascii="宋体" w:hAnsi="宋体" w:eastAsia="宋体" w:cs="宋体"/>
          <w:i/>
          <w:iCs/>
          <w:strike/>
          <w:dstrike w:val="0"/>
          <w:color w:val="auto"/>
          <w:spacing w:val="-7"/>
          <w:sz w:val="25"/>
          <w:szCs w:val="25"/>
          <w:highlight w:val="none"/>
        </w:rPr>
        <w:t>）</w:t>
      </w:r>
      <w:r>
        <w:rPr>
          <w:rFonts w:ascii="宋体" w:hAnsi="宋体" w:eastAsia="宋体" w:cs="宋体"/>
          <w:strike/>
          <w:dstrike w:val="0"/>
          <w:color w:val="auto"/>
          <w:spacing w:val="-7"/>
          <w:sz w:val="24"/>
          <w:szCs w:val="24"/>
          <w:highlight w:val="none"/>
        </w:rPr>
        <w:t>：</w:t>
      </w:r>
    </w:p>
    <w:p w14:paraId="1C2DB1E8">
      <w:pPr>
        <w:spacing w:before="179" w:line="221" w:lineRule="auto"/>
        <w:ind w:left="55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方法</w:t>
      </w: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w:t>
      </w:r>
    </w:p>
    <w:p w14:paraId="324ABB4E">
      <w:pPr>
        <w:spacing w:before="181" w:line="353" w:lineRule="auto"/>
        <w:ind w:left="10" w:right="35"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若通过商务评审的投标人大于等于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家，基准价为通过商务</w:t>
      </w:r>
      <w:r>
        <w:rPr>
          <w:rFonts w:ascii="宋体" w:hAnsi="宋体" w:eastAsia="宋体" w:cs="宋体"/>
          <w:strike/>
          <w:dstrike w:val="0"/>
          <w:color w:val="auto"/>
          <w:spacing w:val="-2"/>
          <w:sz w:val="24"/>
          <w:szCs w:val="24"/>
          <w:highlight w:val="none"/>
        </w:rPr>
        <w:t>评审的评标价中剔除</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投标评标价由高到低排序前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个投标评标价和投标评标价由低到高排</w:t>
      </w:r>
      <w:r>
        <w:rPr>
          <w:rFonts w:ascii="宋体" w:hAnsi="宋体" w:eastAsia="宋体" w:cs="宋体"/>
          <w:strike/>
          <w:dstrike w:val="0"/>
          <w:color w:val="auto"/>
          <w:sz w:val="24"/>
          <w:szCs w:val="24"/>
          <w:highlight w:val="none"/>
        </w:rPr>
        <w:t>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 xml:space="preserve">个投标评 </w:t>
      </w:r>
      <w:r>
        <w:rPr>
          <w:rFonts w:ascii="宋体" w:hAnsi="宋体" w:eastAsia="宋体" w:cs="宋体"/>
          <w:strike/>
          <w:dstrike w:val="0"/>
          <w:color w:val="auto"/>
          <w:spacing w:val="-4"/>
          <w:sz w:val="24"/>
          <w:szCs w:val="24"/>
          <w:highlight w:val="none"/>
        </w:rPr>
        <w:t>标价后的算术平均值下浮</w:t>
      </w:r>
      <w:r>
        <w:rPr>
          <w:rFonts w:ascii="Times New Roman" w:hAnsi="Times New Roman" w:eastAsia="Times New Roman" w:cs="Times New Roman"/>
          <w:strike/>
          <w:dstrike w:val="0"/>
          <w:color w:val="auto"/>
          <w:spacing w:val="-4"/>
          <w:sz w:val="24"/>
          <w:szCs w:val="24"/>
          <w:highlight w:val="none"/>
        </w:rPr>
        <w:t>X%</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A</w:t>
      </w:r>
      <w:r>
        <w:rPr>
          <w:rFonts w:ascii="宋体" w:hAnsi="宋体" w:eastAsia="宋体" w:cs="宋体"/>
          <w:strike/>
          <w:dstrike w:val="0"/>
          <w:color w:val="auto"/>
          <w:spacing w:val="-4"/>
          <w:sz w:val="24"/>
          <w:szCs w:val="24"/>
          <w:highlight w:val="none"/>
        </w:rPr>
        <w:t>为通过商务评审的投标人个数的</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20%</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30%</w:t>
      </w:r>
      <w:r>
        <w:rPr>
          <w:rFonts w:ascii="Times New Roman" w:hAnsi="Times New Roman" w:eastAsia="Times New Roman" w:cs="Times New Roman"/>
          <w:i/>
          <w:iCs/>
          <w:strike/>
          <w:dstrike w:val="0"/>
          <w:color w:val="auto"/>
          <w:spacing w:val="-15"/>
          <w:sz w:val="24"/>
          <w:szCs w:val="24"/>
          <w:highlight w:val="none"/>
          <w:u w:val="single" w:color="auto"/>
        </w:rPr>
        <w:t xml:space="preserve"> </w:t>
      </w:r>
      <w:r>
        <w:rPr>
          <w:rFonts w:ascii="宋体" w:hAnsi="宋体" w:eastAsia="宋体" w:cs="宋体"/>
          <w:i/>
          <w:iCs/>
          <w:strike/>
          <w:dstrike w:val="0"/>
          <w:color w:val="auto"/>
          <w:spacing w:val="-4"/>
          <w:sz w:val="25"/>
          <w:szCs w:val="25"/>
          <w:highlight w:val="none"/>
          <w:u w:val="single" w:color="auto"/>
        </w:rPr>
        <w:t>，</w:t>
      </w:r>
      <w:r>
        <w:rPr>
          <w:rFonts w:ascii="宋体" w:hAnsi="宋体" w:eastAsia="宋体" w:cs="宋体"/>
          <w:b/>
          <w:bCs/>
          <w:i/>
          <w:iCs/>
          <w:strike/>
          <w:dstrike w:val="0"/>
          <w:color w:val="auto"/>
          <w:spacing w:val="-4"/>
          <w:sz w:val="25"/>
          <w:szCs w:val="25"/>
          <w:highlight w:val="none"/>
          <w:u w:val="single" w:color="auto"/>
        </w:rPr>
        <w:t>由招</w:t>
      </w:r>
      <w:r>
        <w:rPr>
          <w:rFonts w:ascii="宋体" w:hAnsi="宋体" w:eastAsia="宋体" w:cs="宋体"/>
          <w:strike/>
          <w:dstrike w:val="0"/>
          <w:color w:val="auto"/>
          <w:sz w:val="25"/>
          <w:szCs w:val="25"/>
          <w:highlight w:val="none"/>
        </w:rPr>
        <w:t xml:space="preserve"> </w:t>
      </w:r>
      <w:r>
        <w:rPr>
          <w:rFonts w:ascii="宋体" w:hAnsi="宋体" w:eastAsia="宋体" w:cs="宋体"/>
          <w:b/>
          <w:bCs/>
          <w:i/>
          <w:iCs/>
          <w:strike/>
          <w:dstrike w:val="0"/>
          <w:color w:val="auto"/>
          <w:spacing w:val="-2"/>
          <w:sz w:val="25"/>
          <w:szCs w:val="25"/>
          <w:highlight w:val="none"/>
          <w:u w:val="single" w:color="auto"/>
        </w:rPr>
        <w:t>标人自主确定</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并取整数，小数点后四舍五入</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若通过商务</w:t>
      </w:r>
      <w:r>
        <w:rPr>
          <w:rFonts w:ascii="宋体" w:hAnsi="宋体" w:eastAsia="宋体" w:cs="宋体"/>
          <w:strike/>
          <w:dstrike w:val="0"/>
          <w:color w:val="auto"/>
          <w:spacing w:val="-3"/>
          <w:sz w:val="24"/>
          <w:szCs w:val="24"/>
          <w:highlight w:val="none"/>
        </w:rPr>
        <w:t>评审的投标人少于</w:t>
      </w:r>
      <w:r>
        <w:rPr>
          <w:rFonts w:ascii="Times New Roman" w:hAnsi="Times New Roman" w:eastAsia="Times New Roman" w:cs="Times New Roman"/>
          <w:strike/>
          <w:dstrike w:val="0"/>
          <w:color w:val="auto"/>
          <w:spacing w:val="-3"/>
          <w:sz w:val="24"/>
          <w:szCs w:val="24"/>
          <w:highlight w:val="none"/>
        </w:rPr>
        <w:t>5</w:t>
      </w:r>
      <w:r>
        <w:rPr>
          <w:rFonts w:ascii="Times New Roman" w:hAnsi="Times New Roman" w:eastAsia="Times New Roman" w:cs="Times New Roman"/>
          <w:strike/>
          <w:dstrike w:val="0"/>
          <w:color w:val="auto"/>
          <w:spacing w:val="2"/>
          <w:sz w:val="24"/>
          <w:szCs w:val="24"/>
          <w:highlight w:val="none"/>
        </w:rPr>
        <w:t xml:space="preserve"> </w:t>
      </w:r>
      <w:r>
        <w:rPr>
          <w:rFonts w:ascii="宋体" w:hAnsi="宋体" w:eastAsia="宋体" w:cs="宋体"/>
          <w:strike/>
          <w:dstrike w:val="0"/>
          <w:color w:val="auto"/>
          <w:spacing w:val="-1"/>
          <w:sz w:val="24"/>
          <w:szCs w:val="24"/>
          <w:highlight w:val="none"/>
        </w:rPr>
        <w:t>家时，基准价为所有通过商务评审的评标价的算术平均值下浮</w:t>
      </w:r>
      <w:r>
        <w:rPr>
          <w:rFonts w:ascii="Times New Roman" w:hAnsi="Times New Roman" w:eastAsia="Times New Roman" w:cs="Times New Roman"/>
          <w:strike/>
          <w:dstrike w:val="0"/>
          <w:color w:val="auto"/>
          <w:spacing w:val="-1"/>
          <w:sz w:val="24"/>
          <w:szCs w:val="24"/>
          <w:highlight w:val="none"/>
        </w:rPr>
        <w:t>X</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的数值。</w:t>
      </w:r>
    </w:p>
    <w:p w14:paraId="12F45329">
      <w:pPr>
        <w:tabs>
          <w:tab w:val="left" w:pos="113"/>
        </w:tabs>
        <w:spacing w:before="1" w:line="345" w:lineRule="auto"/>
        <w:ind w:right="45" w:firstLine="54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8"/>
          <w:sz w:val="24"/>
          <w:szCs w:val="24"/>
          <w:highlight w:val="none"/>
        </w:rPr>
        <w:t>X</w:t>
      </w:r>
      <w:r>
        <w:rPr>
          <w:rFonts w:ascii="宋体" w:hAnsi="宋体" w:eastAsia="宋体" w:cs="宋体"/>
          <w:strike/>
          <w:dstrike w:val="0"/>
          <w:color w:val="auto"/>
          <w:spacing w:val="-8"/>
          <w:sz w:val="24"/>
          <w:szCs w:val="24"/>
          <w:highlight w:val="none"/>
        </w:rPr>
        <w:t>值在开标时由招标人在</w:t>
      </w:r>
      <w:r>
        <w:rPr>
          <w:rFonts w:ascii="宋体" w:hAnsi="宋体" w:eastAsia="宋体" w:cs="宋体"/>
          <w:strike/>
          <w:dstrike w:val="0"/>
          <w:color w:val="auto"/>
          <w:spacing w:val="56"/>
          <w:sz w:val="25"/>
          <w:szCs w:val="25"/>
          <w:highlight w:val="none"/>
          <w:u w:val="single" w:color="auto"/>
        </w:rPr>
        <w:t xml:space="preserve">  </w:t>
      </w:r>
      <w:r>
        <w:rPr>
          <w:rFonts w:ascii="宋体" w:hAnsi="宋体" w:eastAsia="宋体" w:cs="宋体"/>
          <w:i/>
          <w:iCs/>
          <w:strike/>
          <w:dstrike w:val="0"/>
          <w:color w:val="auto"/>
          <w:spacing w:val="-8"/>
          <w:sz w:val="25"/>
          <w:szCs w:val="25"/>
          <w:highlight w:val="none"/>
          <w:u w:val="single" w:color="auto"/>
        </w:rPr>
        <w:t>（由招标人在</w:t>
      </w:r>
      <w:r>
        <w:rPr>
          <w:rFonts w:ascii="Times New Roman" w:hAnsi="Times New Roman" w:eastAsia="Times New Roman" w:cs="Times New Roman"/>
          <w:i/>
          <w:iCs/>
          <w:strike/>
          <w:dstrike w:val="0"/>
          <w:color w:val="auto"/>
          <w:spacing w:val="-8"/>
          <w:sz w:val="24"/>
          <w:szCs w:val="24"/>
          <w:highlight w:val="none"/>
          <w:u w:val="single" w:color="auto"/>
        </w:rPr>
        <w:t>0</w:t>
      </w:r>
      <w:r>
        <w:rPr>
          <w:rFonts w:ascii="宋体" w:hAnsi="宋体" w:eastAsia="宋体" w:cs="宋体"/>
          <w:i/>
          <w:iCs/>
          <w:strike/>
          <w:dstrike w:val="0"/>
          <w:color w:val="auto"/>
          <w:spacing w:val="-8"/>
          <w:sz w:val="25"/>
          <w:szCs w:val="25"/>
          <w:highlight w:val="none"/>
          <w:u w:val="single" w:color="auto"/>
        </w:rPr>
        <w:t>～</w:t>
      </w:r>
      <w:r>
        <w:rPr>
          <w:rFonts w:ascii="Times New Roman" w:hAnsi="Times New Roman" w:eastAsia="Times New Roman" w:cs="Times New Roman"/>
          <w:i/>
          <w:iCs/>
          <w:strike/>
          <w:dstrike w:val="0"/>
          <w:color w:val="auto"/>
          <w:spacing w:val="-8"/>
          <w:sz w:val="24"/>
          <w:szCs w:val="24"/>
          <w:highlight w:val="none"/>
          <w:u w:val="single" w:color="auto"/>
        </w:rPr>
        <w:t>3</w:t>
      </w:r>
      <w:r>
        <w:rPr>
          <w:rFonts w:ascii="宋体" w:hAnsi="宋体" w:eastAsia="宋体" w:cs="宋体"/>
          <w:i/>
          <w:iCs/>
          <w:strike/>
          <w:dstrike w:val="0"/>
          <w:color w:val="auto"/>
          <w:spacing w:val="-8"/>
          <w:sz w:val="25"/>
          <w:szCs w:val="25"/>
          <w:highlight w:val="none"/>
          <w:u w:val="single" w:color="auto"/>
        </w:rPr>
        <w:t>之间自行确定，但应为</w:t>
      </w:r>
      <w:r>
        <w:rPr>
          <w:rFonts w:ascii="Times New Roman" w:hAnsi="Times New Roman" w:eastAsia="Times New Roman" w:cs="Times New Roman"/>
          <w:i/>
          <w:iCs/>
          <w:strike/>
          <w:dstrike w:val="0"/>
          <w:color w:val="auto"/>
          <w:spacing w:val="-8"/>
          <w:sz w:val="24"/>
          <w:szCs w:val="24"/>
          <w:highlight w:val="none"/>
          <w:u w:val="single" w:color="auto"/>
        </w:rPr>
        <w:t>5</w:t>
      </w:r>
      <w:r>
        <w:rPr>
          <w:rFonts w:ascii="宋体" w:hAnsi="宋体" w:eastAsia="宋体" w:cs="宋体"/>
          <w:i/>
          <w:iCs/>
          <w:strike/>
          <w:dstrike w:val="0"/>
          <w:color w:val="auto"/>
          <w:spacing w:val="-8"/>
          <w:sz w:val="25"/>
          <w:szCs w:val="25"/>
          <w:highlight w:val="none"/>
          <w:u w:val="single" w:color="auto"/>
        </w:rPr>
        <w:t>个数组成</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z w:val="25"/>
          <w:szCs w:val="25"/>
          <w:highlight w:val="none"/>
          <w:u w:val="single" w:color="auto"/>
        </w:rPr>
        <w:tab/>
      </w:r>
      <w:r>
        <w:rPr>
          <w:rFonts w:ascii="宋体" w:hAnsi="宋体" w:eastAsia="宋体" w:cs="宋体"/>
          <w:i/>
          <w:iCs/>
          <w:strike/>
          <w:dstrike w:val="0"/>
          <w:color w:val="auto"/>
          <w:spacing w:val="-11"/>
          <w:sz w:val="25"/>
          <w:szCs w:val="25"/>
          <w:highlight w:val="none"/>
          <w:u w:val="single" w:color="auto"/>
        </w:rPr>
        <w:t>的等差递增数列，最小公差大于等于</w:t>
      </w:r>
      <w:r>
        <w:rPr>
          <w:rFonts w:ascii="Times New Roman" w:hAnsi="Times New Roman" w:eastAsia="Times New Roman" w:cs="Times New Roman"/>
          <w:i/>
          <w:iCs/>
          <w:strike/>
          <w:dstrike w:val="0"/>
          <w:color w:val="auto"/>
          <w:spacing w:val="-11"/>
          <w:sz w:val="24"/>
          <w:szCs w:val="24"/>
          <w:highlight w:val="none"/>
          <w:u w:val="single" w:color="auto"/>
        </w:rPr>
        <w:t>0.5</w:t>
      </w:r>
      <w:r>
        <w:rPr>
          <w:rFonts w:ascii="宋体" w:hAnsi="宋体" w:eastAsia="宋体" w:cs="宋体"/>
          <w:i/>
          <w:iCs/>
          <w:strike/>
          <w:dstrike w:val="0"/>
          <w:color w:val="auto"/>
          <w:spacing w:val="-11"/>
          <w:sz w:val="25"/>
          <w:szCs w:val="25"/>
          <w:highlight w:val="none"/>
          <w:u w:val="single" w:color="auto"/>
        </w:rPr>
        <w:t>）</w:t>
      </w:r>
      <w:r>
        <w:rPr>
          <w:rFonts w:ascii="宋体" w:hAnsi="宋体" w:eastAsia="宋体" w:cs="宋体"/>
          <w:strike/>
          <w:dstrike w:val="0"/>
          <w:color w:val="auto"/>
          <w:spacing w:val="108"/>
          <w:sz w:val="25"/>
          <w:szCs w:val="25"/>
          <w:highlight w:val="none"/>
          <w:u w:val="single" w:color="auto"/>
        </w:rPr>
        <w:t xml:space="preserve"> </w:t>
      </w:r>
      <w:r>
        <w:rPr>
          <w:rFonts w:ascii="宋体" w:hAnsi="宋体" w:eastAsia="宋体" w:cs="宋体"/>
          <w:strike/>
          <w:dstrike w:val="0"/>
          <w:color w:val="auto"/>
          <w:spacing w:val="-114"/>
          <w:sz w:val="25"/>
          <w:szCs w:val="25"/>
          <w:highlight w:val="none"/>
        </w:rPr>
        <w:t xml:space="preserve"> </w:t>
      </w:r>
      <w:r>
        <w:rPr>
          <w:rFonts w:ascii="宋体" w:hAnsi="宋体" w:eastAsia="宋体" w:cs="宋体"/>
          <w:strike/>
          <w:dstrike w:val="0"/>
          <w:color w:val="auto"/>
          <w:spacing w:val="-11"/>
          <w:sz w:val="24"/>
          <w:szCs w:val="24"/>
          <w:highlight w:val="none"/>
        </w:rPr>
        <w:t>之中随机抽取确定。</w:t>
      </w:r>
    </w:p>
    <w:p w14:paraId="560A34FF">
      <w:pPr>
        <w:spacing w:before="1" w:line="220" w:lineRule="auto"/>
        <w:ind w:left="48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方法</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w:t>
      </w:r>
    </w:p>
    <w:p w14:paraId="2563541D">
      <w:pPr>
        <w:spacing w:before="179" w:line="357" w:lineRule="auto"/>
        <w:ind w:left="9" w:right="64" w:firstLine="546"/>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）平均报价值的确定：若通过商务评审的投标人大于等于</w:t>
      </w:r>
      <w:r>
        <w:rPr>
          <w:rFonts w:ascii="Times New Roman" w:hAnsi="Times New Roman" w:eastAsia="Times New Roman" w:cs="Times New Roman"/>
          <w:strike/>
          <w:dstrike w:val="0"/>
          <w:color w:val="auto"/>
          <w:spacing w:val="-5"/>
          <w:sz w:val="24"/>
          <w:szCs w:val="24"/>
          <w:highlight w:val="none"/>
        </w:rPr>
        <w:t>5</w:t>
      </w:r>
      <w:r>
        <w:rPr>
          <w:rFonts w:ascii="宋体" w:hAnsi="宋体" w:eastAsia="宋体" w:cs="宋体"/>
          <w:strike/>
          <w:dstrike w:val="0"/>
          <w:color w:val="auto"/>
          <w:spacing w:val="-5"/>
          <w:sz w:val="24"/>
          <w:szCs w:val="24"/>
          <w:highlight w:val="none"/>
        </w:rPr>
        <w:t>家，平均报价值为</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6"/>
          <w:sz w:val="24"/>
          <w:szCs w:val="24"/>
          <w:highlight w:val="none"/>
        </w:rPr>
        <w:t>通过商务评审的评标价中剔除投标评标价由高到低排</w:t>
      </w:r>
      <w:r>
        <w:rPr>
          <w:rFonts w:ascii="宋体" w:hAnsi="宋体" w:eastAsia="宋体" w:cs="宋体"/>
          <w:strike/>
          <w:dstrike w:val="0"/>
          <w:color w:val="auto"/>
          <w:spacing w:val="5"/>
          <w:sz w:val="24"/>
          <w:szCs w:val="24"/>
          <w:highlight w:val="none"/>
        </w:rPr>
        <w:t>序前</w:t>
      </w:r>
      <w:r>
        <w:rPr>
          <w:rFonts w:ascii="Times New Roman" w:hAnsi="Times New Roman" w:eastAsia="Times New Roman" w:cs="Times New Roman"/>
          <w:strike/>
          <w:dstrike w:val="0"/>
          <w:color w:val="auto"/>
          <w:spacing w:val="5"/>
          <w:sz w:val="24"/>
          <w:szCs w:val="24"/>
          <w:highlight w:val="none"/>
        </w:rPr>
        <w:t>A</w:t>
      </w:r>
      <w:r>
        <w:rPr>
          <w:rFonts w:ascii="宋体" w:hAnsi="宋体" w:eastAsia="宋体" w:cs="宋体"/>
          <w:strike/>
          <w:dstrike w:val="0"/>
          <w:color w:val="auto"/>
          <w:spacing w:val="5"/>
          <w:sz w:val="24"/>
          <w:szCs w:val="24"/>
          <w:highlight w:val="none"/>
        </w:rPr>
        <w:t>个投标评标价和投标评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标价由低到高排序前</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个投标评标价后的算术平均值［</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为通过商务评</w:t>
      </w:r>
      <w:r>
        <w:rPr>
          <w:rFonts w:ascii="宋体" w:hAnsi="宋体" w:eastAsia="宋体" w:cs="宋体"/>
          <w:strike/>
          <w:dstrike w:val="0"/>
          <w:color w:val="auto"/>
          <w:sz w:val="24"/>
          <w:szCs w:val="24"/>
          <w:highlight w:val="none"/>
        </w:rPr>
        <w:t xml:space="preserve">审的投标人个 </w:t>
      </w:r>
      <w:r>
        <w:rPr>
          <w:rFonts w:ascii="宋体" w:hAnsi="宋体" w:eastAsia="宋体" w:cs="宋体"/>
          <w:strike/>
          <w:dstrike w:val="0"/>
          <w:color w:val="auto"/>
          <w:spacing w:val="-5"/>
          <w:sz w:val="24"/>
          <w:szCs w:val="24"/>
          <w:highlight w:val="none"/>
        </w:rPr>
        <w:t>数的</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20%</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 xml:space="preserve">30% </w:t>
      </w:r>
      <w:r>
        <w:rPr>
          <w:rFonts w:ascii="宋体" w:hAnsi="宋体" w:eastAsia="宋体" w:cs="宋体"/>
          <w:i/>
          <w:iCs/>
          <w:strike/>
          <w:dstrike w:val="0"/>
          <w:color w:val="auto"/>
          <w:spacing w:val="-5"/>
          <w:sz w:val="25"/>
          <w:szCs w:val="25"/>
          <w:highlight w:val="none"/>
          <w:u w:val="single" w:color="auto"/>
        </w:rPr>
        <w:t>，由招标人自主确定）</w:t>
      </w:r>
      <w:r>
        <w:rPr>
          <w:rFonts w:ascii="宋体" w:hAnsi="宋体" w:eastAsia="宋体" w:cs="宋体"/>
          <w:strike/>
          <w:dstrike w:val="0"/>
          <w:color w:val="auto"/>
          <w:spacing w:val="-5"/>
          <w:sz w:val="24"/>
          <w:szCs w:val="24"/>
          <w:highlight w:val="none"/>
        </w:rPr>
        <w:t>，并取整数</w:t>
      </w:r>
      <w:r>
        <w:rPr>
          <w:rFonts w:ascii="宋体" w:hAnsi="宋体" w:eastAsia="宋体" w:cs="宋体"/>
          <w:strike/>
          <w:dstrike w:val="0"/>
          <w:color w:val="auto"/>
          <w:spacing w:val="-6"/>
          <w:sz w:val="24"/>
          <w:szCs w:val="24"/>
          <w:highlight w:val="none"/>
        </w:rPr>
        <w:t>，小数点后四舍五入</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pacing w:val="-6"/>
          <w:sz w:val="24"/>
          <w:szCs w:val="24"/>
          <w:highlight w:val="none"/>
        </w:rPr>
        <w:t>若通过</w:t>
      </w:r>
    </w:p>
    <w:p w14:paraId="48F48060">
      <w:pPr>
        <w:spacing w:line="357" w:lineRule="auto"/>
        <w:rPr>
          <w:rFonts w:ascii="宋体" w:hAnsi="宋体" w:eastAsia="宋体" w:cs="宋体"/>
          <w:strike/>
          <w:dstrike w:val="0"/>
          <w:color w:val="auto"/>
          <w:sz w:val="24"/>
          <w:szCs w:val="24"/>
          <w:highlight w:val="none"/>
        </w:rPr>
        <w:sectPr>
          <w:footerReference r:id="rId69" w:type="default"/>
          <w:pgSz w:w="11905" w:h="16840"/>
          <w:pgMar w:top="400" w:right="1463" w:bottom="1255" w:left="1587" w:header="0" w:footer="1093" w:gutter="0"/>
          <w:pgNumType w:fmt="decimal"/>
          <w:cols w:space="720" w:num="1"/>
        </w:sectPr>
      </w:pPr>
    </w:p>
    <w:p w14:paraId="2ABA3F80">
      <w:pPr>
        <w:pStyle w:val="8"/>
        <w:spacing w:line="248" w:lineRule="auto"/>
        <w:rPr>
          <w:strike/>
          <w:dstrike w:val="0"/>
          <w:color w:val="auto"/>
          <w:highlight w:val="none"/>
        </w:rPr>
      </w:pPr>
    </w:p>
    <w:p w14:paraId="76274C1B">
      <w:pPr>
        <w:pStyle w:val="8"/>
        <w:spacing w:line="248" w:lineRule="auto"/>
        <w:rPr>
          <w:strike/>
          <w:dstrike w:val="0"/>
          <w:color w:val="auto"/>
          <w:highlight w:val="none"/>
        </w:rPr>
      </w:pPr>
    </w:p>
    <w:p w14:paraId="75827C79">
      <w:pPr>
        <w:pStyle w:val="8"/>
        <w:spacing w:line="248" w:lineRule="auto"/>
        <w:rPr>
          <w:strike/>
          <w:dstrike w:val="0"/>
          <w:color w:val="auto"/>
          <w:highlight w:val="none"/>
        </w:rPr>
      </w:pPr>
    </w:p>
    <w:p w14:paraId="58CE7824">
      <w:pPr>
        <w:pStyle w:val="8"/>
        <w:spacing w:line="248" w:lineRule="auto"/>
        <w:rPr>
          <w:strike/>
          <w:dstrike w:val="0"/>
          <w:color w:val="auto"/>
          <w:highlight w:val="none"/>
        </w:rPr>
      </w:pPr>
    </w:p>
    <w:p w14:paraId="3F12FA07">
      <w:pPr>
        <w:spacing w:before="78" w:line="218" w:lineRule="auto"/>
        <w:ind w:left="1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商务评审的投标人少于</w:t>
      </w:r>
      <w:r>
        <w:rPr>
          <w:rFonts w:ascii="Times New Roman" w:hAnsi="Times New Roman" w:eastAsia="Times New Roman" w:cs="Times New Roman"/>
          <w:strike/>
          <w:dstrike w:val="0"/>
          <w:color w:val="auto"/>
          <w:spacing w:val="-4"/>
          <w:sz w:val="24"/>
          <w:szCs w:val="24"/>
          <w:highlight w:val="none"/>
        </w:rPr>
        <w:t>5</w:t>
      </w:r>
      <w:r>
        <w:rPr>
          <w:rFonts w:ascii="宋体" w:hAnsi="宋体" w:eastAsia="宋体" w:cs="宋体"/>
          <w:strike/>
          <w:dstrike w:val="0"/>
          <w:color w:val="auto"/>
          <w:spacing w:val="-4"/>
          <w:sz w:val="24"/>
          <w:szCs w:val="24"/>
          <w:highlight w:val="none"/>
        </w:rPr>
        <w:t>家，平均报价值为所有通过商务评审的评标价的算术平均值。</w:t>
      </w:r>
    </w:p>
    <w:p w14:paraId="097EBE88">
      <w:pPr>
        <w:spacing w:before="182" w:line="220" w:lineRule="auto"/>
        <w:ind w:left="52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4"/>
          <w:sz w:val="24"/>
          <w:szCs w:val="24"/>
          <w:highlight w:val="none"/>
        </w:rPr>
        <w:t xml:space="preserve">4.5.6  </w:t>
      </w:r>
      <w:r>
        <w:rPr>
          <w:rFonts w:ascii="宋体" w:hAnsi="宋体" w:eastAsia="宋体" w:cs="宋体"/>
          <w:strike/>
          <w:dstrike w:val="0"/>
          <w:color w:val="auto"/>
          <w:spacing w:val="-4"/>
          <w:sz w:val="24"/>
          <w:szCs w:val="24"/>
          <w:highlight w:val="none"/>
        </w:rPr>
        <w:t>商务评审内容见下表：</w:t>
      </w:r>
    </w:p>
    <w:p w14:paraId="4D3E8797">
      <w:pPr>
        <w:spacing w:line="165" w:lineRule="exact"/>
        <w:rPr>
          <w:strike/>
          <w:dstrike w:val="0"/>
          <w:color w:val="auto"/>
          <w:highlight w:val="none"/>
        </w:rPr>
      </w:pPr>
    </w:p>
    <w:tbl>
      <w:tblPr>
        <w:tblStyle w:val="16"/>
        <w:tblW w:w="952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8"/>
        <w:gridCol w:w="5400"/>
        <w:gridCol w:w="850"/>
        <w:gridCol w:w="848"/>
        <w:gridCol w:w="849"/>
        <w:gridCol w:w="745"/>
      </w:tblGrid>
      <w:tr w14:paraId="59CBD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828" w:type="dxa"/>
            <w:vMerge w:val="restart"/>
            <w:tcBorders>
              <w:top w:val="single" w:color="000000" w:sz="6" w:space="0"/>
              <w:left w:val="single" w:color="000000" w:sz="6" w:space="0"/>
              <w:bottom w:val="nil"/>
            </w:tcBorders>
            <w:vAlign w:val="top"/>
          </w:tcPr>
          <w:p w14:paraId="1C1E91ED">
            <w:pPr>
              <w:spacing w:line="287" w:lineRule="auto"/>
              <w:rPr>
                <w:rFonts w:ascii="Arial"/>
                <w:strike/>
                <w:dstrike w:val="0"/>
                <w:color w:val="auto"/>
                <w:sz w:val="21"/>
                <w:highlight w:val="none"/>
              </w:rPr>
            </w:pPr>
          </w:p>
          <w:p w14:paraId="31F3932B">
            <w:pPr>
              <w:pStyle w:val="17"/>
              <w:spacing w:before="68" w:line="221" w:lineRule="auto"/>
              <w:ind w:left="202"/>
              <w:rPr>
                <w:strike/>
                <w:dstrike w:val="0"/>
                <w:color w:val="auto"/>
                <w:sz w:val="21"/>
                <w:szCs w:val="21"/>
                <w:highlight w:val="none"/>
              </w:rPr>
            </w:pPr>
            <w:r>
              <w:rPr>
                <w:strike/>
                <w:dstrike w:val="0"/>
                <w:color w:val="auto"/>
                <w:spacing w:val="-2"/>
                <w:sz w:val="21"/>
                <w:szCs w:val="21"/>
                <w:highlight w:val="none"/>
              </w:rPr>
              <w:t>序号</w:t>
            </w:r>
          </w:p>
        </w:tc>
        <w:tc>
          <w:tcPr>
            <w:tcW w:w="5400" w:type="dxa"/>
            <w:vMerge w:val="restart"/>
            <w:tcBorders>
              <w:top w:val="single" w:color="000000" w:sz="6" w:space="0"/>
              <w:bottom w:val="nil"/>
            </w:tcBorders>
            <w:vAlign w:val="top"/>
          </w:tcPr>
          <w:p w14:paraId="2E4517A7">
            <w:pPr>
              <w:spacing w:line="287" w:lineRule="auto"/>
              <w:rPr>
                <w:rFonts w:ascii="Arial"/>
                <w:strike/>
                <w:dstrike w:val="0"/>
                <w:color w:val="auto"/>
                <w:sz w:val="21"/>
                <w:highlight w:val="none"/>
              </w:rPr>
            </w:pPr>
          </w:p>
          <w:p w14:paraId="1021928C">
            <w:pPr>
              <w:pStyle w:val="17"/>
              <w:spacing w:before="68" w:line="220" w:lineRule="auto"/>
              <w:ind w:left="1993"/>
              <w:rPr>
                <w:strike/>
                <w:dstrike w:val="0"/>
                <w:color w:val="auto"/>
                <w:sz w:val="21"/>
                <w:szCs w:val="21"/>
                <w:highlight w:val="none"/>
              </w:rPr>
            </w:pPr>
            <w:r>
              <w:rPr>
                <w:strike/>
                <w:dstrike w:val="0"/>
                <w:color w:val="auto"/>
                <w:spacing w:val="-14"/>
                <w:sz w:val="21"/>
                <w:szCs w:val="21"/>
                <w:highlight w:val="none"/>
              </w:rPr>
              <w:t>内</w:t>
            </w:r>
            <w:r>
              <w:rPr>
                <w:strike/>
                <w:dstrike w:val="0"/>
                <w:color w:val="auto"/>
                <w:spacing w:val="6"/>
                <w:sz w:val="21"/>
                <w:szCs w:val="21"/>
                <w:highlight w:val="none"/>
              </w:rPr>
              <w:t xml:space="preserve">  </w:t>
            </w:r>
            <w:r>
              <w:rPr>
                <w:strike/>
                <w:dstrike w:val="0"/>
                <w:color w:val="auto"/>
                <w:spacing w:val="-14"/>
                <w:sz w:val="21"/>
                <w:szCs w:val="21"/>
                <w:highlight w:val="none"/>
              </w:rPr>
              <w:t>容</w:t>
            </w:r>
            <w:r>
              <w:rPr>
                <w:strike/>
                <w:dstrike w:val="0"/>
                <w:color w:val="auto"/>
                <w:spacing w:val="5"/>
                <w:sz w:val="21"/>
                <w:szCs w:val="21"/>
                <w:highlight w:val="none"/>
              </w:rPr>
              <w:t xml:space="preserve">  </w:t>
            </w:r>
            <w:r>
              <w:rPr>
                <w:strike/>
                <w:dstrike w:val="0"/>
                <w:color w:val="auto"/>
                <w:spacing w:val="-14"/>
                <w:sz w:val="21"/>
                <w:szCs w:val="21"/>
                <w:highlight w:val="none"/>
              </w:rPr>
              <w:t>要</w:t>
            </w:r>
            <w:r>
              <w:rPr>
                <w:strike/>
                <w:dstrike w:val="0"/>
                <w:color w:val="auto"/>
                <w:spacing w:val="4"/>
                <w:sz w:val="21"/>
                <w:szCs w:val="21"/>
                <w:highlight w:val="none"/>
              </w:rPr>
              <w:t xml:space="preserve">  </w:t>
            </w:r>
            <w:r>
              <w:rPr>
                <w:strike/>
                <w:dstrike w:val="0"/>
                <w:color w:val="auto"/>
                <w:spacing w:val="-14"/>
                <w:sz w:val="21"/>
                <w:szCs w:val="21"/>
                <w:highlight w:val="none"/>
              </w:rPr>
              <w:t>求</w:t>
            </w:r>
          </w:p>
        </w:tc>
        <w:tc>
          <w:tcPr>
            <w:tcW w:w="3292" w:type="dxa"/>
            <w:gridSpan w:val="4"/>
            <w:tcBorders>
              <w:top w:val="single" w:color="000000" w:sz="6" w:space="0"/>
              <w:right w:val="single" w:color="000000" w:sz="6" w:space="0"/>
            </w:tcBorders>
            <w:vAlign w:val="top"/>
          </w:tcPr>
          <w:p w14:paraId="3654DD11">
            <w:pPr>
              <w:pStyle w:val="17"/>
              <w:spacing w:before="125" w:line="220" w:lineRule="auto"/>
              <w:ind w:left="1230"/>
              <w:rPr>
                <w:strike/>
                <w:dstrike w:val="0"/>
                <w:color w:val="auto"/>
                <w:sz w:val="21"/>
                <w:szCs w:val="21"/>
                <w:highlight w:val="none"/>
              </w:rPr>
            </w:pPr>
            <w:r>
              <w:rPr>
                <w:strike/>
                <w:dstrike w:val="0"/>
                <w:color w:val="auto"/>
                <w:spacing w:val="-2"/>
                <w:sz w:val="21"/>
                <w:szCs w:val="21"/>
                <w:highlight w:val="none"/>
              </w:rPr>
              <w:t>评审意见</w:t>
            </w:r>
          </w:p>
        </w:tc>
      </w:tr>
      <w:tr w14:paraId="3206B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28" w:type="dxa"/>
            <w:vMerge w:val="continue"/>
            <w:tcBorders>
              <w:top w:val="nil"/>
              <w:left w:val="single" w:color="000000" w:sz="6" w:space="0"/>
            </w:tcBorders>
            <w:vAlign w:val="top"/>
          </w:tcPr>
          <w:p w14:paraId="5475D527">
            <w:pPr>
              <w:rPr>
                <w:rFonts w:ascii="Arial"/>
                <w:strike/>
                <w:dstrike w:val="0"/>
                <w:color w:val="auto"/>
                <w:sz w:val="21"/>
                <w:highlight w:val="none"/>
              </w:rPr>
            </w:pPr>
          </w:p>
        </w:tc>
        <w:tc>
          <w:tcPr>
            <w:tcW w:w="5400" w:type="dxa"/>
            <w:vMerge w:val="continue"/>
            <w:tcBorders>
              <w:top w:val="nil"/>
            </w:tcBorders>
            <w:vAlign w:val="top"/>
          </w:tcPr>
          <w:p w14:paraId="3CDBF9B6">
            <w:pPr>
              <w:rPr>
                <w:rFonts w:ascii="Arial"/>
                <w:strike/>
                <w:dstrike w:val="0"/>
                <w:color w:val="auto"/>
                <w:sz w:val="21"/>
                <w:highlight w:val="none"/>
              </w:rPr>
            </w:pPr>
          </w:p>
        </w:tc>
        <w:tc>
          <w:tcPr>
            <w:tcW w:w="850" w:type="dxa"/>
            <w:vAlign w:val="top"/>
          </w:tcPr>
          <w:p w14:paraId="2ABB8E1F">
            <w:pPr>
              <w:pStyle w:val="17"/>
              <w:spacing w:before="123" w:line="220" w:lineRule="auto"/>
              <w:ind w:left="325"/>
              <w:rPr>
                <w:strike/>
                <w:dstrike w:val="0"/>
                <w:color w:val="auto"/>
                <w:sz w:val="21"/>
                <w:szCs w:val="21"/>
                <w:highlight w:val="none"/>
              </w:rPr>
            </w:pPr>
            <w:r>
              <w:rPr>
                <w:strike/>
                <w:dstrike w:val="0"/>
                <w:color w:val="auto"/>
                <w:sz w:val="21"/>
                <w:szCs w:val="21"/>
                <w:highlight w:val="none"/>
              </w:rPr>
              <w:t>好</w:t>
            </w:r>
          </w:p>
        </w:tc>
        <w:tc>
          <w:tcPr>
            <w:tcW w:w="848" w:type="dxa"/>
            <w:vAlign w:val="top"/>
          </w:tcPr>
          <w:p w14:paraId="187DEC66">
            <w:pPr>
              <w:pStyle w:val="17"/>
              <w:spacing w:before="123" w:line="220" w:lineRule="auto"/>
              <w:ind w:left="218"/>
              <w:rPr>
                <w:strike/>
                <w:dstrike w:val="0"/>
                <w:color w:val="auto"/>
                <w:sz w:val="21"/>
                <w:szCs w:val="21"/>
                <w:highlight w:val="none"/>
              </w:rPr>
            </w:pPr>
            <w:r>
              <w:rPr>
                <w:strike/>
                <w:dstrike w:val="0"/>
                <w:color w:val="auto"/>
                <w:spacing w:val="-1"/>
                <w:sz w:val="21"/>
                <w:szCs w:val="21"/>
                <w:highlight w:val="none"/>
              </w:rPr>
              <w:t>较好</w:t>
            </w:r>
          </w:p>
        </w:tc>
        <w:tc>
          <w:tcPr>
            <w:tcW w:w="849" w:type="dxa"/>
            <w:vAlign w:val="top"/>
          </w:tcPr>
          <w:p w14:paraId="5C815E1B">
            <w:pPr>
              <w:pStyle w:val="17"/>
              <w:spacing w:before="123" w:line="221" w:lineRule="auto"/>
              <w:ind w:left="224"/>
              <w:rPr>
                <w:strike/>
                <w:dstrike w:val="0"/>
                <w:color w:val="auto"/>
                <w:sz w:val="21"/>
                <w:szCs w:val="21"/>
                <w:highlight w:val="none"/>
              </w:rPr>
            </w:pPr>
            <w:r>
              <w:rPr>
                <w:strike/>
                <w:dstrike w:val="0"/>
                <w:color w:val="auto"/>
                <w:spacing w:val="-4"/>
                <w:sz w:val="21"/>
                <w:szCs w:val="21"/>
                <w:highlight w:val="none"/>
              </w:rPr>
              <w:t>一般</w:t>
            </w:r>
          </w:p>
        </w:tc>
        <w:tc>
          <w:tcPr>
            <w:tcW w:w="745" w:type="dxa"/>
            <w:tcBorders>
              <w:right w:val="single" w:color="000000" w:sz="6" w:space="0"/>
            </w:tcBorders>
            <w:vAlign w:val="top"/>
          </w:tcPr>
          <w:p w14:paraId="19F67140">
            <w:pPr>
              <w:pStyle w:val="17"/>
              <w:spacing w:before="123" w:line="227" w:lineRule="auto"/>
              <w:ind w:left="274"/>
              <w:rPr>
                <w:strike/>
                <w:dstrike w:val="0"/>
                <w:color w:val="auto"/>
                <w:sz w:val="21"/>
                <w:szCs w:val="21"/>
                <w:highlight w:val="none"/>
              </w:rPr>
            </w:pPr>
            <w:r>
              <w:rPr>
                <w:strike/>
                <w:dstrike w:val="0"/>
                <w:color w:val="auto"/>
                <w:sz w:val="21"/>
                <w:szCs w:val="21"/>
                <w:highlight w:val="none"/>
              </w:rPr>
              <w:t>差</w:t>
            </w:r>
          </w:p>
        </w:tc>
      </w:tr>
      <w:tr w14:paraId="6B1CD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0" w:hRule="atLeast"/>
        </w:trPr>
        <w:tc>
          <w:tcPr>
            <w:tcW w:w="828" w:type="dxa"/>
            <w:tcBorders>
              <w:left w:val="single" w:color="000000" w:sz="6" w:space="0"/>
            </w:tcBorders>
            <w:vAlign w:val="top"/>
          </w:tcPr>
          <w:p w14:paraId="1A519840">
            <w:pPr>
              <w:spacing w:line="270" w:lineRule="auto"/>
              <w:rPr>
                <w:rFonts w:ascii="Arial"/>
                <w:strike/>
                <w:dstrike w:val="0"/>
                <w:color w:val="auto"/>
                <w:sz w:val="21"/>
                <w:highlight w:val="none"/>
              </w:rPr>
            </w:pPr>
          </w:p>
          <w:p w14:paraId="6474B5CD">
            <w:pPr>
              <w:spacing w:line="270" w:lineRule="auto"/>
              <w:rPr>
                <w:rFonts w:ascii="Arial"/>
                <w:strike/>
                <w:dstrike w:val="0"/>
                <w:color w:val="auto"/>
                <w:sz w:val="21"/>
                <w:highlight w:val="none"/>
              </w:rPr>
            </w:pPr>
          </w:p>
          <w:p w14:paraId="4B81F8B9">
            <w:pPr>
              <w:spacing w:line="270" w:lineRule="auto"/>
              <w:rPr>
                <w:rFonts w:ascii="Arial"/>
                <w:strike/>
                <w:dstrike w:val="0"/>
                <w:color w:val="auto"/>
                <w:sz w:val="21"/>
                <w:highlight w:val="none"/>
              </w:rPr>
            </w:pPr>
          </w:p>
          <w:p w14:paraId="3164A087">
            <w:pPr>
              <w:spacing w:line="270" w:lineRule="auto"/>
              <w:rPr>
                <w:rFonts w:ascii="Arial"/>
                <w:strike/>
                <w:dstrike w:val="0"/>
                <w:color w:val="auto"/>
                <w:sz w:val="21"/>
                <w:highlight w:val="none"/>
              </w:rPr>
            </w:pPr>
          </w:p>
          <w:p w14:paraId="1763D3C6">
            <w:pPr>
              <w:spacing w:before="61" w:line="188" w:lineRule="auto"/>
              <w:ind w:left="37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5400" w:type="dxa"/>
            <w:vAlign w:val="top"/>
          </w:tcPr>
          <w:p w14:paraId="5190B96A">
            <w:pPr>
              <w:pStyle w:val="17"/>
              <w:spacing w:before="38" w:line="275" w:lineRule="auto"/>
              <w:ind w:left="102" w:right="103" w:firstLine="4"/>
              <w:jc w:val="both"/>
              <w:rPr>
                <w:strike/>
                <w:dstrike w:val="0"/>
                <w:color w:val="auto"/>
                <w:sz w:val="21"/>
                <w:szCs w:val="21"/>
                <w:highlight w:val="none"/>
              </w:rPr>
            </w:pPr>
            <w:r>
              <w:rPr>
                <w:strike/>
                <w:dstrike w:val="0"/>
                <w:color w:val="auto"/>
                <w:spacing w:val="6"/>
                <w:sz w:val="21"/>
                <w:szCs w:val="21"/>
                <w:highlight w:val="none"/>
              </w:rPr>
              <w:t>通过商务评审的投标报价与评标基准价相比，偏差率在</w:t>
            </w:r>
            <w:r>
              <w:rPr>
                <w:strike/>
                <w:dstrike w:val="0"/>
                <w:color w:val="auto"/>
                <w:sz w:val="21"/>
                <w:szCs w:val="21"/>
                <w:highlight w:val="none"/>
              </w:rPr>
              <w:t xml:space="preserve"> </w:t>
            </w:r>
            <w:r>
              <w:rPr>
                <w:rFonts w:ascii="Times New Roman" w:hAnsi="Times New Roman" w:eastAsia="Times New Roman" w:cs="Times New Roman"/>
                <w:strike/>
                <w:dstrike w:val="0"/>
                <w:color w:val="auto"/>
                <w:spacing w:val="-6"/>
                <w:sz w:val="21"/>
                <w:szCs w:val="21"/>
                <w:highlight w:val="none"/>
              </w:rPr>
              <w:t>+</w:t>
            </w:r>
            <w:r>
              <w:rPr>
                <w:rFonts w:ascii="Times New Roman" w:hAnsi="Times New Roman" w:eastAsia="Times New Roman" w:cs="Times New Roman"/>
                <w:strike/>
                <w:dstrike w:val="0"/>
                <w:color w:val="auto"/>
                <w:spacing w:val="-52"/>
                <w:sz w:val="21"/>
                <w:szCs w:val="21"/>
                <w:highlight w:val="none"/>
              </w:rPr>
              <w:t xml:space="preserve"> </w:t>
            </w:r>
            <w:r>
              <w:rPr>
                <w:rFonts w:ascii="Times New Roman" w:hAnsi="Times New Roman" w:eastAsia="Times New Roman" w:cs="Times New Roman"/>
                <w:strike/>
                <w:dstrike w:val="0"/>
                <w:color w:val="auto"/>
                <w:sz w:val="21"/>
                <w:szCs w:val="21"/>
                <w:highlight w:val="none"/>
                <w:u w:val="single" w:color="auto"/>
              </w:rPr>
              <w:t xml:space="preserve">      </w:t>
            </w:r>
            <w:r>
              <w:rPr>
                <w:rFonts w:ascii="Times New Roman" w:hAnsi="Times New Roman" w:eastAsia="Times New Roman" w:cs="Times New Roman"/>
                <w:strike/>
                <w:dstrike w:val="0"/>
                <w:color w:val="auto"/>
                <w:spacing w:val="-45"/>
                <w:sz w:val="21"/>
                <w:szCs w:val="21"/>
                <w:highlight w:val="none"/>
              </w:rPr>
              <w:t xml:space="preserve"> </w:t>
            </w:r>
            <w:r>
              <w:rPr>
                <w:rFonts w:ascii="Times New Roman" w:hAnsi="Times New Roman" w:eastAsia="Times New Roman" w:cs="Times New Roman"/>
                <w:strike/>
                <w:dstrike w:val="0"/>
                <w:color w:val="auto"/>
                <w:spacing w:val="-6"/>
                <w:sz w:val="21"/>
                <w:szCs w:val="21"/>
                <w:highlight w:val="none"/>
              </w:rPr>
              <w:t>%</w:t>
            </w:r>
            <w:r>
              <w:rPr>
                <w:strike/>
                <w:dstrike w:val="0"/>
                <w:color w:val="auto"/>
                <w:spacing w:val="-6"/>
                <w:sz w:val="21"/>
                <w:szCs w:val="21"/>
                <w:highlight w:val="none"/>
              </w:rPr>
              <w:t>（不含本数</w:t>
            </w:r>
            <w:r>
              <w:rPr>
                <w:strike/>
                <w:dstrike w:val="0"/>
                <w:color w:val="auto"/>
                <w:spacing w:val="-15"/>
                <w:sz w:val="21"/>
                <w:szCs w:val="21"/>
                <w:highlight w:val="none"/>
              </w:rPr>
              <w:t>）～</w:t>
            </w:r>
            <w:r>
              <w:rPr>
                <w:rFonts w:ascii="Times New Roman" w:hAnsi="Times New Roman" w:eastAsia="Times New Roman" w:cs="Times New Roman"/>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u w:val="single" w:color="auto"/>
              </w:rPr>
              <w:t xml:space="preserve">      </w:t>
            </w:r>
            <w:r>
              <w:rPr>
                <w:rFonts w:ascii="Times New Roman" w:hAnsi="Times New Roman" w:eastAsia="Times New Roman" w:cs="Times New Roman"/>
                <w:strike/>
                <w:dstrike w:val="0"/>
                <w:color w:val="auto"/>
                <w:spacing w:val="-45"/>
                <w:sz w:val="21"/>
                <w:szCs w:val="21"/>
                <w:highlight w:val="none"/>
              </w:rPr>
              <w:t xml:space="preserve"> </w:t>
            </w:r>
            <w:r>
              <w:rPr>
                <w:rFonts w:ascii="Times New Roman" w:hAnsi="Times New Roman" w:eastAsia="Times New Roman" w:cs="Times New Roman"/>
                <w:strike/>
                <w:dstrike w:val="0"/>
                <w:color w:val="auto"/>
                <w:spacing w:val="-6"/>
                <w:sz w:val="21"/>
                <w:szCs w:val="21"/>
                <w:highlight w:val="none"/>
              </w:rPr>
              <w:t>%</w:t>
            </w:r>
            <w:r>
              <w:rPr>
                <w:strike/>
                <w:dstrike w:val="0"/>
                <w:color w:val="auto"/>
                <w:spacing w:val="-6"/>
                <w:sz w:val="21"/>
                <w:szCs w:val="21"/>
                <w:highlight w:val="none"/>
              </w:rPr>
              <w:t>（不含本数）的为好，偏差率</w:t>
            </w:r>
            <w:r>
              <w:rPr>
                <w:strike/>
                <w:dstrike w:val="0"/>
                <w:color w:val="auto"/>
                <w:sz w:val="21"/>
                <w:szCs w:val="21"/>
                <w:highlight w:val="none"/>
              </w:rPr>
              <w:t xml:space="preserve"> 在</w:t>
            </w:r>
            <w:r>
              <w:rPr>
                <w:rFonts w:ascii="Times New Roman" w:hAnsi="Times New Roman" w:eastAsia="Times New Roman" w:cs="Times New Roman"/>
                <w:strike/>
                <w:dstrike w:val="0"/>
                <w:color w:val="auto"/>
                <w:sz w:val="21"/>
                <w:szCs w:val="21"/>
                <w:highlight w:val="none"/>
              </w:rPr>
              <w:t>+</w:t>
            </w:r>
            <w:r>
              <w:rPr>
                <w:rFonts w:ascii="Times New Roman" w:hAnsi="Times New Roman" w:eastAsia="Times New Roman" w:cs="Times New Roman"/>
                <w:strike/>
                <w:dstrike w:val="0"/>
                <w:color w:val="auto"/>
                <w:spacing w:val="-52"/>
                <w:sz w:val="21"/>
                <w:szCs w:val="21"/>
                <w:highlight w:val="none"/>
              </w:rPr>
              <w:t xml:space="preserve"> </w:t>
            </w:r>
            <w:r>
              <w:rPr>
                <w:rFonts w:ascii="Times New Roman" w:hAnsi="Times New Roman" w:eastAsia="Times New Roman" w:cs="Times New Roman"/>
                <w:strike/>
                <w:dstrike w:val="0"/>
                <w:color w:val="auto"/>
                <w:sz w:val="21"/>
                <w:szCs w:val="21"/>
                <w:highlight w:val="none"/>
                <w:u w:val="single" w:color="auto"/>
              </w:rPr>
              <w:t xml:space="preserve">    </w:t>
            </w:r>
            <w:r>
              <w:rPr>
                <w:rFonts w:ascii="Times New Roman" w:hAnsi="Times New Roman" w:eastAsia="Times New Roman" w:cs="Times New Roman"/>
                <w:strike/>
                <w:dstrike w:val="0"/>
                <w:color w:val="auto"/>
                <w:spacing w:val="-44"/>
                <w:sz w:val="21"/>
                <w:szCs w:val="21"/>
                <w:highlight w:val="none"/>
              </w:rPr>
              <w:t xml:space="preserve"> </w:t>
            </w:r>
            <w:r>
              <w:rPr>
                <w:rFonts w:ascii="Times New Roman" w:hAnsi="Times New Roman" w:eastAsia="Times New Roman" w:cs="Times New Roman"/>
                <w:strike/>
                <w:dstrike w:val="0"/>
                <w:color w:val="auto"/>
                <w:sz w:val="21"/>
                <w:szCs w:val="21"/>
                <w:highlight w:val="none"/>
              </w:rPr>
              <w:t>%</w:t>
            </w:r>
            <w:r>
              <w:rPr>
                <w:strike/>
                <w:dstrike w:val="0"/>
                <w:color w:val="auto"/>
                <w:sz w:val="21"/>
                <w:szCs w:val="21"/>
                <w:highlight w:val="none"/>
              </w:rPr>
              <w:t>（含本数</w:t>
            </w:r>
            <w:r>
              <w:rPr>
                <w:strike/>
                <w:dstrike w:val="0"/>
                <w:color w:val="auto"/>
                <w:spacing w:val="11"/>
                <w:sz w:val="21"/>
                <w:szCs w:val="21"/>
                <w:highlight w:val="none"/>
              </w:rPr>
              <w:t>）～</w:t>
            </w:r>
            <w:r>
              <w:rPr>
                <w:rFonts w:ascii="Times New Roman" w:hAnsi="Times New Roman" w:eastAsia="Times New Roman" w:cs="Times New Roman"/>
                <w:strike/>
                <w:dstrike w:val="0"/>
                <w:color w:val="auto"/>
                <w:sz w:val="21"/>
                <w:szCs w:val="21"/>
                <w:highlight w:val="none"/>
              </w:rPr>
              <w:t>+</w:t>
            </w:r>
            <w:r>
              <w:rPr>
                <w:rFonts w:ascii="Times New Roman" w:hAnsi="Times New Roman" w:eastAsia="Times New Roman" w:cs="Times New Roman"/>
                <w:strike/>
                <w:dstrike w:val="0"/>
                <w:color w:val="auto"/>
                <w:spacing w:val="-52"/>
                <w:sz w:val="21"/>
                <w:szCs w:val="21"/>
                <w:highlight w:val="none"/>
              </w:rPr>
              <w:t xml:space="preserve"> </w:t>
            </w:r>
            <w:r>
              <w:rPr>
                <w:rFonts w:ascii="Times New Roman" w:hAnsi="Times New Roman" w:eastAsia="Times New Roman" w:cs="Times New Roman"/>
                <w:strike/>
                <w:dstrike w:val="0"/>
                <w:color w:val="auto"/>
                <w:sz w:val="21"/>
                <w:szCs w:val="21"/>
                <w:highlight w:val="none"/>
                <w:u w:val="single" w:color="auto"/>
              </w:rPr>
              <w:t xml:space="preserve">    </w:t>
            </w:r>
            <w:r>
              <w:rPr>
                <w:rFonts w:ascii="Times New Roman" w:hAnsi="Times New Roman" w:eastAsia="Times New Roman" w:cs="Times New Roman"/>
                <w:strike/>
                <w:dstrike w:val="0"/>
                <w:color w:val="auto"/>
                <w:spacing w:val="-45"/>
                <w:sz w:val="21"/>
                <w:szCs w:val="21"/>
                <w:highlight w:val="none"/>
              </w:rPr>
              <w:t xml:space="preserve"> </w:t>
            </w:r>
            <w:r>
              <w:rPr>
                <w:rFonts w:ascii="Times New Roman" w:hAnsi="Times New Roman" w:eastAsia="Times New Roman" w:cs="Times New Roman"/>
                <w:strike/>
                <w:dstrike w:val="0"/>
                <w:color w:val="auto"/>
                <w:sz w:val="21"/>
                <w:szCs w:val="21"/>
                <w:highlight w:val="none"/>
              </w:rPr>
              <w:t>%</w:t>
            </w:r>
            <w:r>
              <w:rPr>
                <w:strike/>
                <w:dstrike w:val="0"/>
                <w:color w:val="auto"/>
                <w:sz w:val="21"/>
                <w:szCs w:val="21"/>
                <w:highlight w:val="none"/>
              </w:rPr>
              <w:t>（不含本数）和</w:t>
            </w:r>
            <w:r>
              <w:rPr>
                <w:rFonts w:ascii="Times New Roman" w:hAnsi="Times New Roman" w:eastAsia="Times New Roman" w:cs="Times New Roman"/>
                <w:strike/>
                <w:dstrike w:val="0"/>
                <w:color w:val="auto"/>
                <w:sz w:val="21"/>
                <w:szCs w:val="21"/>
                <w:highlight w:val="none"/>
              </w:rPr>
              <w:t xml:space="preserve">-  </w:t>
            </w:r>
            <w:r>
              <w:rPr>
                <w:rFonts w:ascii="Times New Roman" w:hAnsi="Times New Roman" w:eastAsia="Times New Roman" w:cs="Times New Roman"/>
                <w:strike/>
                <w:dstrike w:val="0"/>
                <w:color w:val="auto"/>
                <w:spacing w:val="-1"/>
                <w:sz w:val="21"/>
                <w:szCs w:val="21"/>
                <w:highlight w:val="none"/>
                <w:u w:val="single" w:color="auto"/>
              </w:rPr>
              <w:t xml:space="preserve">    </w:t>
            </w:r>
            <w:r>
              <w:rPr>
                <w:rFonts w:ascii="Times New Roman" w:hAnsi="Times New Roman" w:eastAsia="Times New Roman" w:cs="Times New Roman"/>
                <w:strike/>
                <w:dstrike w:val="0"/>
                <w:color w:val="auto"/>
                <w:spacing w:val="-45"/>
                <w:sz w:val="21"/>
                <w:szCs w:val="21"/>
                <w:highlight w:val="none"/>
              </w:rPr>
              <w:t xml:space="preserve"> </w:t>
            </w:r>
            <w:r>
              <w:rPr>
                <w:rFonts w:ascii="Times New Roman" w:hAnsi="Times New Roman" w:eastAsia="Times New Roman" w:cs="Times New Roman"/>
                <w:strike/>
                <w:dstrike w:val="0"/>
                <w:color w:val="auto"/>
                <w:spacing w:val="-1"/>
                <w:sz w:val="21"/>
                <w:szCs w:val="21"/>
                <w:highlight w:val="none"/>
              </w:rPr>
              <w:t>%</w:t>
            </w:r>
            <w:r>
              <w:rPr>
                <w:strike/>
                <w:dstrike w:val="0"/>
                <w:color w:val="auto"/>
                <w:spacing w:val="-1"/>
                <w:sz w:val="21"/>
                <w:szCs w:val="21"/>
                <w:highlight w:val="none"/>
              </w:rPr>
              <w:t>（含本</w:t>
            </w:r>
            <w:r>
              <w:rPr>
                <w:strike/>
                <w:dstrike w:val="0"/>
                <w:color w:val="auto"/>
                <w:sz w:val="21"/>
                <w:szCs w:val="21"/>
                <w:highlight w:val="none"/>
              </w:rPr>
              <w:t xml:space="preserve"> </w:t>
            </w:r>
            <w:r>
              <w:rPr>
                <w:strike/>
                <w:dstrike w:val="0"/>
                <w:color w:val="auto"/>
                <w:spacing w:val="-6"/>
                <w:sz w:val="21"/>
                <w:szCs w:val="21"/>
                <w:highlight w:val="none"/>
              </w:rPr>
              <w:t>数</w:t>
            </w:r>
            <w:r>
              <w:rPr>
                <w:strike/>
                <w:dstrike w:val="0"/>
                <w:color w:val="auto"/>
                <w:spacing w:val="-17"/>
                <w:sz w:val="21"/>
                <w:szCs w:val="21"/>
                <w:highlight w:val="none"/>
              </w:rPr>
              <w:t>）～</w:t>
            </w:r>
            <w:r>
              <w:rPr>
                <w:rFonts w:ascii="Times New Roman" w:hAnsi="Times New Roman" w:eastAsia="Times New Roman" w:cs="Times New Roman"/>
                <w:strike/>
                <w:dstrike w:val="0"/>
                <w:color w:val="auto"/>
                <w:spacing w:val="-6"/>
                <w:sz w:val="21"/>
                <w:szCs w:val="21"/>
                <w:highlight w:val="none"/>
              </w:rPr>
              <w:t>-</w:t>
            </w:r>
            <w:r>
              <w:rPr>
                <w:rFonts w:ascii="Times New Roman" w:hAnsi="Times New Roman" w:eastAsia="Times New Roman" w:cs="Times New Roman"/>
                <w:strike/>
                <w:dstrike w:val="0"/>
                <w:color w:val="auto"/>
                <w:spacing w:val="-6"/>
                <w:sz w:val="21"/>
                <w:szCs w:val="21"/>
                <w:highlight w:val="none"/>
                <w:u w:val="single" w:color="auto"/>
              </w:rPr>
              <w:t xml:space="preserve">    </w:t>
            </w:r>
            <w:r>
              <w:rPr>
                <w:rFonts w:ascii="Times New Roman" w:hAnsi="Times New Roman" w:eastAsia="Times New Roman" w:cs="Times New Roman"/>
                <w:strike/>
                <w:dstrike w:val="0"/>
                <w:color w:val="auto"/>
                <w:spacing w:val="-45"/>
                <w:sz w:val="21"/>
                <w:szCs w:val="21"/>
                <w:highlight w:val="none"/>
              </w:rPr>
              <w:t xml:space="preserve"> </w:t>
            </w:r>
            <w:r>
              <w:rPr>
                <w:rFonts w:ascii="Times New Roman" w:hAnsi="Times New Roman" w:eastAsia="Times New Roman" w:cs="Times New Roman"/>
                <w:strike/>
                <w:dstrike w:val="0"/>
                <w:color w:val="auto"/>
                <w:spacing w:val="-6"/>
                <w:sz w:val="21"/>
                <w:szCs w:val="21"/>
                <w:highlight w:val="none"/>
              </w:rPr>
              <w:t>%</w:t>
            </w:r>
            <w:r>
              <w:rPr>
                <w:strike/>
                <w:dstrike w:val="0"/>
                <w:color w:val="auto"/>
                <w:spacing w:val="-6"/>
                <w:sz w:val="21"/>
                <w:szCs w:val="21"/>
                <w:highlight w:val="none"/>
              </w:rPr>
              <w:t>（不含本数）的为较好，偏差率在</w:t>
            </w:r>
            <w:r>
              <w:rPr>
                <w:rFonts w:ascii="Times New Roman" w:hAnsi="Times New Roman" w:eastAsia="Times New Roman" w:cs="Times New Roman"/>
                <w:strike/>
                <w:dstrike w:val="0"/>
                <w:color w:val="auto"/>
                <w:spacing w:val="-6"/>
                <w:sz w:val="21"/>
                <w:szCs w:val="21"/>
                <w:highlight w:val="none"/>
              </w:rPr>
              <w:t>+</w:t>
            </w:r>
            <w:r>
              <w:rPr>
                <w:rFonts w:ascii="Times New Roman" w:hAnsi="Times New Roman" w:eastAsia="Times New Roman" w:cs="Times New Roman"/>
                <w:strike/>
                <w:dstrike w:val="0"/>
                <w:color w:val="auto"/>
                <w:spacing w:val="-52"/>
                <w:sz w:val="21"/>
                <w:szCs w:val="21"/>
                <w:highlight w:val="none"/>
              </w:rPr>
              <w:t xml:space="preserve"> </w:t>
            </w:r>
            <w:r>
              <w:rPr>
                <w:rFonts w:ascii="Times New Roman" w:hAnsi="Times New Roman" w:eastAsia="Times New Roman" w:cs="Times New Roman"/>
                <w:strike/>
                <w:dstrike w:val="0"/>
                <w:color w:val="auto"/>
                <w:sz w:val="21"/>
                <w:szCs w:val="21"/>
                <w:highlight w:val="none"/>
                <w:u w:val="single" w:color="auto"/>
              </w:rPr>
              <w:t xml:space="preserve">    </w:t>
            </w:r>
            <w:r>
              <w:rPr>
                <w:rFonts w:ascii="Times New Roman" w:hAnsi="Times New Roman" w:eastAsia="Times New Roman" w:cs="Times New Roman"/>
                <w:strike/>
                <w:dstrike w:val="0"/>
                <w:color w:val="auto"/>
                <w:spacing w:val="-46"/>
                <w:sz w:val="21"/>
                <w:szCs w:val="21"/>
                <w:highlight w:val="none"/>
              </w:rPr>
              <w:t xml:space="preserve"> </w:t>
            </w:r>
            <w:r>
              <w:rPr>
                <w:rFonts w:ascii="Times New Roman" w:hAnsi="Times New Roman" w:eastAsia="Times New Roman" w:cs="Times New Roman"/>
                <w:strike/>
                <w:dstrike w:val="0"/>
                <w:color w:val="auto"/>
                <w:spacing w:val="-6"/>
                <w:sz w:val="21"/>
                <w:szCs w:val="21"/>
                <w:highlight w:val="none"/>
              </w:rPr>
              <w:t>%</w:t>
            </w:r>
            <w:r>
              <w:rPr>
                <w:strike/>
                <w:dstrike w:val="0"/>
                <w:color w:val="auto"/>
                <w:spacing w:val="-6"/>
                <w:sz w:val="21"/>
                <w:szCs w:val="21"/>
                <w:highlight w:val="none"/>
              </w:rPr>
              <w:t>（含本</w:t>
            </w:r>
            <w:r>
              <w:rPr>
                <w:strike/>
                <w:dstrike w:val="0"/>
                <w:color w:val="auto"/>
                <w:sz w:val="21"/>
                <w:szCs w:val="21"/>
                <w:highlight w:val="none"/>
              </w:rPr>
              <w:t xml:space="preserve"> </w:t>
            </w:r>
            <w:r>
              <w:rPr>
                <w:strike/>
                <w:dstrike w:val="0"/>
                <w:color w:val="auto"/>
                <w:spacing w:val="-2"/>
                <w:sz w:val="21"/>
                <w:szCs w:val="21"/>
                <w:highlight w:val="none"/>
              </w:rPr>
              <w:t>数</w:t>
            </w:r>
            <w:r>
              <w:rPr>
                <w:strike/>
                <w:dstrike w:val="0"/>
                <w:color w:val="auto"/>
                <w:spacing w:val="4"/>
                <w:sz w:val="21"/>
                <w:szCs w:val="21"/>
                <w:highlight w:val="none"/>
              </w:rPr>
              <w:t>）～</w:t>
            </w:r>
            <w:r>
              <w:rPr>
                <w:rFonts w:ascii="Times New Roman" w:hAnsi="Times New Roman" w:eastAsia="Times New Roman" w:cs="Times New Roman"/>
                <w:strike/>
                <w:dstrike w:val="0"/>
                <w:color w:val="auto"/>
                <w:spacing w:val="-2"/>
                <w:sz w:val="21"/>
                <w:szCs w:val="21"/>
                <w:highlight w:val="none"/>
              </w:rPr>
              <w:t>+</w:t>
            </w:r>
            <w:r>
              <w:rPr>
                <w:rFonts w:ascii="Times New Roman" w:hAnsi="Times New Roman" w:eastAsia="Times New Roman" w:cs="Times New Roman"/>
                <w:strike/>
                <w:dstrike w:val="0"/>
                <w:color w:val="auto"/>
                <w:spacing w:val="-51"/>
                <w:sz w:val="21"/>
                <w:szCs w:val="21"/>
                <w:highlight w:val="none"/>
              </w:rPr>
              <w:t xml:space="preserve"> </w:t>
            </w:r>
            <w:r>
              <w:rPr>
                <w:rFonts w:ascii="Times New Roman" w:hAnsi="Times New Roman" w:eastAsia="Times New Roman" w:cs="Times New Roman"/>
                <w:strike/>
                <w:dstrike w:val="0"/>
                <w:color w:val="auto"/>
                <w:sz w:val="21"/>
                <w:szCs w:val="21"/>
                <w:highlight w:val="none"/>
                <w:u w:val="single" w:color="auto"/>
              </w:rPr>
              <w:t xml:space="preserve">    </w:t>
            </w:r>
            <w:r>
              <w:rPr>
                <w:rFonts w:ascii="Times New Roman" w:hAnsi="Times New Roman" w:eastAsia="Times New Roman" w:cs="Times New Roman"/>
                <w:strike/>
                <w:dstrike w:val="0"/>
                <w:color w:val="auto"/>
                <w:spacing w:val="-45"/>
                <w:sz w:val="21"/>
                <w:szCs w:val="21"/>
                <w:highlight w:val="none"/>
              </w:rPr>
              <w:t xml:space="preserve"> </w:t>
            </w:r>
            <w:r>
              <w:rPr>
                <w:rFonts w:ascii="Times New Roman" w:hAnsi="Times New Roman" w:eastAsia="Times New Roman" w:cs="Times New Roman"/>
                <w:strike/>
                <w:dstrike w:val="0"/>
                <w:color w:val="auto"/>
                <w:spacing w:val="-2"/>
                <w:sz w:val="21"/>
                <w:szCs w:val="21"/>
                <w:highlight w:val="none"/>
              </w:rPr>
              <w:t>%</w:t>
            </w:r>
            <w:r>
              <w:rPr>
                <w:strike/>
                <w:dstrike w:val="0"/>
                <w:color w:val="auto"/>
                <w:spacing w:val="-2"/>
                <w:sz w:val="21"/>
                <w:szCs w:val="21"/>
                <w:highlight w:val="none"/>
              </w:rPr>
              <w:t>（不含本数）和</w:t>
            </w:r>
            <w:r>
              <w:rPr>
                <w:rFonts w:ascii="Times New Roman" w:hAnsi="Times New Roman" w:eastAsia="Times New Roman" w:cs="Times New Roman"/>
                <w:strike/>
                <w:dstrike w:val="0"/>
                <w:color w:val="auto"/>
                <w:spacing w:val="-2"/>
                <w:sz w:val="21"/>
                <w:szCs w:val="21"/>
                <w:highlight w:val="none"/>
              </w:rPr>
              <w:t>-</w:t>
            </w:r>
            <w:r>
              <w:rPr>
                <w:rFonts w:ascii="Times New Roman" w:hAnsi="Times New Roman" w:eastAsia="Times New Roman" w:cs="Times New Roman"/>
                <w:strike/>
                <w:dstrike w:val="0"/>
                <w:color w:val="auto"/>
                <w:spacing w:val="-2"/>
                <w:sz w:val="21"/>
                <w:szCs w:val="21"/>
                <w:highlight w:val="none"/>
                <w:u w:val="single" w:color="auto"/>
              </w:rPr>
              <w:t xml:space="preserve">    </w:t>
            </w:r>
            <w:r>
              <w:rPr>
                <w:rFonts w:ascii="Times New Roman" w:hAnsi="Times New Roman" w:eastAsia="Times New Roman" w:cs="Times New Roman"/>
                <w:strike/>
                <w:dstrike w:val="0"/>
                <w:color w:val="auto"/>
                <w:spacing w:val="-45"/>
                <w:sz w:val="21"/>
                <w:szCs w:val="21"/>
                <w:highlight w:val="none"/>
              </w:rPr>
              <w:t xml:space="preserve"> </w:t>
            </w:r>
            <w:r>
              <w:rPr>
                <w:rFonts w:ascii="Times New Roman" w:hAnsi="Times New Roman" w:eastAsia="Times New Roman" w:cs="Times New Roman"/>
                <w:strike/>
                <w:dstrike w:val="0"/>
                <w:color w:val="auto"/>
                <w:spacing w:val="-2"/>
                <w:sz w:val="21"/>
                <w:szCs w:val="21"/>
                <w:highlight w:val="none"/>
              </w:rPr>
              <w:t>%</w:t>
            </w:r>
            <w:r>
              <w:rPr>
                <w:strike/>
                <w:dstrike w:val="0"/>
                <w:color w:val="auto"/>
                <w:spacing w:val="-2"/>
                <w:sz w:val="21"/>
                <w:szCs w:val="21"/>
                <w:highlight w:val="none"/>
              </w:rPr>
              <w:t>（含本数</w:t>
            </w:r>
            <w:r>
              <w:rPr>
                <w:strike/>
                <w:dstrike w:val="0"/>
                <w:color w:val="auto"/>
                <w:spacing w:val="4"/>
                <w:sz w:val="21"/>
                <w:szCs w:val="21"/>
                <w:highlight w:val="none"/>
              </w:rPr>
              <w:t>）～</w:t>
            </w:r>
            <w:r>
              <w:rPr>
                <w:rFonts w:ascii="Times New Roman" w:hAnsi="Times New Roman" w:eastAsia="Times New Roman" w:cs="Times New Roman"/>
                <w:strike/>
                <w:dstrike w:val="0"/>
                <w:color w:val="auto"/>
                <w:spacing w:val="-2"/>
                <w:sz w:val="21"/>
                <w:szCs w:val="21"/>
                <w:highlight w:val="none"/>
              </w:rPr>
              <w:t>-</w:t>
            </w:r>
            <w:r>
              <w:rPr>
                <w:rFonts w:ascii="Times New Roman" w:hAnsi="Times New Roman" w:eastAsia="Times New Roman" w:cs="Times New Roman"/>
                <w:strike/>
                <w:dstrike w:val="0"/>
                <w:color w:val="auto"/>
                <w:spacing w:val="-2"/>
                <w:sz w:val="21"/>
                <w:szCs w:val="21"/>
                <w:highlight w:val="none"/>
                <w:u w:val="single" w:color="auto"/>
              </w:rPr>
              <w:t xml:space="preserve">    </w:t>
            </w:r>
            <w:r>
              <w:rPr>
                <w:rFonts w:ascii="Times New Roman" w:hAnsi="Times New Roman" w:eastAsia="Times New Roman" w:cs="Times New Roman"/>
                <w:strike/>
                <w:dstrike w:val="0"/>
                <w:color w:val="auto"/>
                <w:spacing w:val="-45"/>
                <w:sz w:val="21"/>
                <w:szCs w:val="21"/>
                <w:highlight w:val="none"/>
              </w:rPr>
              <w:t xml:space="preserve"> </w:t>
            </w:r>
            <w:r>
              <w:rPr>
                <w:rFonts w:ascii="Times New Roman" w:hAnsi="Times New Roman" w:eastAsia="Times New Roman" w:cs="Times New Roman"/>
                <w:strike/>
                <w:dstrike w:val="0"/>
                <w:color w:val="auto"/>
                <w:spacing w:val="-2"/>
                <w:sz w:val="21"/>
                <w:szCs w:val="21"/>
                <w:highlight w:val="none"/>
              </w:rPr>
              <w:t>%</w:t>
            </w:r>
            <w:r>
              <w:rPr>
                <w:strike/>
                <w:dstrike w:val="0"/>
                <w:color w:val="auto"/>
                <w:spacing w:val="-2"/>
                <w:sz w:val="21"/>
                <w:szCs w:val="21"/>
                <w:highlight w:val="none"/>
              </w:rPr>
              <w:t>（不</w:t>
            </w:r>
            <w:r>
              <w:rPr>
                <w:strike/>
                <w:dstrike w:val="0"/>
                <w:color w:val="auto"/>
                <w:sz w:val="21"/>
                <w:szCs w:val="21"/>
                <w:highlight w:val="none"/>
              </w:rPr>
              <w:t xml:space="preserve"> </w:t>
            </w:r>
            <w:r>
              <w:rPr>
                <w:strike/>
                <w:dstrike w:val="0"/>
                <w:color w:val="auto"/>
                <w:spacing w:val="-2"/>
                <w:sz w:val="21"/>
                <w:szCs w:val="21"/>
                <w:highlight w:val="none"/>
              </w:rPr>
              <w:t>含本数）的为一般，其他情形的为差。</w:t>
            </w:r>
          </w:p>
          <w:p w14:paraId="57AFDE0B">
            <w:pPr>
              <w:pStyle w:val="17"/>
              <w:spacing w:before="1" w:line="217" w:lineRule="auto"/>
              <w:ind w:left="107" w:right="45"/>
              <w:jc w:val="both"/>
              <w:rPr>
                <w:strike/>
                <w:dstrike w:val="0"/>
                <w:color w:val="auto"/>
                <w:sz w:val="21"/>
                <w:szCs w:val="21"/>
                <w:highlight w:val="none"/>
              </w:rPr>
            </w:pPr>
            <w:r>
              <w:rPr>
                <w:strike/>
                <w:dstrike w:val="0"/>
                <w:color w:val="auto"/>
                <w:spacing w:val="-10"/>
                <w:sz w:val="21"/>
                <w:szCs w:val="21"/>
                <w:highlight w:val="none"/>
              </w:rPr>
              <w:t>偏差率=</w:t>
            </w:r>
            <w:r>
              <w:rPr>
                <w:strike/>
                <w:dstrike w:val="0"/>
                <w:color w:val="auto"/>
                <w:spacing w:val="-57"/>
                <w:w w:val="95"/>
                <w:sz w:val="21"/>
                <w:szCs w:val="21"/>
                <w:highlight w:val="none"/>
              </w:rPr>
              <w:t>［（</w:t>
            </w:r>
            <w:r>
              <w:rPr>
                <w:strike/>
                <w:dstrike w:val="0"/>
                <w:color w:val="auto"/>
                <w:spacing w:val="-10"/>
                <w:sz w:val="21"/>
                <w:szCs w:val="21"/>
                <w:highlight w:val="none"/>
              </w:rPr>
              <w:t>投标评标价-评标基准价）/评标基准价］*</w:t>
            </w:r>
            <w:r>
              <w:rPr>
                <w:strike/>
                <w:dstrike w:val="0"/>
                <w:color w:val="auto"/>
                <w:spacing w:val="-11"/>
                <w:sz w:val="21"/>
                <w:szCs w:val="21"/>
                <w:highlight w:val="none"/>
              </w:rPr>
              <w:t>100%，</w:t>
            </w:r>
            <w:r>
              <w:rPr>
                <w:strike/>
                <w:dstrike w:val="0"/>
                <w:color w:val="auto"/>
                <w:sz w:val="21"/>
                <w:szCs w:val="21"/>
                <w:highlight w:val="none"/>
              </w:rPr>
              <w:t xml:space="preserve"> </w:t>
            </w:r>
            <w:r>
              <w:rPr>
                <w:strike/>
                <w:dstrike w:val="0"/>
                <w:color w:val="auto"/>
                <w:spacing w:val="-3"/>
                <w:sz w:val="21"/>
                <w:szCs w:val="21"/>
                <w:highlight w:val="none"/>
              </w:rPr>
              <w:t>偏差率结果四舍五入保留</w:t>
            </w:r>
            <w:r>
              <w:rPr>
                <w:strike/>
                <w:dstrike w:val="0"/>
                <w:color w:val="auto"/>
                <w:spacing w:val="-22"/>
                <w:sz w:val="21"/>
                <w:szCs w:val="21"/>
                <w:highlight w:val="none"/>
              </w:rPr>
              <w:t xml:space="preserve"> </w:t>
            </w:r>
            <w:r>
              <w:rPr>
                <w:strike/>
                <w:dstrike w:val="0"/>
                <w:color w:val="auto"/>
                <w:spacing w:val="-3"/>
                <w:sz w:val="21"/>
                <w:szCs w:val="21"/>
                <w:highlight w:val="none"/>
              </w:rPr>
              <w:t>1</w:t>
            </w:r>
            <w:r>
              <w:rPr>
                <w:strike/>
                <w:dstrike w:val="0"/>
                <w:color w:val="auto"/>
                <w:spacing w:val="-43"/>
                <w:sz w:val="21"/>
                <w:szCs w:val="21"/>
                <w:highlight w:val="none"/>
              </w:rPr>
              <w:t xml:space="preserve"> </w:t>
            </w:r>
            <w:r>
              <w:rPr>
                <w:strike/>
                <w:dstrike w:val="0"/>
                <w:color w:val="auto"/>
                <w:spacing w:val="-3"/>
                <w:sz w:val="21"/>
                <w:szCs w:val="21"/>
                <w:highlight w:val="none"/>
              </w:rPr>
              <w:t>位小数。</w:t>
            </w:r>
          </w:p>
        </w:tc>
        <w:tc>
          <w:tcPr>
            <w:tcW w:w="850" w:type="dxa"/>
            <w:vAlign w:val="top"/>
          </w:tcPr>
          <w:p w14:paraId="5339FE39">
            <w:pPr>
              <w:rPr>
                <w:rFonts w:ascii="Arial"/>
                <w:strike/>
                <w:dstrike w:val="0"/>
                <w:color w:val="auto"/>
                <w:sz w:val="21"/>
                <w:highlight w:val="none"/>
              </w:rPr>
            </w:pPr>
          </w:p>
        </w:tc>
        <w:tc>
          <w:tcPr>
            <w:tcW w:w="848" w:type="dxa"/>
            <w:vAlign w:val="top"/>
          </w:tcPr>
          <w:p w14:paraId="1B0F8F24">
            <w:pPr>
              <w:rPr>
                <w:rFonts w:ascii="Arial"/>
                <w:strike/>
                <w:dstrike w:val="0"/>
                <w:color w:val="auto"/>
                <w:sz w:val="21"/>
                <w:highlight w:val="none"/>
              </w:rPr>
            </w:pPr>
          </w:p>
        </w:tc>
        <w:tc>
          <w:tcPr>
            <w:tcW w:w="849" w:type="dxa"/>
            <w:vAlign w:val="top"/>
          </w:tcPr>
          <w:p w14:paraId="64D93E98">
            <w:pPr>
              <w:rPr>
                <w:rFonts w:ascii="Arial"/>
                <w:strike/>
                <w:dstrike w:val="0"/>
                <w:color w:val="auto"/>
                <w:sz w:val="21"/>
                <w:highlight w:val="none"/>
              </w:rPr>
            </w:pPr>
          </w:p>
        </w:tc>
        <w:tc>
          <w:tcPr>
            <w:tcW w:w="745" w:type="dxa"/>
            <w:tcBorders>
              <w:right w:val="single" w:color="000000" w:sz="6" w:space="0"/>
            </w:tcBorders>
            <w:vAlign w:val="top"/>
          </w:tcPr>
          <w:p w14:paraId="6A747CAB">
            <w:pPr>
              <w:rPr>
                <w:rFonts w:ascii="Arial"/>
                <w:strike/>
                <w:dstrike w:val="0"/>
                <w:color w:val="auto"/>
                <w:sz w:val="21"/>
                <w:highlight w:val="none"/>
              </w:rPr>
            </w:pPr>
          </w:p>
        </w:tc>
      </w:tr>
      <w:tr w14:paraId="4D1F5D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28" w:type="dxa"/>
            <w:tcBorders>
              <w:left w:val="single" w:color="000000" w:sz="6" w:space="0"/>
              <w:bottom w:val="single" w:color="000000" w:sz="6" w:space="0"/>
            </w:tcBorders>
            <w:vAlign w:val="top"/>
          </w:tcPr>
          <w:p w14:paraId="17D83A40">
            <w:pPr>
              <w:rPr>
                <w:rFonts w:ascii="Arial"/>
                <w:strike/>
                <w:dstrike w:val="0"/>
                <w:color w:val="auto"/>
                <w:sz w:val="21"/>
                <w:highlight w:val="none"/>
              </w:rPr>
            </w:pPr>
          </w:p>
        </w:tc>
        <w:tc>
          <w:tcPr>
            <w:tcW w:w="5400" w:type="dxa"/>
            <w:tcBorders>
              <w:bottom w:val="single" w:color="000000" w:sz="6" w:space="0"/>
            </w:tcBorders>
            <w:vAlign w:val="top"/>
          </w:tcPr>
          <w:p w14:paraId="55F0F8C3">
            <w:pPr>
              <w:pStyle w:val="17"/>
              <w:spacing w:before="135" w:line="220" w:lineRule="auto"/>
              <w:ind w:left="217"/>
              <w:rPr>
                <w:strike/>
                <w:dstrike w:val="0"/>
                <w:color w:val="auto"/>
                <w:sz w:val="21"/>
                <w:szCs w:val="21"/>
                <w:highlight w:val="none"/>
              </w:rPr>
            </w:pPr>
            <w:r>
              <w:rPr>
                <w:strike/>
                <w:dstrike w:val="0"/>
                <w:color w:val="auto"/>
                <w:spacing w:val="-3"/>
                <w:sz w:val="21"/>
                <w:szCs w:val="21"/>
                <w:highlight w:val="none"/>
              </w:rPr>
              <w:t>商务评审结论</w:t>
            </w:r>
          </w:p>
        </w:tc>
        <w:tc>
          <w:tcPr>
            <w:tcW w:w="850" w:type="dxa"/>
            <w:tcBorders>
              <w:bottom w:val="single" w:color="000000" w:sz="6" w:space="0"/>
            </w:tcBorders>
            <w:vAlign w:val="top"/>
          </w:tcPr>
          <w:p w14:paraId="2559F586">
            <w:pPr>
              <w:rPr>
                <w:rFonts w:ascii="Arial"/>
                <w:strike/>
                <w:dstrike w:val="0"/>
                <w:color w:val="auto"/>
                <w:sz w:val="21"/>
                <w:highlight w:val="none"/>
              </w:rPr>
            </w:pPr>
          </w:p>
        </w:tc>
        <w:tc>
          <w:tcPr>
            <w:tcW w:w="848" w:type="dxa"/>
            <w:tcBorders>
              <w:bottom w:val="single" w:color="000000" w:sz="6" w:space="0"/>
            </w:tcBorders>
            <w:vAlign w:val="top"/>
          </w:tcPr>
          <w:p w14:paraId="4FCBD2B9">
            <w:pPr>
              <w:rPr>
                <w:rFonts w:ascii="Arial"/>
                <w:strike/>
                <w:dstrike w:val="0"/>
                <w:color w:val="auto"/>
                <w:sz w:val="21"/>
                <w:highlight w:val="none"/>
              </w:rPr>
            </w:pPr>
          </w:p>
        </w:tc>
        <w:tc>
          <w:tcPr>
            <w:tcW w:w="849" w:type="dxa"/>
            <w:tcBorders>
              <w:bottom w:val="single" w:color="000000" w:sz="6" w:space="0"/>
            </w:tcBorders>
            <w:vAlign w:val="top"/>
          </w:tcPr>
          <w:p w14:paraId="5BDC2C0D">
            <w:pPr>
              <w:rPr>
                <w:rFonts w:ascii="Arial"/>
                <w:strike/>
                <w:dstrike w:val="0"/>
                <w:color w:val="auto"/>
                <w:sz w:val="21"/>
                <w:highlight w:val="none"/>
              </w:rPr>
            </w:pPr>
          </w:p>
        </w:tc>
        <w:tc>
          <w:tcPr>
            <w:tcW w:w="745" w:type="dxa"/>
            <w:tcBorders>
              <w:bottom w:val="single" w:color="000000" w:sz="6" w:space="0"/>
              <w:right w:val="single" w:color="000000" w:sz="6" w:space="0"/>
            </w:tcBorders>
            <w:vAlign w:val="top"/>
          </w:tcPr>
          <w:p w14:paraId="05626D75">
            <w:pPr>
              <w:rPr>
                <w:rFonts w:ascii="Arial"/>
                <w:strike/>
                <w:dstrike w:val="0"/>
                <w:color w:val="auto"/>
                <w:sz w:val="21"/>
                <w:highlight w:val="none"/>
              </w:rPr>
            </w:pPr>
          </w:p>
        </w:tc>
      </w:tr>
    </w:tbl>
    <w:p w14:paraId="042CE033">
      <w:pPr>
        <w:pStyle w:val="8"/>
        <w:spacing w:line="371" w:lineRule="auto"/>
        <w:rPr>
          <w:strike/>
          <w:dstrike w:val="0"/>
          <w:color w:val="auto"/>
          <w:highlight w:val="none"/>
        </w:rPr>
      </w:pPr>
    </w:p>
    <w:p w14:paraId="0EFD67FD">
      <w:pPr>
        <w:spacing w:before="78" w:line="227" w:lineRule="auto"/>
        <w:ind w:left="5"/>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4.6 </w:t>
      </w:r>
      <w:r>
        <w:rPr>
          <w:rFonts w:ascii="楷体" w:hAnsi="楷体" w:eastAsia="楷体" w:cs="楷体"/>
          <w:b/>
          <w:bCs/>
          <w:strike/>
          <w:dstrike w:val="0"/>
          <w:color w:val="auto"/>
          <w:spacing w:val="-2"/>
          <w:sz w:val="24"/>
          <w:szCs w:val="24"/>
          <w:highlight w:val="none"/>
        </w:rPr>
        <w:t>询标</w:t>
      </w:r>
    </w:p>
    <w:p w14:paraId="3C1F6D9E">
      <w:pPr>
        <w:spacing w:before="171" w:line="324" w:lineRule="auto"/>
        <w:ind w:left="48" w:right="757" w:firstLine="49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凡评标委员会拟作出否决投标决定的，应先向投标人进行书面询问核实。未进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5"/>
          <w:sz w:val="24"/>
          <w:szCs w:val="24"/>
          <w:highlight w:val="none"/>
        </w:rPr>
        <w:t>行询问核实程序的，不得做出否决投标决定，投标人放弃接受询问核实机会的除外。投</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22"/>
          <w:sz w:val="24"/>
          <w:szCs w:val="24"/>
          <w:highlight w:val="none"/>
        </w:rPr>
        <w:t>标人应自行关注系统中评标委员会发出的澄清并及时答复，在规定的时限内投标人不参加核</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23"/>
          <w:sz w:val="24"/>
          <w:szCs w:val="24"/>
          <w:highlight w:val="none"/>
        </w:rPr>
        <w:t>实或不予答复的，视为放弃接受询问核实机会。</w:t>
      </w:r>
    </w:p>
    <w:p w14:paraId="20425E6C">
      <w:pPr>
        <w:spacing w:before="182" w:line="289" w:lineRule="auto"/>
        <w:ind w:left="29" w:right="797" w:firstLine="42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4"/>
          <w:sz w:val="24"/>
          <w:szCs w:val="24"/>
          <w:highlight w:val="none"/>
        </w:rPr>
        <w:t>2.</w:t>
      </w:r>
      <w:r>
        <w:rPr>
          <w:rFonts w:ascii="宋体" w:hAnsi="宋体" w:eastAsia="宋体" w:cs="宋体"/>
          <w:strike/>
          <w:dstrike w:val="0"/>
          <w:color w:val="auto"/>
          <w:spacing w:val="-14"/>
          <w:sz w:val="24"/>
          <w:szCs w:val="24"/>
          <w:highlight w:val="none"/>
        </w:rPr>
        <w:t>除本评标办法规定的否决情形以外，招标文件中其他条款均不得作为否</w:t>
      </w:r>
      <w:r>
        <w:rPr>
          <w:rFonts w:ascii="宋体" w:hAnsi="宋体" w:eastAsia="宋体" w:cs="宋体"/>
          <w:strike/>
          <w:dstrike w:val="0"/>
          <w:color w:val="auto"/>
          <w:spacing w:val="-15"/>
          <w:sz w:val="24"/>
          <w:szCs w:val="24"/>
          <w:highlight w:val="none"/>
        </w:rPr>
        <w:t>决投标文件</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2"/>
          <w:sz w:val="24"/>
          <w:szCs w:val="24"/>
          <w:highlight w:val="none"/>
        </w:rPr>
        <w:t>的依据。</w:t>
      </w:r>
    </w:p>
    <w:p w14:paraId="700D1AD3">
      <w:pPr>
        <w:spacing w:before="183" w:line="225"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4.7  </w:t>
      </w:r>
      <w:r>
        <w:rPr>
          <w:rFonts w:ascii="楷体" w:hAnsi="楷体" w:eastAsia="楷体" w:cs="楷体"/>
          <w:b/>
          <w:bCs/>
          <w:strike/>
          <w:dstrike w:val="0"/>
          <w:color w:val="auto"/>
          <w:spacing w:val="-2"/>
          <w:sz w:val="24"/>
          <w:szCs w:val="24"/>
          <w:highlight w:val="none"/>
        </w:rPr>
        <w:t>推荐中标候选人</w:t>
      </w:r>
    </w:p>
    <w:p w14:paraId="2854D5F8">
      <w:pPr>
        <w:spacing w:before="173" w:line="360" w:lineRule="auto"/>
        <w:ind w:left="15" w:right="747" w:firstLine="472"/>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评标委员会根据综合评审意见在所有未被否决的投标人中，择优向招标人推荐</w:t>
      </w:r>
      <w:r>
        <w:rPr>
          <w:rFonts w:ascii="Times New Roman" w:hAnsi="Times New Roman" w:eastAsia="Times New Roman" w:cs="Times New Roman"/>
          <w:strike/>
          <w:dstrike w:val="0"/>
          <w:color w:val="auto"/>
          <w:sz w:val="24"/>
          <w:szCs w:val="24"/>
          <w:highlight w:val="none"/>
        </w:rPr>
        <w:t>3</w:t>
      </w:r>
      <w:r>
        <w:rPr>
          <w:rFonts w:ascii="Times New Roman" w:hAnsi="Times New Roman" w:eastAsia="Times New Roman" w:cs="Times New Roman"/>
          <w:strike/>
          <w:dstrike w:val="0"/>
          <w:color w:val="auto"/>
          <w:spacing w:val="18"/>
          <w:sz w:val="24"/>
          <w:szCs w:val="24"/>
          <w:highlight w:val="none"/>
        </w:rPr>
        <w:t xml:space="preserve"> </w:t>
      </w:r>
      <w:r>
        <w:rPr>
          <w:rFonts w:ascii="宋体" w:hAnsi="宋体" w:eastAsia="宋体" w:cs="宋体"/>
          <w:strike/>
          <w:dstrike w:val="0"/>
          <w:color w:val="auto"/>
          <w:spacing w:val="-2"/>
          <w:sz w:val="24"/>
          <w:szCs w:val="24"/>
          <w:highlight w:val="none"/>
        </w:rPr>
        <w:t>到</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名中标候选人（不进行名次排序）进入定标程序，并提交评标报告。</w:t>
      </w:r>
    </w:p>
    <w:p w14:paraId="17A216D8">
      <w:pPr>
        <w:spacing w:line="359" w:lineRule="auto"/>
        <w:ind w:left="12" w:right="747" w:firstLine="477"/>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通过符合性审查的合格投标人少于</w:t>
      </w:r>
      <w:r>
        <w:rPr>
          <w:rFonts w:ascii="Times New Roman" w:hAnsi="Times New Roman" w:eastAsia="Times New Roman" w:cs="Times New Roman"/>
          <w:strike/>
          <w:dstrike w:val="0"/>
          <w:color w:val="auto"/>
          <w:sz w:val="24"/>
          <w:szCs w:val="24"/>
          <w:highlight w:val="none"/>
        </w:rPr>
        <w:t>3</w:t>
      </w:r>
      <w:r>
        <w:rPr>
          <w:rFonts w:ascii="宋体" w:hAnsi="宋体" w:eastAsia="宋体" w:cs="宋体"/>
          <w:strike/>
          <w:dstrike w:val="0"/>
          <w:color w:val="auto"/>
          <w:sz w:val="24"/>
          <w:szCs w:val="24"/>
          <w:highlight w:val="none"/>
        </w:rPr>
        <w:t>家时，评标委员会应判定本次投标是否具有</w:t>
      </w:r>
      <w:r>
        <w:rPr>
          <w:rFonts w:ascii="宋体" w:hAnsi="宋体" w:eastAsia="宋体" w:cs="宋体"/>
          <w:strike/>
          <w:dstrike w:val="0"/>
          <w:color w:val="auto"/>
          <w:spacing w:val="17"/>
          <w:sz w:val="24"/>
          <w:szCs w:val="24"/>
          <w:highlight w:val="none"/>
        </w:rPr>
        <w:t xml:space="preserve"> </w:t>
      </w:r>
      <w:r>
        <w:rPr>
          <w:rFonts w:ascii="宋体" w:hAnsi="宋体" w:eastAsia="宋体" w:cs="宋体"/>
          <w:strike/>
          <w:dstrike w:val="0"/>
          <w:color w:val="auto"/>
          <w:spacing w:val="-1"/>
          <w:sz w:val="24"/>
          <w:szCs w:val="24"/>
          <w:highlight w:val="none"/>
        </w:rPr>
        <w:t>竞争力。若评标委员会认为本次投标明显缺</w:t>
      </w:r>
      <w:r>
        <w:rPr>
          <w:rFonts w:ascii="宋体" w:hAnsi="宋体" w:eastAsia="宋体" w:cs="宋体"/>
          <w:strike/>
          <w:dstrike w:val="0"/>
          <w:color w:val="auto"/>
          <w:spacing w:val="-2"/>
          <w:sz w:val="24"/>
          <w:szCs w:val="24"/>
          <w:highlight w:val="none"/>
        </w:rPr>
        <w:t>乏竞争的，可以否决全部投标。</w:t>
      </w:r>
    </w:p>
    <w:p w14:paraId="415181E5">
      <w:pPr>
        <w:spacing w:before="1" w:line="218" w:lineRule="auto"/>
        <w:ind w:left="55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本评标办法未尽事宜由评标委员会集体讨论决定。</w:t>
      </w:r>
    </w:p>
    <w:p w14:paraId="6F463CF1">
      <w:pPr>
        <w:spacing w:before="182" w:line="223" w:lineRule="auto"/>
        <w:ind w:left="6"/>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4.8  </w:t>
      </w:r>
      <w:r>
        <w:rPr>
          <w:rFonts w:ascii="楷体" w:hAnsi="楷体" w:eastAsia="楷体" w:cs="楷体"/>
          <w:b/>
          <w:bCs/>
          <w:strike/>
          <w:dstrike w:val="0"/>
          <w:color w:val="auto"/>
          <w:spacing w:val="-2"/>
          <w:sz w:val="24"/>
          <w:szCs w:val="24"/>
          <w:highlight w:val="none"/>
        </w:rPr>
        <w:t>评标报告</w:t>
      </w:r>
    </w:p>
    <w:p w14:paraId="0B22A0CF">
      <w:pPr>
        <w:spacing w:before="178" w:line="289" w:lineRule="auto"/>
        <w:ind w:left="10" w:right="766" w:firstLine="47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4.8.1  </w:t>
      </w:r>
      <w:r>
        <w:rPr>
          <w:rFonts w:ascii="宋体" w:hAnsi="宋体" w:eastAsia="宋体" w:cs="宋体"/>
          <w:strike/>
          <w:dstrike w:val="0"/>
          <w:color w:val="auto"/>
          <w:sz w:val="24"/>
          <w:szCs w:val="24"/>
          <w:highlight w:val="none"/>
        </w:rPr>
        <w:t>评标委员会对投标文件作出的评审结论，应当符合有关法律、法规、规章</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5"/>
          <w:sz w:val="24"/>
          <w:szCs w:val="24"/>
          <w:highlight w:val="none"/>
        </w:rPr>
        <w:t>和招标文件的规定。</w:t>
      </w:r>
    </w:p>
    <w:p w14:paraId="7697AB0A">
      <w:pPr>
        <w:spacing w:before="182" w:line="312" w:lineRule="auto"/>
        <w:ind w:left="8" w:right="746"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5"/>
          <w:sz w:val="24"/>
          <w:szCs w:val="24"/>
          <w:highlight w:val="none"/>
        </w:rPr>
        <w:t xml:space="preserve">4.8.2  </w:t>
      </w:r>
      <w:r>
        <w:rPr>
          <w:rFonts w:ascii="宋体" w:hAnsi="宋体" w:eastAsia="宋体" w:cs="宋体"/>
          <w:strike/>
          <w:dstrike w:val="0"/>
          <w:color w:val="auto"/>
          <w:spacing w:val="-5"/>
          <w:sz w:val="24"/>
          <w:szCs w:val="24"/>
          <w:highlight w:val="none"/>
        </w:rPr>
        <w:t>评标委员会应根据评标情况</w:t>
      </w:r>
      <w:r>
        <w:rPr>
          <w:rFonts w:ascii="宋体" w:hAnsi="宋体" w:eastAsia="宋体" w:cs="宋体"/>
          <w:strike/>
          <w:dstrike w:val="0"/>
          <w:color w:val="auto"/>
          <w:spacing w:val="-6"/>
          <w:sz w:val="24"/>
          <w:szCs w:val="24"/>
          <w:highlight w:val="none"/>
        </w:rPr>
        <w:t>，推荐中标候选人，并向招标人提交评标报告。</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评标报告由评标委员会成员起草，评标委员会全体成员应在评标报告上签字确认，评</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标专家如有保留意见可以在评标报告中阐明。评标委员会成员拒绝在评标报告上签字</w:t>
      </w:r>
    </w:p>
    <w:p w14:paraId="4606A7EB">
      <w:pPr>
        <w:spacing w:line="312" w:lineRule="auto"/>
        <w:rPr>
          <w:rFonts w:ascii="宋体" w:hAnsi="宋体" w:eastAsia="宋体" w:cs="宋体"/>
          <w:strike/>
          <w:dstrike w:val="0"/>
          <w:color w:val="auto"/>
          <w:sz w:val="24"/>
          <w:szCs w:val="24"/>
          <w:highlight w:val="none"/>
        </w:rPr>
        <w:sectPr>
          <w:footerReference r:id="rId70" w:type="default"/>
          <w:pgSz w:w="11905" w:h="16840"/>
          <w:pgMar w:top="400" w:right="781" w:bottom="1255" w:left="1587" w:header="0" w:footer="1093" w:gutter="0"/>
          <w:pgNumType w:fmt="decimal"/>
          <w:cols w:space="720" w:num="1"/>
        </w:sectPr>
      </w:pPr>
    </w:p>
    <w:p w14:paraId="3A0147A6">
      <w:pPr>
        <w:pStyle w:val="8"/>
        <w:spacing w:line="247" w:lineRule="auto"/>
        <w:rPr>
          <w:strike/>
          <w:dstrike w:val="0"/>
          <w:color w:val="auto"/>
          <w:highlight w:val="none"/>
        </w:rPr>
      </w:pPr>
    </w:p>
    <w:p w14:paraId="703B9A96">
      <w:pPr>
        <w:pStyle w:val="8"/>
        <w:spacing w:line="248" w:lineRule="auto"/>
        <w:rPr>
          <w:strike/>
          <w:dstrike w:val="0"/>
          <w:color w:val="auto"/>
          <w:highlight w:val="none"/>
        </w:rPr>
      </w:pPr>
    </w:p>
    <w:p w14:paraId="72D5CD41">
      <w:pPr>
        <w:pStyle w:val="8"/>
        <w:spacing w:line="248" w:lineRule="auto"/>
        <w:rPr>
          <w:strike/>
          <w:dstrike w:val="0"/>
          <w:color w:val="auto"/>
          <w:highlight w:val="none"/>
        </w:rPr>
      </w:pPr>
    </w:p>
    <w:p w14:paraId="255EF6A7">
      <w:pPr>
        <w:pStyle w:val="8"/>
        <w:spacing w:line="248" w:lineRule="auto"/>
        <w:rPr>
          <w:strike/>
          <w:dstrike w:val="0"/>
          <w:color w:val="auto"/>
          <w:highlight w:val="none"/>
        </w:rPr>
      </w:pPr>
    </w:p>
    <w:p w14:paraId="760167DD">
      <w:pPr>
        <w:spacing w:before="78" w:line="21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又不书面说明其不同意见和理由的，视为同意评标结果。</w:t>
      </w:r>
    </w:p>
    <w:p w14:paraId="1E67EC75">
      <w:pPr>
        <w:spacing w:before="182" w:line="218" w:lineRule="auto"/>
        <w:ind w:left="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 xml:space="preserve">4.8.3  </w:t>
      </w:r>
      <w:r>
        <w:rPr>
          <w:rFonts w:ascii="宋体" w:hAnsi="宋体" w:eastAsia="宋体" w:cs="宋体"/>
          <w:strike/>
          <w:dstrike w:val="0"/>
          <w:color w:val="auto"/>
          <w:spacing w:val="-3"/>
          <w:sz w:val="24"/>
          <w:szCs w:val="24"/>
          <w:highlight w:val="none"/>
        </w:rPr>
        <w:t>评标报告应包括以下内容：</w:t>
      </w:r>
    </w:p>
    <w:p w14:paraId="08495B58">
      <w:pPr>
        <w:spacing w:before="183" w:line="220"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）开标记录。</w:t>
      </w:r>
    </w:p>
    <w:p w14:paraId="7E3F2305">
      <w:pPr>
        <w:spacing w:before="179" w:line="220"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）评标内容、过程和结果。</w:t>
      </w:r>
    </w:p>
    <w:p w14:paraId="3A165161">
      <w:pPr>
        <w:spacing w:before="181" w:line="219"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）被否决情况说明及依据。</w:t>
      </w:r>
    </w:p>
    <w:p w14:paraId="051462D9">
      <w:pPr>
        <w:spacing w:before="183" w:line="220"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）询标澄清纪要。</w:t>
      </w:r>
    </w:p>
    <w:p w14:paraId="36FF3B05">
      <w:pPr>
        <w:spacing w:before="180" w:line="219"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5</w:t>
      </w:r>
      <w:r>
        <w:rPr>
          <w:rFonts w:ascii="宋体" w:hAnsi="宋体" w:eastAsia="宋体" w:cs="宋体"/>
          <w:strike/>
          <w:dstrike w:val="0"/>
          <w:color w:val="auto"/>
          <w:spacing w:val="-3"/>
          <w:sz w:val="24"/>
          <w:szCs w:val="24"/>
          <w:highlight w:val="none"/>
        </w:rPr>
        <w:t>）中标侯选人的优劣对比和存在问题。</w:t>
      </w:r>
    </w:p>
    <w:p w14:paraId="38EDC52C">
      <w:pPr>
        <w:spacing w:before="182" w:line="220"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）中标候选人投标业绩。</w:t>
      </w:r>
    </w:p>
    <w:p w14:paraId="061BC445">
      <w:pPr>
        <w:spacing w:before="183" w:line="220"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7</w:t>
      </w:r>
      <w:r>
        <w:rPr>
          <w:rFonts w:ascii="宋体" w:hAnsi="宋体" w:eastAsia="宋体" w:cs="宋体"/>
          <w:strike/>
          <w:dstrike w:val="0"/>
          <w:color w:val="auto"/>
          <w:spacing w:val="-6"/>
          <w:sz w:val="24"/>
          <w:szCs w:val="24"/>
          <w:highlight w:val="none"/>
        </w:rPr>
        <w:t>）其他建议。</w:t>
      </w:r>
    </w:p>
    <w:p w14:paraId="235C24A1">
      <w:pPr>
        <w:spacing w:line="220" w:lineRule="auto"/>
        <w:rPr>
          <w:rFonts w:ascii="宋体" w:hAnsi="宋体" w:eastAsia="宋体" w:cs="宋体"/>
          <w:strike/>
          <w:dstrike w:val="0"/>
          <w:color w:val="auto"/>
          <w:sz w:val="24"/>
          <w:szCs w:val="24"/>
          <w:highlight w:val="none"/>
        </w:rPr>
        <w:sectPr>
          <w:footerReference r:id="rId71" w:type="default"/>
          <w:pgSz w:w="11905" w:h="16840"/>
          <w:pgMar w:top="400" w:right="1529" w:bottom="1255" w:left="1598" w:header="0" w:footer="1093" w:gutter="0"/>
          <w:pgNumType w:fmt="decimal"/>
          <w:cols w:space="720" w:num="1"/>
        </w:sectPr>
      </w:pPr>
    </w:p>
    <w:p w14:paraId="5E843A7E">
      <w:pPr>
        <w:pStyle w:val="8"/>
        <w:spacing w:line="246" w:lineRule="auto"/>
        <w:rPr>
          <w:strike/>
          <w:dstrike w:val="0"/>
          <w:color w:val="auto"/>
          <w:highlight w:val="none"/>
        </w:rPr>
      </w:pPr>
    </w:p>
    <w:p w14:paraId="4FABADBC">
      <w:pPr>
        <w:pStyle w:val="8"/>
        <w:spacing w:line="247" w:lineRule="auto"/>
        <w:rPr>
          <w:strike/>
          <w:dstrike w:val="0"/>
          <w:color w:val="auto"/>
          <w:highlight w:val="none"/>
        </w:rPr>
      </w:pPr>
    </w:p>
    <w:p w14:paraId="303DE0BA">
      <w:pPr>
        <w:pStyle w:val="8"/>
        <w:spacing w:line="247" w:lineRule="auto"/>
        <w:rPr>
          <w:strike/>
          <w:dstrike w:val="0"/>
          <w:color w:val="auto"/>
          <w:highlight w:val="none"/>
        </w:rPr>
      </w:pPr>
    </w:p>
    <w:p w14:paraId="7E7EDB89">
      <w:pPr>
        <w:pStyle w:val="8"/>
        <w:spacing w:line="247" w:lineRule="auto"/>
        <w:rPr>
          <w:strike/>
          <w:dstrike w:val="0"/>
          <w:color w:val="auto"/>
          <w:highlight w:val="none"/>
        </w:rPr>
      </w:pPr>
    </w:p>
    <w:p w14:paraId="6EC37095">
      <w:pPr>
        <w:spacing w:before="92" w:line="217" w:lineRule="auto"/>
        <w:ind w:left="3478"/>
        <w:rPr>
          <w:rFonts w:ascii="等线" w:hAnsi="等线" w:eastAsia="等线" w:cs="等线"/>
          <w:strike/>
          <w:dstrike w:val="0"/>
          <w:color w:val="auto"/>
          <w:sz w:val="27"/>
          <w:szCs w:val="27"/>
          <w:highlight w:val="none"/>
        </w:rPr>
      </w:pPr>
      <w:r>
        <w:rPr>
          <w:rFonts w:ascii="等线" w:hAnsi="等线" w:eastAsia="等线" w:cs="等线"/>
          <w:b/>
          <w:bCs/>
          <w:strike/>
          <w:dstrike w:val="0"/>
          <w:color w:val="auto"/>
          <w:spacing w:val="7"/>
          <w:sz w:val="27"/>
          <w:szCs w:val="27"/>
          <w:highlight w:val="none"/>
        </w:rPr>
        <w:t>第⼆节</w:t>
      </w:r>
      <w:r>
        <w:rPr>
          <w:rFonts w:ascii="等线" w:hAnsi="等线" w:eastAsia="等线" w:cs="等线"/>
          <w:b/>
          <w:bCs/>
          <w:strike/>
          <w:dstrike w:val="0"/>
          <w:color w:val="auto"/>
          <w:spacing w:val="1"/>
          <w:sz w:val="27"/>
          <w:szCs w:val="27"/>
          <w:highlight w:val="none"/>
        </w:rPr>
        <w:t xml:space="preserve">  </w:t>
      </w:r>
      <w:r>
        <w:rPr>
          <w:rFonts w:ascii="等线" w:hAnsi="等线" w:eastAsia="等线" w:cs="等线"/>
          <w:b/>
          <w:bCs/>
          <w:strike/>
          <w:dstrike w:val="0"/>
          <w:color w:val="auto"/>
          <w:spacing w:val="7"/>
          <w:sz w:val="27"/>
          <w:szCs w:val="27"/>
          <w:highlight w:val="none"/>
        </w:rPr>
        <w:t>定标办法</w:t>
      </w:r>
    </w:p>
    <w:p w14:paraId="7183F439">
      <w:pPr>
        <w:spacing w:before="99" w:line="220" w:lineRule="auto"/>
        <w:ind w:left="50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7"/>
          <w:sz w:val="24"/>
          <w:szCs w:val="24"/>
          <w:highlight w:val="none"/>
        </w:rPr>
        <w:t>一、定标原则</w:t>
      </w:r>
    </w:p>
    <w:p w14:paraId="65CE1290">
      <w:pPr>
        <w:spacing w:before="179" w:line="220" w:lineRule="auto"/>
        <w:ind w:left="49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详见投标人须知。</w:t>
      </w:r>
    </w:p>
    <w:p w14:paraId="7446EE84">
      <w:pPr>
        <w:spacing w:before="181" w:line="220" w:lineRule="auto"/>
        <w:ind w:left="50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二、定标组织</w:t>
      </w:r>
    </w:p>
    <w:p w14:paraId="775142A7">
      <w:pPr>
        <w:spacing w:before="180" w:line="220" w:lineRule="auto"/>
        <w:ind w:left="49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详见投标人须知。</w:t>
      </w:r>
    </w:p>
    <w:p w14:paraId="422B42E0">
      <w:pPr>
        <w:spacing w:before="182" w:line="220" w:lineRule="auto"/>
        <w:ind w:left="498"/>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三、定标程序</w:t>
      </w:r>
    </w:p>
    <w:p w14:paraId="610E129E">
      <w:pPr>
        <w:spacing w:before="180" w:line="359" w:lineRule="auto"/>
        <w:ind w:left="17" w:right="75" w:firstLine="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（一）定标前，定标委员会可以自行组织或委托专</w:t>
      </w:r>
      <w:r>
        <w:rPr>
          <w:rFonts w:ascii="宋体" w:hAnsi="宋体" w:eastAsia="宋体" w:cs="宋体"/>
          <w:strike/>
          <w:dstrike w:val="0"/>
          <w:color w:val="auto"/>
          <w:spacing w:val="-4"/>
          <w:sz w:val="24"/>
          <w:szCs w:val="24"/>
          <w:highlight w:val="none"/>
        </w:rPr>
        <w:t>业机构对中标候选人及其投标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文件、评标报告进行考察、质询，作为定标的辅助资料。</w:t>
      </w:r>
    </w:p>
    <w:p w14:paraId="54CE506F">
      <w:pPr>
        <w:spacing w:before="2" w:line="312" w:lineRule="auto"/>
        <w:ind w:left="14" w:right="104" w:firstLine="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（1）考察。是指实地调查，考察内容为招标文件载明的所有定标要素，但评标</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z w:val="24"/>
          <w:szCs w:val="24"/>
          <w:highlight w:val="none"/>
        </w:rPr>
        <w:t>委员会已经经过评审过的相关定标要素内容，招标人认为不</w:t>
      </w:r>
      <w:r>
        <w:rPr>
          <w:rFonts w:ascii="宋体" w:hAnsi="宋体" w:eastAsia="宋体" w:cs="宋体"/>
          <w:strike/>
          <w:dstrike w:val="0"/>
          <w:color w:val="auto"/>
          <w:spacing w:val="-1"/>
          <w:sz w:val="24"/>
          <w:szCs w:val="24"/>
          <w:highlight w:val="none"/>
        </w:rPr>
        <w:t>再需要考察的，可以不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列入考察内容。考察需对考察内容进行定性或定量分析，在考察报告中需有结论，</w:t>
      </w:r>
    </w:p>
    <w:p w14:paraId="054C45F5">
      <w:pPr>
        <w:spacing w:before="183" w:line="219" w:lineRule="auto"/>
        <w:ind w:left="1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供定标委员会参考。如招标人组织考察的，应对所有中标候选人进行。</w:t>
      </w:r>
    </w:p>
    <w:p w14:paraId="01D7C9C8">
      <w:pPr>
        <w:spacing w:before="181" w:line="313" w:lineRule="auto"/>
        <w:ind w:left="16" w:firstLine="485"/>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（2）质询。是指招标人以书面方式就投标文件向中标候选人提出问题，要求中</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7"/>
          <w:sz w:val="24"/>
          <w:szCs w:val="24"/>
          <w:highlight w:val="none"/>
        </w:rPr>
        <w:t>标候选人进行答复。就同一问题进行质询的，原则上应当向所</w:t>
      </w:r>
      <w:r>
        <w:rPr>
          <w:rFonts w:ascii="宋体" w:hAnsi="宋体" w:eastAsia="宋体" w:cs="宋体"/>
          <w:strike/>
          <w:dstrike w:val="0"/>
          <w:color w:val="auto"/>
          <w:spacing w:val="-8"/>
          <w:sz w:val="24"/>
          <w:szCs w:val="24"/>
          <w:highlight w:val="none"/>
        </w:rPr>
        <w:t>有中标候选人进行质询，</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招标人认为中标候选人已在投标文件中明确的，可以不再对该中标</w:t>
      </w:r>
      <w:r>
        <w:rPr>
          <w:rFonts w:ascii="宋体" w:hAnsi="宋体" w:eastAsia="宋体" w:cs="宋体"/>
          <w:strike/>
          <w:dstrike w:val="0"/>
          <w:color w:val="auto"/>
          <w:spacing w:val="-2"/>
          <w:sz w:val="24"/>
          <w:szCs w:val="24"/>
          <w:highlight w:val="none"/>
        </w:rPr>
        <w:t>候选人进行质询。</w:t>
      </w:r>
    </w:p>
    <w:p w14:paraId="3715B096">
      <w:pPr>
        <w:spacing w:before="181" w:line="219" w:lineRule="auto"/>
        <w:ind w:left="50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（二）评标结果公示结束无异议后</w:t>
      </w:r>
      <w:r>
        <w:rPr>
          <w:rFonts w:ascii="Times New Roman" w:hAnsi="Times New Roman" w:eastAsia="Times New Roman" w:cs="Times New Roman"/>
          <w:strike/>
          <w:dstrike w:val="0"/>
          <w:color w:val="auto"/>
          <w:spacing w:val="-2"/>
          <w:sz w:val="24"/>
          <w:szCs w:val="24"/>
          <w:highlight w:val="none"/>
        </w:rPr>
        <w:t>10</w:t>
      </w:r>
      <w:r>
        <w:rPr>
          <w:rFonts w:ascii="宋体" w:hAnsi="宋体" w:eastAsia="宋体" w:cs="宋体"/>
          <w:strike/>
          <w:dstrike w:val="0"/>
          <w:color w:val="auto"/>
          <w:spacing w:val="-2"/>
          <w:sz w:val="24"/>
          <w:szCs w:val="24"/>
          <w:highlight w:val="none"/>
        </w:rPr>
        <w:t>日内，应召开定标会议。</w:t>
      </w:r>
    </w:p>
    <w:p w14:paraId="5B399B66">
      <w:pPr>
        <w:spacing w:before="182" w:line="219" w:lineRule="auto"/>
        <w:ind w:left="50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（三）定标委员会按下列方法确定中标人：</w:t>
      </w:r>
    </w:p>
    <w:p w14:paraId="121209D1">
      <w:pPr>
        <w:spacing w:before="182" w:line="220" w:lineRule="auto"/>
        <w:ind w:left="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13"/>
          <w:sz w:val="24"/>
          <w:szCs w:val="24"/>
          <w:highlight w:val="none"/>
        </w:rPr>
        <w:t>□直接票决法：</w:t>
      </w:r>
    </w:p>
    <w:p w14:paraId="60DDD9AC">
      <w:pPr>
        <w:spacing w:before="182" w:line="289" w:lineRule="auto"/>
        <w:ind w:left="19" w:right="75" w:firstLine="50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□直接票决法一：定标委员会在进入投票范围的中标候选人中，以每人投票支持</w:t>
      </w:r>
      <w:r>
        <w:rPr>
          <w:rFonts w:ascii="宋体" w:hAnsi="宋体" w:eastAsia="宋体" w:cs="宋体"/>
          <w:strike/>
          <w:dstrike w:val="0"/>
          <w:color w:val="auto"/>
          <w:spacing w:val="4"/>
          <w:sz w:val="24"/>
          <w:szCs w:val="24"/>
          <w:highlight w:val="none"/>
        </w:rPr>
        <w:t xml:space="preserve"> </w:t>
      </w:r>
      <w:r>
        <w:rPr>
          <w:rFonts w:ascii="宋体" w:hAnsi="宋体" w:eastAsia="宋体" w:cs="宋体"/>
          <w:strike/>
          <w:dstrike w:val="0"/>
          <w:color w:val="auto"/>
          <w:spacing w:val="-2"/>
          <w:sz w:val="24"/>
          <w:szCs w:val="24"/>
          <w:highlight w:val="none"/>
        </w:rPr>
        <w:t>一个中标候选人的方式，得票最多且过半数的中标候选人为中标人。</w:t>
      </w:r>
    </w:p>
    <w:p w14:paraId="1C313105">
      <w:pPr>
        <w:spacing w:before="184" w:line="350" w:lineRule="auto"/>
        <w:ind w:left="16" w:right="42" w:firstLine="49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当没有中标候选人得票超过半数时，选择得票较多的</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个中标候选人（按上一轮</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2"/>
          <w:sz w:val="24"/>
          <w:szCs w:val="24"/>
          <w:highlight w:val="none"/>
        </w:rPr>
        <w:t>得票多少的顺序选择，在选择第</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个中标候选人时出现同票的中标候选人时，</w:t>
      </w:r>
      <w:r>
        <w:rPr>
          <w:rFonts w:ascii="宋体" w:hAnsi="宋体" w:eastAsia="宋体" w:cs="宋体"/>
          <w:strike/>
          <w:dstrike w:val="0"/>
          <w:color w:val="auto"/>
          <w:spacing w:val="-35"/>
          <w:sz w:val="24"/>
          <w:szCs w:val="24"/>
          <w:highlight w:val="none"/>
        </w:rPr>
        <w:t xml:space="preserve"> </w:t>
      </w:r>
      <w:r>
        <w:rPr>
          <w:rFonts w:ascii="宋体" w:hAnsi="宋体" w:eastAsia="宋体" w:cs="宋体"/>
          <w:i/>
          <w:iCs/>
          <w:strike/>
          <w:dstrike w:val="0"/>
          <w:color w:val="auto"/>
          <w:spacing w:val="-2"/>
          <w:sz w:val="25"/>
          <w:szCs w:val="25"/>
          <w:highlight w:val="none"/>
        </w:rPr>
        <w:t>□抽签</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4"/>
          <w:sz w:val="25"/>
          <w:szCs w:val="25"/>
          <w:highlight w:val="none"/>
        </w:rPr>
        <w:t>抽取中标候选人□报价低者（报价相同时抽签抽取</w:t>
      </w:r>
      <w:r>
        <w:rPr>
          <w:rFonts w:ascii="宋体" w:hAnsi="宋体" w:eastAsia="宋体" w:cs="宋体"/>
          <w:strike/>
          <w:dstrike w:val="0"/>
          <w:color w:val="auto"/>
          <w:spacing w:val="-57"/>
          <w:sz w:val="25"/>
          <w:szCs w:val="25"/>
          <w:highlight w:val="none"/>
        </w:rPr>
        <w:t xml:space="preserve"> </w:t>
      </w:r>
      <w:r>
        <w:rPr>
          <w:rFonts w:ascii="Times New Roman" w:hAnsi="Times New Roman" w:eastAsia="Times New Roman" w:cs="Times New Roman"/>
          <w:i/>
          <w:iCs/>
          <w:strike/>
          <w:dstrike w:val="0"/>
          <w:color w:val="auto"/>
          <w:spacing w:val="-14"/>
          <w:sz w:val="24"/>
          <w:szCs w:val="24"/>
          <w:highlight w:val="none"/>
        </w:rPr>
        <w:t>1</w:t>
      </w:r>
      <w:r>
        <w:rPr>
          <w:rFonts w:ascii="Times New Roman" w:hAnsi="Times New Roman" w:eastAsia="Times New Roman" w:cs="Times New Roman"/>
          <w:i/>
          <w:iCs/>
          <w:strike/>
          <w:dstrike w:val="0"/>
          <w:color w:val="auto"/>
          <w:spacing w:val="28"/>
          <w:w w:val="101"/>
          <w:sz w:val="24"/>
          <w:szCs w:val="24"/>
          <w:highlight w:val="none"/>
        </w:rPr>
        <w:t xml:space="preserve"> </w:t>
      </w:r>
      <w:r>
        <w:rPr>
          <w:rFonts w:ascii="宋体" w:hAnsi="宋体" w:eastAsia="宋体" w:cs="宋体"/>
          <w:i/>
          <w:iCs/>
          <w:strike/>
          <w:dstrike w:val="0"/>
          <w:color w:val="auto"/>
          <w:spacing w:val="-14"/>
          <w:sz w:val="25"/>
          <w:szCs w:val="25"/>
          <w:highlight w:val="none"/>
        </w:rPr>
        <w:t>个中标候选人）□由招标</w:t>
      </w:r>
      <w:r>
        <w:rPr>
          <w:rFonts w:ascii="宋体" w:hAnsi="宋体" w:eastAsia="宋体" w:cs="宋体"/>
          <w:i/>
          <w:iCs/>
          <w:strike/>
          <w:dstrike w:val="0"/>
          <w:color w:val="auto"/>
          <w:spacing w:val="-15"/>
          <w:sz w:val="25"/>
          <w:szCs w:val="25"/>
          <w:highlight w:val="none"/>
        </w:rPr>
        <w:t>人法定</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5"/>
          <w:sz w:val="25"/>
          <w:szCs w:val="25"/>
          <w:highlight w:val="none"/>
        </w:rPr>
        <w:t>代表人或其委托代表直接确定</w:t>
      </w:r>
      <w:r>
        <w:rPr>
          <w:rFonts w:ascii="Times New Roman" w:hAnsi="Times New Roman" w:eastAsia="Times New Roman" w:cs="Times New Roman"/>
          <w:i/>
          <w:iCs/>
          <w:strike/>
          <w:dstrike w:val="0"/>
          <w:color w:val="auto"/>
          <w:spacing w:val="-5"/>
          <w:sz w:val="24"/>
          <w:szCs w:val="24"/>
          <w:highlight w:val="none"/>
        </w:rPr>
        <w:t>1</w:t>
      </w:r>
      <w:r>
        <w:rPr>
          <w:rFonts w:ascii="宋体" w:hAnsi="宋体" w:eastAsia="宋体" w:cs="宋体"/>
          <w:i/>
          <w:iCs/>
          <w:strike/>
          <w:dstrike w:val="0"/>
          <w:color w:val="auto"/>
          <w:spacing w:val="-5"/>
          <w:sz w:val="25"/>
          <w:szCs w:val="25"/>
          <w:highlight w:val="none"/>
        </w:rPr>
        <w:t>个中标候选人</w:t>
      </w:r>
      <w:r>
        <w:rPr>
          <w:rFonts w:ascii="宋体" w:hAnsi="宋体" w:eastAsia="宋体" w:cs="宋体"/>
          <w:strike/>
          <w:dstrike w:val="0"/>
          <w:color w:val="auto"/>
          <w:spacing w:val="-5"/>
          <w:sz w:val="24"/>
          <w:szCs w:val="24"/>
          <w:highlight w:val="none"/>
        </w:rPr>
        <w:t>作为二次投票的范围，直至出现得票过</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4"/>
          <w:sz w:val="24"/>
          <w:szCs w:val="24"/>
          <w:highlight w:val="none"/>
        </w:rPr>
        <w:t>半数的中标候选人为止。</w:t>
      </w:r>
    </w:p>
    <w:p w14:paraId="15FC3B72">
      <w:pPr>
        <w:spacing w:before="1" w:line="354" w:lineRule="auto"/>
        <w:ind w:right="66" w:firstLine="52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□直接票决法二：定标委员会在进入投票范围的中标候选人中，以每人投票支持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4"/>
          <w:sz w:val="24"/>
          <w:szCs w:val="24"/>
          <w:highlight w:val="none"/>
          <w:u w:val="single" w:color="auto"/>
        </w:rPr>
        <w:t>N</w:t>
      </w:r>
      <w:r>
        <w:rPr>
          <w:rFonts w:ascii="Times New Roman" w:hAnsi="Times New Roman" w:eastAsia="Times New Roman" w:cs="Times New Roman"/>
          <w:i/>
          <w:iCs/>
          <w:strike/>
          <w:dstrike w:val="0"/>
          <w:color w:val="auto"/>
          <w:spacing w:val="40"/>
          <w:sz w:val="24"/>
          <w:szCs w:val="24"/>
          <w:highlight w:val="none"/>
          <w:u w:val="single" w:color="auto"/>
        </w:rPr>
        <w:t xml:space="preserve"> </w:t>
      </w:r>
      <w:r>
        <w:rPr>
          <w:rFonts w:ascii="宋体" w:hAnsi="宋体" w:eastAsia="宋体" w:cs="宋体"/>
          <w:i/>
          <w:iCs/>
          <w:strike/>
          <w:dstrike w:val="0"/>
          <w:color w:val="auto"/>
          <w:spacing w:val="-4"/>
          <w:sz w:val="25"/>
          <w:szCs w:val="25"/>
          <w:highlight w:val="none"/>
        </w:rPr>
        <w:t>（</w:t>
      </w:r>
      <w:r>
        <w:rPr>
          <w:rFonts w:ascii="Times New Roman" w:hAnsi="Times New Roman" w:eastAsia="Times New Roman" w:cs="Times New Roman"/>
          <w:i/>
          <w:iCs/>
          <w:strike/>
          <w:dstrike w:val="0"/>
          <w:color w:val="auto"/>
          <w:spacing w:val="-4"/>
          <w:sz w:val="24"/>
          <w:szCs w:val="24"/>
          <w:highlight w:val="none"/>
        </w:rPr>
        <w:t>N</w:t>
      </w:r>
      <w:r>
        <w:rPr>
          <w:rFonts w:ascii="宋体" w:hAnsi="宋体" w:eastAsia="宋体" w:cs="宋体"/>
          <w:i/>
          <w:iCs/>
          <w:strike/>
          <w:dstrike w:val="0"/>
          <w:color w:val="auto"/>
          <w:spacing w:val="-4"/>
          <w:sz w:val="25"/>
          <w:szCs w:val="25"/>
          <w:highlight w:val="none"/>
        </w:rPr>
        <w:t>不得超过中标候选人数）</w:t>
      </w:r>
      <w:r>
        <w:rPr>
          <w:rFonts w:ascii="宋体" w:hAnsi="宋体" w:eastAsia="宋体" w:cs="宋体"/>
          <w:strike/>
          <w:dstrike w:val="0"/>
          <w:color w:val="auto"/>
          <w:spacing w:val="-4"/>
          <w:sz w:val="24"/>
          <w:szCs w:val="24"/>
          <w:highlight w:val="none"/>
        </w:rPr>
        <w:t>个中标候选人的方式，得票最多且过半数的中标候选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人为中标人。</w:t>
      </w:r>
    </w:p>
    <w:p w14:paraId="6C8BAFB2">
      <w:pPr>
        <w:spacing w:before="2" w:line="354" w:lineRule="auto"/>
        <w:ind w:left="16" w:right="42" w:firstLine="494"/>
        <w:rPr>
          <w:rFonts w:ascii="宋体" w:hAnsi="宋体" w:eastAsia="宋体" w:cs="宋体"/>
          <w:strike/>
          <w:dstrike w:val="0"/>
          <w:color w:val="auto"/>
          <w:sz w:val="25"/>
          <w:szCs w:val="25"/>
          <w:highlight w:val="none"/>
        </w:rPr>
      </w:pPr>
      <w:r>
        <w:rPr>
          <w:rFonts w:ascii="宋体" w:hAnsi="宋体" w:eastAsia="宋体" w:cs="宋体"/>
          <w:strike/>
          <w:dstrike w:val="0"/>
          <w:color w:val="auto"/>
          <w:sz w:val="24"/>
          <w:szCs w:val="24"/>
          <w:highlight w:val="none"/>
        </w:rPr>
        <w:t>当没有中标候选人得票超过半数时，选择得票较多的</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个中标候选人（按上一轮</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2"/>
          <w:sz w:val="24"/>
          <w:szCs w:val="24"/>
          <w:highlight w:val="none"/>
        </w:rPr>
        <w:t>得票多少的顺序选择，在选择第</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个中标候选人时出现同票的中标候选人时，</w:t>
      </w:r>
      <w:r>
        <w:rPr>
          <w:rFonts w:ascii="宋体" w:hAnsi="宋体" w:eastAsia="宋体" w:cs="宋体"/>
          <w:strike/>
          <w:dstrike w:val="0"/>
          <w:color w:val="auto"/>
          <w:spacing w:val="-35"/>
          <w:sz w:val="24"/>
          <w:szCs w:val="24"/>
          <w:highlight w:val="none"/>
        </w:rPr>
        <w:t xml:space="preserve"> </w:t>
      </w:r>
      <w:r>
        <w:rPr>
          <w:rFonts w:ascii="宋体" w:hAnsi="宋体" w:eastAsia="宋体" w:cs="宋体"/>
          <w:i/>
          <w:iCs/>
          <w:strike/>
          <w:dstrike w:val="0"/>
          <w:color w:val="auto"/>
          <w:spacing w:val="-2"/>
          <w:sz w:val="25"/>
          <w:szCs w:val="25"/>
          <w:highlight w:val="none"/>
        </w:rPr>
        <w:t>□抽签</w:t>
      </w:r>
    </w:p>
    <w:p w14:paraId="6B9038E4">
      <w:pPr>
        <w:spacing w:line="354" w:lineRule="auto"/>
        <w:rPr>
          <w:rFonts w:ascii="宋体" w:hAnsi="宋体" w:eastAsia="宋体" w:cs="宋体"/>
          <w:strike/>
          <w:dstrike w:val="0"/>
          <w:color w:val="auto"/>
          <w:sz w:val="25"/>
          <w:szCs w:val="25"/>
          <w:highlight w:val="none"/>
        </w:rPr>
        <w:sectPr>
          <w:footerReference r:id="rId72" w:type="default"/>
          <w:pgSz w:w="11905" w:h="16840"/>
          <w:pgMar w:top="400" w:right="1461" w:bottom="1255" w:left="1581" w:header="0" w:footer="1093" w:gutter="0"/>
          <w:pgNumType w:fmt="decimal"/>
          <w:cols w:space="720" w:num="1"/>
        </w:sectPr>
      </w:pPr>
    </w:p>
    <w:p w14:paraId="346873C4">
      <w:pPr>
        <w:pStyle w:val="8"/>
        <w:spacing w:line="247" w:lineRule="auto"/>
        <w:rPr>
          <w:strike/>
          <w:dstrike w:val="0"/>
          <w:color w:val="auto"/>
          <w:highlight w:val="none"/>
        </w:rPr>
      </w:pPr>
    </w:p>
    <w:p w14:paraId="3578785A">
      <w:pPr>
        <w:pStyle w:val="8"/>
        <w:spacing w:line="247" w:lineRule="auto"/>
        <w:rPr>
          <w:strike/>
          <w:dstrike w:val="0"/>
          <w:color w:val="auto"/>
          <w:highlight w:val="none"/>
        </w:rPr>
      </w:pPr>
    </w:p>
    <w:p w14:paraId="30932661">
      <w:pPr>
        <w:pStyle w:val="8"/>
        <w:spacing w:line="248" w:lineRule="auto"/>
        <w:rPr>
          <w:strike/>
          <w:dstrike w:val="0"/>
          <w:color w:val="auto"/>
          <w:highlight w:val="none"/>
        </w:rPr>
      </w:pPr>
    </w:p>
    <w:p w14:paraId="69E28230">
      <w:pPr>
        <w:pStyle w:val="8"/>
        <w:spacing w:line="248" w:lineRule="auto"/>
        <w:rPr>
          <w:strike/>
          <w:dstrike w:val="0"/>
          <w:color w:val="auto"/>
          <w:highlight w:val="none"/>
        </w:rPr>
      </w:pPr>
    </w:p>
    <w:p w14:paraId="0DF0000C">
      <w:pPr>
        <w:spacing w:before="81" w:line="349" w:lineRule="auto"/>
        <w:ind w:left="19" w:right="87" w:firstLine="106"/>
        <w:jc w:val="both"/>
        <w:rPr>
          <w:rFonts w:ascii="宋体" w:hAnsi="宋体" w:eastAsia="宋体" w:cs="宋体"/>
          <w:strike/>
          <w:dstrike w:val="0"/>
          <w:color w:val="auto"/>
          <w:sz w:val="24"/>
          <w:szCs w:val="24"/>
          <w:highlight w:val="none"/>
        </w:rPr>
      </w:pPr>
      <w:r>
        <w:rPr>
          <w:rFonts w:ascii="宋体" w:hAnsi="宋体" w:eastAsia="宋体" w:cs="宋体"/>
          <w:i/>
          <w:iCs/>
          <w:strike/>
          <w:dstrike w:val="0"/>
          <w:color w:val="auto"/>
          <w:spacing w:val="-17"/>
          <w:sz w:val="25"/>
          <w:szCs w:val="25"/>
          <w:highlight w:val="none"/>
        </w:rPr>
        <w:t>抽取中标候选人□报价低者（报价相同时抽签抽取</w:t>
      </w:r>
      <w:r>
        <w:rPr>
          <w:rFonts w:ascii="宋体" w:hAnsi="宋体" w:eastAsia="宋体" w:cs="宋体"/>
          <w:strike/>
          <w:dstrike w:val="0"/>
          <w:color w:val="auto"/>
          <w:spacing w:val="-58"/>
          <w:sz w:val="25"/>
          <w:szCs w:val="25"/>
          <w:highlight w:val="none"/>
        </w:rPr>
        <w:t xml:space="preserve"> </w:t>
      </w:r>
      <w:r>
        <w:rPr>
          <w:rFonts w:ascii="Times New Roman" w:hAnsi="Times New Roman" w:eastAsia="Times New Roman" w:cs="Times New Roman"/>
          <w:i/>
          <w:iCs/>
          <w:strike/>
          <w:dstrike w:val="0"/>
          <w:color w:val="auto"/>
          <w:spacing w:val="-17"/>
          <w:sz w:val="24"/>
          <w:szCs w:val="24"/>
          <w:highlight w:val="none"/>
        </w:rPr>
        <w:t>1</w:t>
      </w:r>
      <w:r>
        <w:rPr>
          <w:rFonts w:ascii="Times New Roman" w:hAnsi="Times New Roman" w:eastAsia="Times New Roman" w:cs="Times New Roman"/>
          <w:i/>
          <w:iCs/>
          <w:strike/>
          <w:dstrike w:val="0"/>
          <w:color w:val="auto"/>
          <w:spacing w:val="28"/>
          <w:w w:val="101"/>
          <w:sz w:val="24"/>
          <w:szCs w:val="24"/>
          <w:highlight w:val="none"/>
        </w:rPr>
        <w:t xml:space="preserve"> </w:t>
      </w:r>
      <w:r>
        <w:rPr>
          <w:rFonts w:ascii="宋体" w:hAnsi="宋体" w:eastAsia="宋体" w:cs="宋体"/>
          <w:i/>
          <w:iCs/>
          <w:strike/>
          <w:dstrike w:val="0"/>
          <w:color w:val="auto"/>
          <w:spacing w:val="-17"/>
          <w:sz w:val="25"/>
          <w:szCs w:val="25"/>
          <w:highlight w:val="none"/>
        </w:rPr>
        <w:t>个中标候选人）□由招标人法定</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5"/>
          <w:sz w:val="25"/>
          <w:szCs w:val="25"/>
          <w:highlight w:val="none"/>
        </w:rPr>
        <w:t>代表人或其委托代表直接确定</w:t>
      </w:r>
      <w:r>
        <w:rPr>
          <w:rFonts w:ascii="Times New Roman" w:hAnsi="Times New Roman" w:eastAsia="Times New Roman" w:cs="Times New Roman"/>
          <w:i/>
          <w:iCs/>
          <w:strike/>
          <w:dstrike w:val="0"/>
          <w:color w:val="auto"/>
          <w:spacing w:val="-5"/>
          <w:sz w:val="24"/>
          <w:szCs w:val="24"/>
          <w:highlight w:val="none"/>
        </w:rPr>
        <w:t>1</w:t>
      </w:r>
      <w:r>
        <w:rPr>
          <w:rFonts w:ascii="宋体" w:hAnsi="宋体" w:eastAsia="宋体" w:cs="宋体"/>
          <w:i/>
          <w:iCs/>
          <w:strike/>
          <w:dstrike w:val="0"/>
          <w:color w:val="auto"/>
          <w:spacing w:val="-5"/>
          <w:sz w:val="25"/>
          <w:szCs w:val="25"/>
          <w:highlight w:val="none"/>
        </w:rPr>
        <w:t>个中标候选人</w:t>
      </w:r>
      <w:r>
        <w:rPr>
          <w:rFonts w:ascii="宋体" w:hAnsi="宋体" w:eastAsia="宋体" w:cs="宋体"/>
          <w:strike/>
          <w:dstrike w:val="0"/>
          <w:color w:val="auto"/>
          <w:spacing w:val="-5"/>
          <w:sz w:val="24"/>
          <w:szCs w:val="24"/>
          <w:highlight w:val="none"/>
        </w:rPr>
        <w:t>作为二次投票的范围，直至出现得票过</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4"/>
          <w:sz w:val="24"/>
          <w:szCs w:val="24"/>
          <w:highlight w:val="none"/>
        </w:rPr>
        <w:t>半数的中标候选人为止。</w:t>
      </w:r>
    </w:p>
    <w:p w14:paraId="6533708B">
      <w:pPr>
        <w:spacing w:line="354" w:lineRule="auto"/>
        <w:ind w:right="85" w:firstLine="52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□直接票决法三：定标委员会在进入投票范围的中标候选人中，以每人投票支持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4"/>
          <w:sz w:val="24"/>
          <w:szCs w:val="24"/>
          <w:highlight w:val="none"/>
          <w:u w:val="single" w:color="auto"/>
        </w:rPr>
        <w:t>N</w:t>
      </w:r>
      <w:r>
        <w:rPr>
          <w:rFonts w:ascii="Times New Roman" w:hAnsi="Times New Roman" w:eastAsia="Times New Roman" w:cs="Times New Roman"/>
          <w:i/>
          <w:iCs/>
          <w:strike/>
          <w:dstrike w:val="0"/>
          <w:color w:val="auto"/>
          <w:spacing w:val="40"/>
          <w:sz w:val="24"/>
          <w:szCs w:val="24"/>
          <w:highlight w:val="none"/>
          <w:u w:val="single" w:color="auto"/>
        </w:rPr>
        <w:t xml:space="preserve"> </w:t>
      </w:r>
      <w:r>
        <w:rPr>
          <w:rFonts w:ascii="宋体" w:hAnsi="宋体" w:eastAsia="宋体" w:cs="宋体"/>
          <w:i/>
          <w:iCs/>
          <w:strike/>
          <w:dstrike w:val="0"/>
          <w:color w:val="auto"/>
          <w:spacing w:val="-4"/>
          <w:sz w:val="25"/>
          <w:szCs w:val="25"/>
          <w:highlight w:val="none"/>
        </w:rPr>
        <w:t>（</w:t>
      </w:r>
      <w:r>
        <w:rPr>
          <w:rFonts w:ascii="Times New Roman" w:hAnsi="Times New Roman" w:eastAsia="Times New Roman" w:cs="Times New Roman"/>
          <w:i/>
          <w:iCs/>
          <w:strike/>
          <w:dstrike w:val="0"/>
          <w:color w:val="auto"/>
          <w:spacing w:val="-4"/>
          <w:sz w:val="24"/>
          <w:szCs w:val="24"/>
          <w:highlight w:val="none"/>
        </w:rPr>
        <w:t>N</w:t>
      </w:r>
      <w:r>
        <w:rPr>
          <w:rFonts w:ascii="宋体" w:hAnsi="宋体" w:eastAsia="宋体" w:cs="宋体"/>
          <w:i/>
          <w:iCs/>
          <w:strike/>
          <w:dstrike w:val="0"/>
          <w:color w:val="auto"/>
          <w:spacing w:val="-4"/>
          <w:sz w:val="25"/>
          <w:szCs w:val="25"/>
          <w:highlight w:val="none"/>
        </w:rPr>
        <w:t>不得超过中标候选人数）</w:t>
      </w:r>
      <w:r>
        <w:rPr>
          <w:rFonts w:ascii="宋体" w:hAnsi="宋体" w:eastAsia="宋体" w:cs="宋体"/>
          <w:strike/>
          <w:dstrike w:val="0"/>
          <w:color w:val="auto"/>
          <w:spacing w:val="-4"/>
          <w:sz w:val="24"/>
          <w:szCs w:val="24"/>
          <w:highlight w:val="none"/>
        </w:rPr>
        <w:t>个中标候选人的方式，得票最多的中标候选人为中标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人。</w:t>
      </w:r>
    </w:p>
    <w:p w14:paraId="4B34ECA3">
      <w:pPr>
        <w:spacing w:before="1" w:line="310" w:lineRule="auto"/>
        <w:ind w:left="64" w:right="64" w:firstLine="446"/>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9"/>
          <w:sz w:val="24"/>
          <w:szCs w:val="24"/>
          <w:highlight w:val="none"/>
        </w:rPr>
        <w:t>当得票最多的中标候选人出现多个时，采用</w:t>
      </w:r>
      <w:r>
        <w:rPr>
          <w:rFonts w:ascii="宋体" w:hAnsi="宋体" w:eastAsia="宋体" w:cs="宋体"/>
          <w:strike/>
          <w:dstrike w:val="0"/>
          <w:color w:val="auto"/>
          <w:spacing w:val="-42"/>
          <w:sz w:val="24"/>
          <w:szCs w:val="24"/>
          <w:highlight w:val="none"/>
        </w:rPr>
        <w:t xml:space="preserve"> </w:t>
      </w:r>
      <w:r>
        <w:rPr>
          <w:rFonts w:ascii="宋体" w:hAnsi="宋体" w:eastAsia="宋体" w:cs="宋体"/>
          <w:i/>
          <w:iCs/>
          <w:strike/>
          <w:dstrike w:val="0"/>
          <w:color w:val="auto"/>
          <w:spacing w:val="-9"/>
          <w:sz w:val="25"/>
          <w:szCs w:val="25"/>
          <w:highlight w:val="none"/>
        </w:rPr>
        <w:t>□抽签抽取</w:t>
      </w:r>
      <w:r>
        <w:rPr>
          <w:rFonts w:ascii="宋体" w:hAnsi="宋体" w:eastAsia="宋体" w:cs="宋体"/>
          <w:strike/>
          <w:dstrike w:val="0"/>
          <w:color w:val="auto"/>
          <w:spacing w:val="72"/>
          <w:sz w:val="25"/>
          <w:szCs w:val="25"/>
          <w:highlight w:val="none"/>
        </w:rPr>
        <w:t xml:space="preserve"> </w:t>
      </w:r>
      <w:r>
        <w:rPr>
          <w:rFonts w:ascii="宋体" w:hAnsi="宋体" w:eastAsia="宋体" w:cs="宋体"/>
          <w:i/>
          <w:iCs/>
          <w:strike/>
          <w:dstrike w:val="0"/>
          <w:color w:val="auto"/>
          <w:spacing w:val="-9"/>
          <w:sz w:val="25"/>
          <w:szCs w:val="25"/>
          <w:highlight w:val="none"/>
        </w:rPr>
        <w:t>□报价低者（报价相同</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3"/>
          <w:sz w:val="25"/>
          <w:szCs w:val="25"/>
          <w:highlight w:val="none"/>
        </w:rPr>
        <w:t>时抽签抽取</w:t>
      </w:r>
      <w:r>
        <w:rPr>
          <w:rFonts w:ascii="Times New Roman" w:hAnsi="Times New Roman" w:eastAsia="Times New Roman" w:cs="Times New Roman"/>
          <w:i/>
          <w:iCs/>
          <w:strike/>
          <w:dstrike w:val="0"/>
          <w:color w:val="auto"/>
          <w:spacing w:val="-13"/>
          <w:sz w:val="24"/>
          <w:szCs w:val="24"/>
          <w:highlight w:val="none"/>
        </w:rPr>
        <w:t>1</w:t>
      </w:r>
      <w:r>
        <w:rPr>
          <w:rFonts w:ascii="宋体" w:hAnsi="宋体" w:eastAsia="宋体" w:cs="宋体"/>
          <w:i/>
          <w:iCs/>
          <w:strike/>
          <w:dstrike w:val="0"/>
          <w:color w:val="auto"/>
          <w:spacing w:val="-13"/>
          <w:sz w:val="25"/>
          <w:szCs w:val="25"/>
          <w:highlight w:val="none"/>
        </w:rPr>
        <w:t>个中标候选人）</w:t>
      </w:r>
      <w:r>
        <w:rPr>
          <w:rFonts w:ascii="微软雅黑" w:hAnsi="微软雅黑" w:eastAsia="微软雅黑" w:cs="微软雅黑"/>
          <w:i/>
          <w:iCs/>
          <w:strike/>
          <w:dstrike w:val="0"/>
          <w:color w:val="auto"/>
          <w:spacing w:val="-13"/>
          <w:sz w:val="25"/>
          <w:szCs w:val="25"/>
          <w:highlight w:val="none"/>
        </w:rPr>
        <w:t>□</w:t>
      </w:r>
      <w:r>
        <w:rPr>
          <w:rFonts w:ascii="微软雅黑" w:hAnsi="微软雅黑" w:eastAsia="微软雅黑" w:cs="微软雅黑"/>
          <w:strike/>
          <w:dstrike w:val="0"/>
          <w:color w:val="auto"/>
          <w:spacing w:val="30"/>
          <w:sz w:val="25"/>
          <w:szCs w:val="25"/>
          <w:highlight w:val="none"/>
        </w:rPr>
        <w:t xml:space="preserve"> </w:t>
      </w:r>
      <w:r>
        <w:rPr>
          <w:rFonts w:ascii="宋体" w:hAnsi="宋体" w:eastAsia="宋体" w:cs="宋体"/>
          <w:i/>
          <w:iCs/>
          <w:strike/>
          <w:dstrike w:val="0"/>
          <w:color w:val="auto"/>
          <w:spacing w:val="-13"/>
          <w:sz w:val="25"/>
          <w:szCs w:val="25"/>
          <w:highlight w:val="none"/>
        </w:rPr>
        <w:t>由招标人法定代表人或其</w:t>
      </w:r>
      <w:r>
        <w:rPr>
          <w:rFonts w:ascii="宋体" w:hAnsi="宋体" w:eastAsia="宋体" w:cs="宋体"/>
          <w:i/>
          <w:iCs/>
          <w:strike/>
          <w:dstrike w:val="0"/>
          <w:color w:val="auto"/>
          <w:spacing w:val="-14"/>
          <w:sz w:val="25"/>
          <w:szCs w:val="25"/>
          <w:highlight w:val="none"/>
        </w:rPr>
        <w:t>委托代表直接确定</w:t>
      </w:r>
      <w:r>
        <w:rPr>
          <w:rFonts w:ascii="Times New Roman" w:hAnsi="Times New Roman" w:eastAsia="Times New Roman" w:cs="Times New Roman"/>
          <w:i/>
          <w:iCs/>
          <w:strike/>
          <w:dstrike w:val="0"/>
          <w:color w:val="auto"/>
          <w:spacing w:val="-14"/>
          <w:sz w:val="24"/>
          <w:szCs w:val="24"/>
          <w:highlight w:val="none"/>
        </w:rPr>
        <w:t>1</w:t>
      </w:r>
      <w:r>
        <w:rPr>
          <w:rFonts w:ascii="宋体" w:hAnsi="宋体" w:eastAsia="宋体" w:cs="宋体"/>
          <w:i/>
          <w:iCs/>
          <w:strike/>
          <w:dstrike w:val="0"/>
          <w:color w:val="auto"/>
          <w:spacing w:val="-14"/>
          <w:sz w:val="25"/>
          <w:szCs w:val="25"/>
          <w:highlight w:val="none"/>
        </w:rPr>
        <w:t>个中标候</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5"/>
          <w:sz w:val="25"/>
          <w:szCs w:val="25"/>
          <w:highlight w:val="none"/>
        </w:rPr>
        <w:t>选人作为中标人</w:t>
      </w:r>
      <w:r>
        <w:rPr>
          <w:rFonts w:ascii="宋体" w:hAnsi="宋体" w:eastAsia="宋体" w:cs="宋体"/>
          <w:strike/>
          <w:dstrike w:val="0"/>
          <w:color w:val="auto"/>
          <w:spacing w:val="-15"/>
          <w:sz w:val="24"/>
          <w:szCs w:val="24"/>
          <w:highlight w:val="none"/>
        </w:rPr>
        <w:t>。</w:t>
      </w:r>
    </w:p>
    <w:p w14:paraId="69FD6FAF">
      <w:pPr>
        <w:spacing w:before="5" w:line="220" w:lineRule="auto"/>
        <w:ind w:left="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13"/>
          <w:sz w:val="24"/>
          <w:szCs w:val="24"/>
          <w:highlight w:val="none"/>
        </w:rPr>
        <w:t>□逐轮票决法：</w:t>
      </w:r>
    </w:p>
    <w:p w14:paraId="70F7A625">
      <w:pPr>
        <w:spacing w:before="182" w:line="304" w:lineRule="auto"/>
        <w:ind w:right="1" w:firstLine="520"/>
        <w:rPr>
          <w:rFonts w:ascii="宋体" w:hAnsi="宋体" w:eastAsia="宋体" w:cs="宋体"/>
          <w:strike/>
          <w:dstrike w:val="0"/>
          <w:color w:val="auto"/>
          <w:sz w:val="25"/>
          <w:szCs w:val="25"/>
          <w:highlight w:val="none"/>
        </w:rPr>
      </w:pPr>
      <w:r>
        <w:rPr>
          <w:rFonts w:ascii="宋体" w:hAnsi="宋体" w:eastAsia="宋体" w:cs="宋体"/>
          <w:strike/>
          <w:dstrike w:val="0"/>
          <w:color w:val="auto"/>
          <w:spacing w:val="-4"/>
          <w:sz w:val="24"/>
          <w:szCs w:val="24"/>
          <w:highlight w:val="none"/>
        </w:rPr>
        <w:t>□逐轮票决法一：定标委员会在进入投票范围的中标候选人中，以每人投票支持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5"/>
          <w:sz w:val="24"/>
          <w:szCs w:val="24"/>
          <w:highlight w:val="none"/>
          <w:u w:val="single" w:color="auto"/>
        </w:rPr>
        <w:t>N</w:t>
      </w:r>
      <w:r>
        <w:rPr>
          <w:rFonts w:ascii="Times New Roman" w:hAnsi="Times New Roman" w:eastAsia="Times New Roman" w:cs="Times New Roman"/>
          <w:i/>
          <w:iCs/>
          <w:strike/>
          <w:dstrike w:val="0"/>
          <w:color w:val="auto"/>
          <w:spacing w:val="-17"/>
          <w:sz w:val="24"/>
          <w:szCs w:val="24"/>
          <w:highlight w:val="none"/>
          <w:u w:val="single" w:color="auto"/>
        </w:rPr>
        <w:t xml:space="preserve"> </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N</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3</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strike/>
          <w:dstrike w:val="0"/>
          <w:color w:val="auto"/>
          <w:spacing w:val="-5"/>
          <w:sz w:val="24"/>
          <w:szCs w:val="24"/>
          <w:highlight w:val="none"/>
        </w:rPr>
        <w:t>个中标候选人的方式，得票最多的</w:t>
      </w:r>
      <w:r>
        <w:rPr>
          <w:rFonts w:ascii="Times New Roman" w:hAnsi="Times New Roman" w:eastAsia="Times New Roman" w:cs="Times New Roman"/>
          <w:i/>
          <w:iCs/>
          <w:strike/>
          <w:dstrike w:val="0"/>
          <w:color w:val="auto"/>
          <w:spacing w:val="-5"/>
          <w:sz w:val="24"/>
          <w:szCs w:val="24"/>
          <w:highlight w:val="none"/>
          <w:u w:val="single" w:color="auto"/>
        </w:rPr>
        <w:t>N</w:t>
      </w:r>
      <w:r>
        <w:rPr>
          <w:rFonts w:ascii="宋体" w:hAnsi="宋体" w:eastAsia="宋体" w:cs="宋体"/>
          <w:strike/>
          <w:dstrike w:val="0"/>
          <w:color w:val="auto"/>
          <w:spacing w:val="-5"/>
          <w:sz w:val="24"/>
          <w:szCs w:val="24"/>
          <w:highlight w:val="none"/>
        </w:rPr>
        <w:t>个中标候选人进入下一轮的淘汰投票。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在确定第</w:t>
      </w:r>
      <w:r>
        <w:rPr>
          <w:rFonts w:ascii="Times New Roman" w:hAnsi="Times New Roman" w:eastAsia="Times New Roman" w:cs="Times New Roman"/>
          <w:i/>
          <w:iCs/>
          <w:strike/>
          <w:dstrike w:val="0"/>
          <w:color w:val="auto"/>
          <w:spacing w:val="-7"/>
          <w:sz w:val="24"/>
          <w:szCs w:val="24"/>
          <w:highlight w:val="none"/>
          <w:u w:val="single" w:color="auto"/>
        </w:rPr>
        <w:t>N</w:t>
      </w:r>
      <w:r>
        <w:rPr>
          <w:rFonts w:ascii="宋体" w:hAnsi="宋体" w:eastAsia="宋体" w:cs="宋体"/>
          <w:strike/>
          <w:dstrike w:val="0"/>
          <w:color w:val="auto"/>
          <w:spacing w:val="-7"/>
          <w:sz w:val="24"/>
          <w:szCs w:val="24"/>
          <w:highlight w:val="none"/>
        </w:rPr>
        <w:t xml:space="preserve">个中标候选人时如果出现同票的，则采用 </w:t>
      </w:r>
      <w:r>
        <w:rPr>
          <w:rFonts w:ascii="宋体" w:hAnsi="宋体" w:eastAsia="宋体" w:cs="宋体"/>
          <w:i/>
          <w:iCs/>
          <w:strike/>
          <w:dstrike w:val="0"/>
          <w:color w:val="auto"/>
          <w:spacing w:val="-7"/>
          <w:sz w:val="25"/>
          <w:szCs w:val="25"/>
          <w:highlight w:val="none"/>
        </w:rPr>
        <w:t>□抽签抽取或报价低者（报价相</w:t>
      </w:r>
    </w:p>
    <w:p w14:paraId="6EC6C221">
      <w:pPr>
        <w:spacing w:before="181" w:line="345" w:lineRule="auto"/>
        <w:ind w:left="49" w:right="60" w:firstLine="34"/>
        <w:rPr>
          <w:rFonts w:ascii="宋体" w:hAnsi="宋体" w:eastAsia="宋体" w:cs="宋体"/>
          <w:strike/>
          <w:dstrike w:val="0"/>
          <w:color w:val="auto"/>
          <w:sz w:val="24"/>
          <w:szCs w:val="24"/>
          <w:highlight w:val="none"/>
        </w:rPr>
      </w:pPr>
      <w:r>
        <w:rPr>
          <w:rFonts w:ascii="宋体" w:hAnsi="宋体" w:eastAsia="宋体" w:cs="宋体"/>
          <w:i/>
          <w:iCs/>
          <w:strike/>
          <w:dstrike w:val="0"/>
          <w:color w:val="auto"/>
          <w:spacing w:val="-13"/>
          <w:sz w:val="25"/>
          <w:szCs w:val="25"/>
          <w:highlight w:val="none"/>
        </w:rPr>
        <w:t>同时抽签抽取</w:t>
      </w:r>
      <w:r>
        <w:rPr>
          <w:rFonts w:ascii="Times New Roman" w:hAnsi="Times New Roman" w:eastAsia="Times New Roman" w:cs="Times New Roman"/>
          <w:i/>
          <w:iCs/>
          <w:strike/>
          <w:dstrike w:val="0"/>
          <w:color w:val="auto"/>
          <w:spacing w:val="-13"/>
          <w:sz w:val="24"/>
          <w:szCs w:val="24"/>
          <w:highlight w:val="none"/>
        </w:rPr>
        <w:t>1</w:t>
      </w:r>
      <w:r>
        <w:rPr>
          <w:rFonts w:ascii="宋体" w:hAnsi="宋体" w:eastAsia="宋体" w:cs="宋体"/>
          <w:i/>
          <w:iCs/>
          <w:strike/>
          <w:dstrike w:val="0"/>
          <w:color w:val="auto"/>
          <w:spacing w:val="-13"/>
          <w:sz w:val="25"/>
          <w:szCs w:val="25"/>
          <w:highlight w:val="none"/>
        </w:rPr>
        <w:t>个中标候选人）□由招标人法定代表人或其</w:t>
      </w:r>
      <w:r>
        <w:rPr>
          <w:rFonts w:ascii="宋体" w:hAnsi="宋体" w:eastAsia="宋体" w:cs="宋体"/>
          <w:i/>
          <w:iCs/>
          <w:strike/>
          <w:dstrike w:val="0"/>
          <w:color w:val="auto"/>
          <w:spacing w:val="-14"/>
          <w:sz w:val="25"/>
          <w:szCs w:val="25"/>
          <w:highlight w:val="none"/>
        </w:rPr>
        <w:t>委托代表直接确定</w:t>
      </w:r>
      <w:r>
        <w:rPr>
          <w:rFonts w:ascii="Times New Roman" w:hAnsi="Times New Roman" w:eastAsia="Times New Roman" w:cs="Times New Roman"/>
          <w:i/>
          <w:iCs/>
          <w:strike/>
          <w:dstrike w:val="0"/>
          <w:color w:val="auto"/>
          <w:spacing w:val="-14"/>
          <w:sz w:val="24"/>
          <w:szCs w:val="24"/>
          <w:highlight w:val="none"/>
        </w:rPr>
        <w:t>1</w:t>
      </w:r>
      <w:r>
        <w:rPr>
          <w:rFonts w:ascii="宋体" w:hAnsi="宋体" w:eastAsia="宋体" w:cs="宋体"/>
          <w:i/>
          <w:iCs/>
          <w:strike/>
          <w:dstrike w:val="0"/>
          <w:color w:val="auto"/>
          <w:spacing w:val="-14"/>
          <w:sz w:val="25"/>
          <w:szCs w:val="25"/>
          <w:highlight w:val="none"/>
        </w:rPr>
        <w:t>个中标</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8"/>
          <w:sz w:val="25"/>
          <w:szCs w:val="25"/>
          <w:highlight w:val="none"/>
        </w:rPr>
        <w:t>候选人</w:t>
      </w:r>
      <w:r>
        <w:rPr>
          <w:rFonts w:ascii="宋体" w:hAnsi="宋体" w:eastAsia="宋体" w:cs="宋体"/>
          <w:strike/>
          <w:dstrike w:val="0"/>
          <w:color w:val="auto"/>
          <w:spacing w:val="-8"/>
          <w:sz w:val="24"/>
          <w:szCs w:val="24"/>
          <w:highlight w:val="none"/>
        </w:rPr>
        <w:t>进入下一轮的淘汰投票。</w:t>
      </w:r>
    </w:p>
    <w:p w14:paraId="1F22EFA5">
      <w:pPr>
        <w:spacing w:line="359" w:lineRule="auto"/>
        <w:ind w:left="17" w:firstLine="47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对进入淘汰投票的中标候选人逐轮进行淘汰，原则上每轮淘汰</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名中标候选人。</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z w:val="24"/>
          <w:szCs w:val="24"/>
          <w:highlight w:val="none"/>
        </w:rPr>
        <w:t>各轮投票时，每人投</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个淘汰单位，该轮得票最多的中标候选人被淘汰。得票最多的</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z w:val="24"/>
          <w:szCs w:val="24"/>
          <w:highlight w:val="none"/>
        </w:rPr>
        <w:t>中标候选人不止</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个时，一并加以淘汰，但必须确保第一次淘汰之后剩余的中标候选</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4"/>
          <w:sz w:val="24"/>
          <w:szCs w:val="24"/>
          <w:highlight w:val="none"/>
        </w:rPr>
        <w:t>人不少于</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名，否则在得票最多的</w:t>
      </w:r>
      <w:r>
        <w:rPr>
          <w:rFonts w:ascii="Times New Roman" w:hAnsi="Times New Roman" w:eastAsia="Times New Roman" w:cs="Times New Roman"/>
          <w:i/>
          <w:iCs/>
          <w:strike/>
          <w:dstrike w:val="0"/>
          <w:color w:val="auto"/>
          <w:spacing w:val="-4"/>
          <w:sz w:val="24"/>
          <w:szCs w:val="24"/>
          <w:highlight w:val="none"/>
          <w:u w:val="single" w:color="auto"/>
        </w:rPr>
        <w:t>N</w:t>
      </w:r>
      <w:r>
        <w:rPr>
          <w:rFonts w:ascii="宋体" w:hAnsi="宋体" w:eastAsia="宋体" w:cs="宋体"/>
          <w:strike/>
          <w:dstrike w:val="0"/>
          <w:color w:val="auto"/>
          <w:spacing w:val="-4"/>
          <w:sz w:val="24"/>
          <w:szCs w:val="24"/>
          <w:highlight w:val="none"/>
        </w:rPr>
        <w:t>个中标候选人中按前述规则进行二次淘汰，剩余的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6"/>
          <w:sz w:val="24"/>
          <w:szCs w:val="24"/>
          <w:highlight w:val="none"/>
        </w:rPr>
        <w:t>中标候选人进入下一轮淘汰投票。根据前述规则，</w:t>
      </w:r>
      <w:r>
        <w:rPr>
          <w:rFonts w:ascii="宋体" w:hAnsi="宋体" w:eastAsia="宋体" w:cs="宋体"/>
          <w:strike/>
          <w:dstrike w:val="0"/>
          <w:color w:val="auto"/>
          <w:spacing w:val="-31"/>
          <w:sz w:val="24"/>
          <w:szCs w:val="24"/>
          <w:highlight w:val="none"/>
        </w:rPr>
        <w:t xml:space="preserve"> </w:t>
      </w:r>
      <w:r>
        <w:rPr>
          <w:rFonts w:ascii="宋体" w:hAnsi="宋体" w:eastAsia="宋体" w:cs="宋体"/>
          <w:strike/>
          <w:dstrike w:val="0"/>
          <w:color w:val="auto"/>
          <w:spacing w:val="-6"/>
          <w:sz w:val="24"/>
          <w:szCs w:val="24"/>
          <w:highlight w:val="none"/>
        </w:rPr>
        <w:t>直至剩余</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名中标候选人为中标人。</w:t>
      </w:r>
    </w:p>
    <w:p w14:paraId="4DC2092F">
      <w:pPr>
        <w:spacing w:before="3" w:line="354" w:lineRule="auto"/>
        <w:ind w:left="16" w:right="61" w:firstLine="50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□逐轮票决法二：定标委员会对全部中标候选人采取多轮逆淘汰方式表决。原则</w:t>
      </w:r>
      <w:r>
        <w:rPr>
          <w:rFonts w:ascii="宋体" w:hAnsi="宋体" w:eastAsia="宋体" w:cs="宋体"/>
          <w:strike/>
          <w:dstrike w:val="0"/>
          <w:color w:val="auto"/>
          <w:spacing w:val="13"/>
          <w:sz w:val="24"/>
          <w:szCs w:val="24"/>
          <w:highlight w:val="none"/>
        </w:rPr>
        <w:t xml:space="preserve"> </w:t>
      </w:r>
      <w:r>
        <w:rPr>
          <w:rFonts w:ascii="宋体" w:hAnsi="宋体" w:eastAsia="宋体" w:cs="宋体"/>
          <w:strike/>
          <w:dstrike w:val="0"/>
          <w:color w:val="auto"/>
          <w:spacing w:val="-6"/>
          <w:sz w:val="24"/>
          <w:szCs w:val="24"/>
          <w:highlight w:val="none"/>
        </w:rPr>
        <w:t>上逐轮淘汰</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名中标候选人。各轮投票时， 每人投</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个淘汰单位，该轮得票最多的中标</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z w:val="24"/>
          <w:szCs w:val="24"/>
          <w:highlight w:val="none"/>
        </w:rPr>
        <w:t>候选人被淘汰。得票最多的中标候选人不止</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个时，一并加以淘汰，但必须确保存在</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3"/>
          <w:sz w:val="24"/>
          <w:szCs w:val="24"/>
          <w:highlight w:val="none"/>
        </w:rPr>
        <w:t>中标人，剩余的中标候选人进入下一轮淘汰投票，最终确定中标人。在确定最终中标</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8"/>
          <w:sz w:val="24"/>
          <w:szCs w:val="24"/>
          <w:highlight w:val="none"/>
        </w:rPr>
        <w:t xml:space="preserve">人时如果出现同票的，则采用 </w:t>
      </w:r>
      <w:r>
        <w:rPr>
          <w:rFonts w:ascii="宋体" w:hAnsi="宋体" w:eastAsia="宋体" w:cs="宋体"/>
          <w:i/>
          <w:iCs/>
          <w:strike/>
          <w:dstrike w:val="0"/>
          <w:color w:val="auto"/>
          <w:spacing w:val="-8"/>
          <w:sz w:val="25"/>
          <w:szCs w:val="25"/>
          <w:highlight w:val="none"/>
        </w:rPr>
        <w:t>□抽签抽取或报价低者（报价相同时抽签抽</w:t>
      </w:r>
      <w:r>
        <w:rPr>
          <w:rFonts w:ascii="宋体" w:hAnsi="宋体" w:eastAsia="宋体" w:cs="宋体"/>
          <w:i/>
          <w:iCs/>
          <w:strike/>
          <w:dstrike w:val="0"/>
          <w:color w:val="auto"/>
          <w:spacing w:val="-9"/>
          <w:sz w:val="25"/>
          <w:szCs w:val="25"/>
          <w:highlight w:val="none"/>
        </w:rPr>
        <w:t>取</w:t>
      </w:r>
      <w:r>
        <w:rPr>
          <w:rFonts w:ascii="Times New Roman" w:hAnsi="Times New Roman" w:eastAsia="Times New Roman" w:cs="Times New Roman"/>
          <w:i/>
          <w:iCs/>
          <w:strike/>
          <w:dstrike w:val="0"/>
          <w:color w:val="auto"/>
          <w:spacing w:val="-9"/>
          <w:sz w:val="24"/>
          <w:szCs w:val="24"/>
          <w:highlight w:val="none"/>
        </w:rPr>
        <w:t>1</w:t>
      </w:r>
      <w:r>
        <w:rPr>
          <w:rFonts w:ascii="宋体" w:hAnsi="宋体" w:eastAsia="宋体" w:cs="宋体"/>
          <w:i/>
          <w:iCs/>
          <w:strike/>
          <w:dstrike w:val="0"/>
          <w:color w:val="auto"/>
          <w:spacing w:val="-9"/>
          <w:sz w:val="25"/>
          <w:szCs w:val="25"/>
          <w:highlight w:val="none"/>
        </w:rPr>
        <w:t>个中标</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1"/>
          <w:sz w:val="25"/>
          <w:szCs w:val="25"/>
          <w:highlight w:val="none"/>
        </w:rPr>
        <w:t>候选人）□由招标人法定代表人或其委托代表</w:t>
      </w:r>
      <w:r>
        <w:rPr>
          <w:rFonts w:ascii="宋体" w:hAnsi="宋体" w:eastAsia="宋体" w:cs="宋体"/>
          <w:i/>
          <w:iCs/>
          <w:strike/>
          <w:dstrike w:val="0"/>
          <w:color w:val="auto"/>
          <w:spacing w:val="-12"/>
          <w:sz w:val="25"/>
          <w:szCs w:val="25"/>
          <w:highlight w:val="none"/>
        </w:rPr>
        <w:t>直接确定</w:t>
      </w:r>
      <w:r>
        <w:rPr>
          <w:rFonts w:ascii="宋体" w:hAnsi="宋体" w:eastAsia="宋体" w:cs="宋体"/>
          <w:strike/>
          <w:dstrike w:val="0"/>
          <w:color w:val="auto"/>
          <w:spacing w:val="-53"/>
          <w:sz w:val="25"/>
          <w:szCs w:val="25"/>
          <w:highlight w:val="none"/>
        </w:rPr>
        <w:t xml:space="preserve"> </w:t>
      </w:r>
      <w:r>
        <w:rPr>
          <w:rFonts w:ascii="宋体" w:hAnsi="宋体" w:eastAsia="宋体" w:cs="宋体"/>
          <w:strike/>
          <w:dstrike w:val="0"/>
          <w:color w:val="auto"/>
          <w:spacing w:val="-12"/>
          <w:sz w:val="24"/>
          <w:szCs w:val="24"/>
          <w:highlight w:val="none"/>
        </w:rPr>
        <w:t>最终的中标人。</w:t>
      </w:r>
    </w:p>
    <w:p w14:paraId="5A6275B9">
      <w:pPr>
        <w:spacing w:line="219" w:lineRule="auto"/>
        <w:ind w:left="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13"/>
          <w:sz w:val="24"/>
          <w:szCs w:val="24"/>
          <w:highlight w:val="none"/>
        </w:rPr>
        <w:t>□票决抽签法：</w:t>
      </w:r>
    </w:p>
    <w:p w14:paraId="33B84FD2">
      <w:pPr>
        <w:spacing w:before="183" w:line="308" w:lineRule="auto"/>
        <w:ind w:right="47" w:firstLine="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票决抽签法一：定标委员会在进入投票范围的中标候选人中，以每人投票支持</w:t>
      </w:r>
      <w:r>
        <w:rPr>
          <w:rFonts w:ascii="宋体" w:hAnsi="宋体" w:eastAsia="宋体" w:cs="宋体"/>
          <w:strike/>
          <w:dstrike w:val="0"/>
          <w:color w:val="auto"/>
          <w:spacing w:val="7"/>
          <w:sz w:val="24"/>
          <w:szCs w:val="24"/>
          <w:highlight w:val="none"/>
        </w:rPr>
        <w:t xml:space="preserve"> </w:t>
      </w:r>
      <w:r>
        <w:rPr>
          <w:rFonts w:ascii="Times New Roman" w:hAnsi="Times New Roman" w:eastAsia="Times New Roman" w:cs="Times New Roman"/>
          <w:i/>
          <w:iCs/>
          <w:strike/>
          <w:dstrike w:val="0"/>
          <w:color w:val="auto"/>
          <w:spacing w:val="-3"/>
          <w:sz w:val="24"/>
          <w:szCs w:val="24"/>
          <w:highlight w:val="none"/>
          <w:u w:val="single" w:color="auto"/>
        </w:rPr>
        <w:t>N</w:t>
      </w:r>
      <w:r>
        <w:rPr>
          <w:rFonts w:ascii="Times New Roman" w:hAnsi="Times New Roman" w:eastAsia="Times New Roman" w:cs="Times New Roman"/>
          <w:i/>
          <w:iCs/>
          <w:strike/>
          <w:dstrike w:val="0"/>
          <w:color w:val="auto"/>
          <w:spacing w:val="46"/>
          <w:w w:val="101"/>
          <w:sz w:val="24"/>
          <w:szCs w:val="24"/>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N</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3</w:t>
      </w:r>
      <w:r>
        <w:rPr>
          <w:rFonts w:ascii="宋体" w:hAnsi="宋体" w:eastAsia="宋体" w:cs="宋体"/>
          <w:i/>
          <w:iCs/>
          <w:strike/>
          <w:dstrike w:val="0"/>
          <w:color w:val="auto"/>
          <w:spacing w:val="-3"/>
          <w:sz w:val="25"/>
          <w:szCs w:val="25"/>
          <w:highlight w:val="none"/>
          <w:u w:val="single" w:color="auto"/>
        </w:rPr>
        <w:t>）</w:t>
      </w:r>
      <w:r>
        <w:rPr>
          <w:rFonts w:ascii="宋体" w:hAnsi="宋体" w:eastAsia="宋体" w:cs="宋体"/>
          <w:strike/>
          <w:dstrike w:val="0"/>
          <w:color w:val="auto"/>
          <w:spacing w:val="-3"/>
          <w:sz w:val="24"/>
          <w:szCs w:val="24"/>
          <w:highlight w:val="none"/>
        </w:rPr>
        <w:t>个中标候选人的方式，得票较多的</w:t>
      </w:r>
      <w:r>
        <w:rPr>
          <w:rFonts w:ascii="Times New Roman" w:hAnsi="Times New Roman" w:eastAsia="Times New Roman" w:cs="Times New Roman"/>
          <w:i/>
          <w:iCs/>
          <w:strike/>
          <w:dstrike w:val="0"/>
          <w:color w:val="auto"/>
          <w:spacing w:val="-3"/>
          <w:sz w:val="24"/>
          <w:szCs w:val="24"/>
          <w:highlight w:val="none"/>
          <w:u w:val="single" w:color="auto"/>
        </w:rPr>
        <w:t>N</w:t>
      </w:r>
      <w:r>
        <w:rPr>
          <w:rFonts w:ascii="宋体" w:hAnsi="宋体" w:eastAsia="宋体" w:cs="宋体"/>
          <w:strike/>
          <w:dstrike w:val="0"/>
          <w:color w:val="auto"/>
          <w:spacing w:val="-3"/>
          <w:sz w:val="24"/>
          <w:szCs w:val="24"/>
          <w:highlight w:val="none"/>
        </w:rPr>
        <w:t>个中标候选人（最终得票均须超过半</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数）进入抽签环节，中标候选人数量不足时全部进入。投</w:t>
      </w:r>
      <w:r>
        <w:rPr>
          <w:rFonts w:ascii="宋体" w:hAnsi="宋体" w:eastAsia="宋体" w:cs="宋体"/>
          <w:strike/>
          <w:dstrike w:val="0"/>
          <w:color w:val="auto"/>
          <w:spacing w:val="-2"/>
          <w:sz w:val="24"/>
          <w:szCs w:val="24"/>
          <w:highlight w:val="none"/>
        </w:rPr>
        <w:t>票过程中出现票数相同时，</w:t>
      </w:r>
    </w:p>
    <w:p w14:paraId="1CB7FBA7">
      <w:pPr>
        <w:spacing w:line="308" w:lineRule="auto"/>
        <w:rPr>
          <w:rFonts w:ascii="宋体" w:hAnsi="宋体" w:eastAsia="宋体" w:cs="宋体"/>
          <w:strike/>
          <w:dstrike w:val="0"/>
          <w:color w:val="auto"/>
          <w:sz w:val="24"/>
          <w:szCs w:val="24"/>
          <w:highlight w:val="none"/>
        </w:rPr>
        <w:sectPr>
          <w:footerReference r:id="rId73" w:type="default"/>
          <w:pgSz w:w="11905" w:h="16840"/>
          <w:pgMar w:top="400" w:right="1442" w:bottom="1255" w:left="1581" w:header="0" w:footer="1093" w:gutter="0"/>
          <w:pgNumType w:fmt="decimal"/>
          <w:cols w:space="720" w:num="1"/>
        </w:sectPr>
      </w:pPr>
    </w:p>
    <w:p w14:paraId="0ADFF41B">
      <w:pPr>
        <w:spacing w:before="151" w:line="352" w:lineRule="auto"/>
        <w:ind w:left="2" w:right="66" w:firstLine="81"/>
        <w:rPr>
          <w:rFonts w:ascii="宋体" w:hAnsi="宋体" w:eastAsia="宋体" w:cs="宋体"/>
          <w:strike/>
          <w:dstrike w:val="0"/>
          <w:color w:val="auto"/>
          <w:sz w:val="24"/>
          <w:szCs w:val="24"/>
          <w:highlight w:val="none"/>
        </w:rPr>
      </w:pPr>
      <w:r>
        <w:rPr>
          <w:rFonts w:ascii="宋体" w:hAnsi="宋体" w:eastAsia="宋体" w:cs="宋体"/>
          <w:i/>
          <w:iCs/>
          <w:strike/>
          <w:dstrike w:val="0"/>
          <w:color w:val="auto"/>
          <w:spacing w:val="-7"/>
          <w:sz w:val="25"/>
          <w:szCs w:val="25"/>
          <w:highlight w:val="none"/>
        </w:rPr>
        <w:t>定代表人或其委托代表直接确定</w:t>
      </w:r>
      <w:r>
        <w:rPr>
          <w:rFonts w:ascii="Times New Roman" w:hAnsi="Times New Roman" w:eastAsia="Times New Roman" w:cs="Times New Roman"/>
          <w:i/>
          <w:iCs/>
          <w:strike/>
          <w:dstrike w:val="0"/>
          <w:color w:val="auto"/>
          <w:spacing w:val="-7"/>
          <w:sz w:val="24"/>
          <w:szCs w:val="24"/>
          <w:highlight w:val="none"/>
        </w:rPr>
        <w:t>1</w:t>
      </w:r>
      <w:r>
        <w:rPr>
          <w:rFonts w:ascii="宋体" w:hAnsi="宋体" w:eastAsia="宋体" w:cs="宋体"/>
          <w:i/>
          <w:iCs/>
          <w:strike/>
          <w:dstrike w:val="0"/>
          <w:color w:val="auto"/>
          <w:spacing w:val="-7"/>
          <w:sz w:val="25"/>
          <w:szCs w:val="25"/>
          <w:highlight w:val="none"/>
        </w:rPr>
        <w:t>个中标候选人</w:t>
      </w:r>
      <w:r>
        <w:rPr>
          <w:rFonts w:ascii="宋体" w:hAnsi="宋体" w:eastAsia="宋体" w:cs="宋体"/>
          <w:strike/>
          <w:dstrike w:val="0"/>
          <w:color w:val="auto"/>
          <w:spacing w:val="-7"/>
          <w:sz w:val="24"/>
          <w:szCs w:val="24"/>
          <w:highlight w:val="none"/>
        </w:rPr>
        <w:t>的方式确定进入</w:t>
      </w:r>
      <w:r>
        <w:rPr>
          <w:rFonts w:ascii="宋体" w:hAnsi="宋体" w:eastAsia="宋体" w:cs="宋体"/>
          <w:strike/>
          <w:dstrike w:val="0"/>
          <w:color w:val="auto"/>
          <w:spacing w:val="-8"/>
          <w:sz w:val="24"/>
          <w:szCs w:val="24"/>
          <w:highlight w:val="none"/>
        </w:rPr>
        <w:t>抽签范围的中标候选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2"/>
          <w:sz w:val="24"/>
          <w:szCs w:val="24"/>
          <w:highlight w:val="none"/>
        </w:rPr>
        <w:t>人。</w:t>
      </w:r>
    </w:p>
    <w:p w14:paraId="50FCB3CF">
      <w:pPr>
        <w:spacing w:before="1" w:line="359" w:lineRule="auto"/>
        <w:ind w:left="1" w:firstLine="49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当得票超过半数的中标候选人数量不足</w:t>
      </w:r>
      <w:r>
        <w:rPr>
          <w:rFonts w:ascii="Times New Roman" w:hAnsi="Times New Roman" w:eastAsia="Times New Roman" w:cs="Times New Roman"/>
          <w:strike/>
          <w:dstrike w:val="0"/>
          <w:color w:val="auto"/>
          <w:spacing w:val="-2"/>
          <w:sz w:val="24"/>
          <w:szCs w:val="24"/>
          <w:highlight w:val="none"/>
        </w:rPr>
        <w:t>N</w:t>
      </w:r>
      <w:r>
        <w:rPr>
          <w:rFonts w:ascii="宋体" w:hAnsi="宋体" w:eastAsia="宋体" w:cs="宋体"/>
          <w:strike/>
          <w:dstrike w:val="0"/>
          <w:color w:val="auto"/>
          <w:spacing w:val="-2"/>
          <w:sz w:val="24"/>
          <w:szCs w:val="24"/>
          <w:highlight w:val="none"/>
        </w:rPr>
        <w:t>时（假设此时得票超过半数中标候选人</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数量为</w:t>
      </w:r>
      <w:r>
        <w:rPr>
          <w:rFonts w:ascii="Times New Roman" w:hAnsi="Times New Roman" w:eastAsia="Times New Roman" w:cs="Times New Roman"/>
          <w:strike/>
          <w:dstrike w:val="0"/>
          <w:color w:val="auto"/>
          <w:spacing w:val="-3"/>
          <w:sz w:val="24"/>
          <w:szCs w:val="24"/>
          <w:highlight w:val="none"/>
        </w:rPr>
        <w:t>n</w:t>
      </w:r>
      <w:r>
        <w:rPr>
          <w:rFonts w:ascii="宋体" w:hAnsi="宋体" w:eastAsia="宋体" w:cs="宋体"/>
          <w:strike/>
          <w:dstrike w:val="0"/>
          <w:color w:val="auto"/>
          <w:spacing w:val="-26"/>
          <w:sz w:val="24"/>
          <w:szCs w:val="24"/>
          <w:highlight w:val="none"/>
        </w:rPr>
        <w:t>），</w:t>
      </w:r>
      <w:r>
        <w:rPr>
          <w:rFonts w:ascii="宋体" w:hAnsi="宋体" w:eastAsia="宋体" w:cs="宋体"/>
          <w:strike/>
          <w:dstrike w:val="0"/>
          <w:color w:val="auto"/>
          <w:spacing w:val="-3"/>
          <w:sz w:val="24"/>
          <w:szCs w:val="24"/>
          <w:highlight w:val="none"/>
        </w:rPr>
        <w:t>按照前一轮得票数量由多到少的顺序，在得票未过半数的中标候选人中，</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取“</w:t>
      </w:r>
      <w:r>
        <w:rPr>
          <w:rFonts w:ascii="Times New Roman" w:hAnsi="Times New Roman" w:eastAsia="Times New Roman" w:cs="Times New Roman"/>
          <w:strike/>
          <w:dstrike w:val="0"/>
          <w:color w:val="auto"/>
          <w:spacing w:val="-4"/>
          <w:sz w:val="24"/>
          <w:szCs w:val="24"/>
          <w:highlight w:val="none"/>
        </w:rPr>
        <w:t>N-n+2</w:t>
      </w:r>
      <w:r>
        <w:rPr>
          <w:rFonts w:ascii="宋体" w:hAnsi="宋体" w:eastAsia="宋体" w:cs="宋体"/>
          <w:strike/>
          <w:dstrike w:val="0"/>
          <w:color w:val="auto"/>
          <w:spacing w:val="-4"/>
          <w:sz w:val="24"/>
          <w:szCs w:val="24"/>
          <w:highlight w:val="none"/>
        </w:rPr>
        <w:t>”个中标候选人进行二次投票（在取第“</w:t>
      </w:r>
      <w:r>
        <w:rPr>
          <w:rFonts w:ascii="Times New Roman" w:hAnsi="Times New Roman" w:eastAsia="Times New Roman" w:cs="Times New Roman"/>
          <w:strike/>
          <w:dstrike w:val="0"/>
          <w:color w:val="auto"/>
          <w:spacing w:val="-4"/>
          <w:sz w:val="24"/>
          <w:szCs w:val="24"/>
          <w:highlight w:val="none"/>
        </w:rPr>
        <w:t>N-n+2</w:t>
      </w:r>
      <w:r>
        <w:rPr>
          <w:rFonts w:ascii="宋体" w:hAnsi="宋体" w:eastAsia="宋体" w:cs="宋体"/>
          <w:strike/>
          <w:dstrike w:val="0"/>
          <w:color w:val="auto"/>
          <w:spacing w:val="-4"/>
          <w:sz w:val="24"/>
          <w:szCs w:val="24"/>
          <w:highlight w:val="none"/>
        </w:rPr>
        <w:t>”个中标候选人时出现同票</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z w:val="24"/>
          <w:szCs w:val="24"/>
          <w:highlight w:val="none"/>
        </w:rPr>
        <w:t>的，一并进入二次投票；当“</w:t>
      </w:r>
      <w:r>
        <w:rPr>
          <w:rFonts w:ascii="Times New Roman" w:hAnsi="Times New Roman" w:eastAsia="Times New Roman" w:cs="Times New Roman"/>
          <w:strike/>
          <w:dstrike w:val="0"/>
          <w:color w:val="auto"/>
          <w:sz w:val="24"/>
          <w:szCs w:val="24"/>
          <w:highlight w:val="none"/>
        </w:rPr>
        <w:t>N-n+2</w:t>
      </w:r>
      <w:r>
        <w:rPr>
          <w:rFonts w:ascii="宋体" w:hAnsi="宋体" w:eastAsia="宋体" w:cs="宋体"/>
          <w:strike/>
          <w:dstrike w:val="0"/>
          <w:color w:val="auto"/>
          <w:sz w:val="24"/>
          <w:szCs w:val="24"/>
          <w:highlight w:val="none"/>
        </w:rPr>
        <w:t>”≥得票未超过半数</w:t>
      </w:r>
      <w:r>
        <w:rPr>
          <w:rFonts w:ascii="宋体" w:hAnsi="宋体" w:eastAsia="宋体" w:cs="宋体"/>
          <w:strike/>
          <w:dstrike w:val="0"/>
          <w:color w:val="auto"/>
          <w:spacing w:val="-1"/>
          <w:sz w:val="24"/>
          <w:szCs w:val="24"/>
          <w:highlight w:val="none"/>
        </w:rPr>
        <w:t>“中标候选人”时，则得票</w:t>
      </w:r>
      <w:r>
        <w:rPr>
          <w:rFonts w:ascii="宋体" w:hAnsi="宋体" w:eastAsia="宋体" w:cs="宋体"/>
          <w:strike/>
          <w:dstrike w:val="0"/>
          <w:color w:val="auto"/>
          <w:sz w:val="24"/>
          <w:szCs w:val="24"/>
          <w:highlight w:val="none"/>
        </w:rPr>
        <w:t xml:space="preserve"> 未超过半数的“中标候选人”全部进入二次投票</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z w:val="24"/>
          <w:szCs w:val="24"/>
          <w:highlight w:val="none"/>
        </w:rPr>
        <w:t>以每人投票支持“</w:t>
      </w:r>
      <w:r>
        <w:rPr>
          <w:rFonts w:ascii="Times New Roman" w:hAnsi="Times New Roman" w:eastAsia="Times New Roman" w:cs="Times New Roman"/>
          <w:strike/>
          <w:dstrike w:val="0"/>
          <w:color w:val="auto"/>
          <w:sz w:val="24"/>
          <w:szCs w:val="24"/>
          <w:highlight w:val="none"/>
        </w:rPr>
        <w:t>N-n</w:t>
      </w:r>
      <w:r>
        <w:rPr>
          <w:rFonts w:ascii="宋体" w:hAnsi="宋体" w:eastAsia="宋体" w:cs="宋体"/>
          <w:strike/>
          <w:dstrike w:val="0"/>
          <w:color w:val="auto"/>
          <w:sz w:val="24"/>
          <w:szCs w:val="24"/>
          <w:highlight w:val="none"/>
        </w:rPr>
        <w:t>”个中标</w:t>
      </w:r>
      <w:r>
        <w:rPr>
          <w:rFonts w:ascii="宋体" w:hAnsi="宋体" w:eastAsia="宋体" w:cs="宋体"/>
          <w:strike/>
          <w:dstrike w:val="0"/>
          <w:color w:val="auto"/>
          <w:spacing w:val="1"/>
          <w:sz w:val="24"/>
          <w:szCs w:val="24"/>
          <w:highlight w:val="none"/>
        </w:rPr>
        <w:t xml:space="preserve"> 候选人，直至确定</w:t>
      </w:r>
      <w:r>
        <w:rPr>
          <w:rFonts w:ascii="Times New Roman" w:hAnsi="Times New Roman" w:eastAsia="Times New Roman" w:cs="Times New Roman"/>
          <w:strike/>
          <w:dstrike w:val="0"/>
          <w:color w:val="auto"/>
          <w:spacing w:val="1"/>
          <w:sz w:val="24"/>
          <w:szCs w:val="24"/>
          <w:highlight w:val="none"/>
        </w:rPr>
        <w:t>N</w:t>
      </w:r>
      <w:r>
        <w:rPr>
          <w:rFonts w:ascii="宋体" w:hAnsi="宋体" w:eastAsia="宋体" w:cs="宋体"/>
          <w:strike/>
          <w:dstrike w:val="0"/>
          <w:color w:val="auto"/>
          <w:spacing w:val="1"/>
          <w:sz w:val="24"/>
          <w:szCs w:val="24"/>
          <w:highlight w:val="none"/>
        </w:rPr>
        <w:t>个得票超过半数的中标候选人为止。定标委员会</w:t>
      </w:r>
      <w:r>
        <w:rPr>
          <w:rFonts w:ascii="宋体" w:hAnsi="宋体" w:eastAsia="宋体" w:cs="宋体"/>
          <w:strike/>
          <w:dstrike w:val="0"/>
          <w:color w:val="auto"/>
          <w:sz w:val="24"/>
          <w:szCs w:val="24"/>
          <w:highlight w:val="none"/>
        </w:rPr>
        <w:t>在上述</w:t>
      </w:r>
      <w:r>
        <w:rPr>
          <w:rFonts w:ascii="Times New Roman" w:hAnsi="Times New Roman" w:eastAsia="Times New Roman" w:cs="Times New Roman"/>
          <w:strike/>
          <w:dstrike w:val="0"/>
          <w:color w:val="auto"/>
          <w:sz w:val="24"/>
          <w:szCs w:val="24"/>
          <w:highlight w:val="none"/>
        </w:rPr>
        <w:t>N</w:t>
      </w:r>
      <w:r>
        <w:rPr>
          <w:rFonts w:ascii="宋体" w:hAnsi="宋体" w:eastAsia="宋体" w:cs="宋体"/>
          <w:strike/>
          <w:dstrike w:val="0"/>
          <w:color w:val="auto"/>
          <w:sz w:val="24"/>
          <w:szCs w:val="24"/>
          <w:highlight w:val="none"/>
        </w:rPr>
        <w:t xml:space="preserve">个中标 </w:t>
      </w:r>
      <w:r>
        <w:rPr>
          <w:rFonts w:ascii="宋体" w:hAnsi="宋体" w:eastAsia="宋体" w:cs="宋体"/>
          <w:strike/>
          <w:dstrike w:val="0"/>
          <w:color w:val="auto"/>
          <w:spacing w:val="-3"/>
          <w:sz w:val="24"/>
          <w:szCs w:val="24"/>
          <w:highlight w:val="none"/>
        </w:rPr>
        <w:t>候选人中随机抽签确定中标人。</w:t>
      </w:r>
    </w:p>
    <w:p w14:paraId="2DCC2EDA">
      <w:pPr>
        <w:spacing w:line="335" w:lineRule="auto"/>
        <w:ind w:right="54" w:firstLine="506"/>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票决抽签法二：定标委员会对全部中标候选人采取逐轮逆淘汰方式表决。原则</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6"/>
          <w:sz w:val="24"/>
          <w:szCs w:val="24"/>
          <w:highlight w:val="none"/>
        </w:rPr>
        <w:t>上逐轮淘汰</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名中标候选人。各轮投票时， 每人投</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个淘汰单位，该轮得票最多的中标</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4"/>
          <w:sz w:val="24"/>
          <w:szCs w:val="24"/>
          <w:highlight w:val="none"/>
        </w:rPr>
        <w:t>候选人被淘汰。得票最多的中标候选人不止</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个时，一并加以淘汰，但必须确保</w:t>
      </w:r>
      <w:r>
        <w:rPr>
          <w:rFonts w:ascii="Times New Roman" w:hAnsi="Times New Roman" w:eastAsia="Times New Roman" w:cs="Times New Roman"/>
          <w:i/>
          <w:iCs/>
          <w:strike/>
          <w:dstrike w:val="0"/>
          <w:color w:val="auto"/>
          <w:spacing w:val="-4"/>
          <w:sz w:val="24"/>
          <w:szCs w:val="24"/>
          <w:highlight w:val="none"/>
          <w:u w:val="single" w:color="auto"/>
        </w:rPr>
        <w:t>N</w:t>
      </w:r>
      <w:r>
        <w:rPr>
          <w:rFonts w:ascii="宋体" w:hAnsi="宋体" w:eastAsia="宋体" w:cs="宋体"/>
          <w:strike/>
          <w:dstrike w:val="0"/>
          <w:color w:val="auto"/>
          <w:spacing w:val="-4"/>
          <w:sz w:val="24"/>
          <w:szCs w:val="24"/>
          <w:highlight w:val="none"/>
        </w:rPr>
        <w:t>个中</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标候选人，剩余的中标候选人进入下一轮淘汰投票，最终确定</w:t>
      </w:r>
      <w:r>
        <w:rPr>
          <w:rFonts w:ascii="Times New Roman" w:hAnsi="Times New Roman" w:eastAsia="Times New Roman" w:cs="Times New Roman"/>
          <w:i/>
          <w:iCs/>
          <w:strike/>
          <w:dstrike w:val="0"/>
          <w:color w:val="auto"/>
          <w:spacing w:val="-1"/>
          <w:sz w:val="24"/>
          <w:szCs w:val="24"/>
          <w:highlight w:val="none"/>
          <w:u w:val="single" w:color="auto"/>
        </w:rPr>
        <w:t>N</w:t>
      </w:r>
      <w:r>
        <w:rPr>
          <w:rFonts w:ascii="宋体" w:hAnsi="宋体" w:eastAsia="宋体" w:cs="宋体"/>
          <w:strike/>
          <w:dstrike w:val="0"/>
          <w:color w:val="auto"/>
          <w:spacing w:val="-1"/>
          <w:sz w:val="24"/>
          <w:szCs w:val="24"/>
          <w:highlight w:val="none"/>
        </w:rPr>
        <w:t>个中标候选人。在最</w:t>
      </w:r>
      <w:r>
        <w:rPr>
          <w:rFonts w:ascii="宋体" w:hAnsi="宋体" w:eastAsia="宋体" w:cs="宋体"/>
          <w:strike/>
          <w:dstrike w:val="0"/>
          <w:color w:val="auto"/>
          <w:spacing w:val="15"/>
          <w:sz w:val="24"/>
          <w:szCs w:val="24"/>
          <w:highlight w:val="none"/>
        </w:rPr>
        <w:t xml:space="preserve"> </w:t>
      </w:r>
      <w:r>
        <w:rPr>
          <w:rFonts w:ascii="宋体" w:hAnsi="宋体" w:eastAsia="宋体" w:cs="宋体"/>
          <w:strike/>
          <w:dstrike w:val="0"/>
          <w:color w:val="auto"/>
          <w:spacing w:val="-7"/>
          <w:sz w:val="24"/>
          <w:szCs w:val="24"/>
          <w:highlight w:val="none"/>
        </w:rPr>
        <w:t>终确定第</w:t>
      </w:r>
      <w:r>
        <w:rPr>
          <w:rFonts w:ascii="Times New Roman" w:hAnsi="Times New Roman" w:eastAsia="Times New Roman" w:cs="Times New Roman"/>
          <w:i/>
          <w:iCs/>
          <w:strike/>
          <w:dstrike w:val="0"/>
          <w:color w:val="auto"/>
          <w:spacing w:val="-7"/>
          <w:sz w:val="24"/>
          <w:szCs w:val="24"/>
          <w:highlight w:val="none"/>
          <w:u w:val="single" w:color="auto"/>
        </w:rPr>
        <w:t>N</w:t>
      </w:r>
      <w:r>
        <w:rPr>
          <w:rFonts w:ascii="宋体" w:hAnsi="宋体" w:eastAsia="宋体" w:cs="宋体"/>
          <w:strike/>
          <w:dstrike w:val="0"/>
          <w:color w:val="auto"/>
          <w:spacing w:val="-7"/>
          <w:sz w:val="24"/>
          <w:szCs w:val="24"/>
          <w:highlight w:val="none"/>
        </w:rPr>
        <w:t xml:space="preserve">个中标候选人时如果出现同票的，则采用 </w:t>
      </w:r>
      <w:r>
        <w:rPr>
          <w:rFonts w:ascii="宋体" w:hAnsi="宋体" w:eastAsia="宋体" w:cs="宋体"/>
          <w:i/>
          <w:iCs/>
          <w:strike/>
          <w:dstrike w:val="0"/>
          <w:color w:val="auto"/>
          <w:spacing w:val="-7"/>
          <w:sz w:val="25"/>
          <w:szCs w:val="25"/>
          <w:highlight w:val="none"/>
        </w:rPr>
        <w:t>□</w:t>
      </w:r>
      <w:r>
        <w:rPr>
          <w:rFonts w:ascii="宋体" w:hAnsi="宋体" w:eastAsia="宋体" w:cs="宋体"/>
          <w:i/>
          <w:iCs/>
          <w:strike/>
          <w:dstrike w:val="0"/>
          <w:color w:val="auto"/>
          <w:spacing w:val="-8"/>
          <w:sz w:val="25"/>
          <w:szCs w:val="25"/>
          <w:highlight w:val="none"/>
        </w:rPr>
        <w:t>抽签抽取□报价低者（报价相</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3"/>
          <w:sz w:val="25"/>
          <w:szCs w:val="25"/>
          <w:highlight w:val="none"/>
        </w:rPr>
        <w:t>同时抽签抽取</w:t>
      </w:r>
      <w:r>
        <w:rPr>
          <w:rFonts w:ascii="Times New Roman" w:hAnsi="Times New Roman" w:eastAsia="Times New Roman" w:cs="Times New Roman"/>
          <w:i/>
          <w:iCs/>
          <w:strike/>
          <w:dstrike w:val="0"/>
          <w:color w:val="auto"/>
          <w:spacing w:val="-13"/>
          <w:sz w:val="24"/>
          <w:szCs w:val="24"/>
          <w:highlight w:val="none"/>
        </w:rPr>
        <w:t>1</w:t>
      </w:r>
      <w:r>
        <w:rPr>
          <w:rFonts w:ascii="Times New Roman" w:hAnsi="Times New Roman" w:eastAsia="Times New Roman" w:cs="Times New Roman"/>
          <w:i/>
          <w:iCs/>
          <w:strike/>
          <w:dstrike w:val="0"/>
          <w:color w:val="auto"/>
          <w:spacing w:val="25"/>
          <w:sz w:val="24"/>
          <w:szCs w:val="24"/>
          <w:highlight w:val="none"/>
        </w:rPr>
        <w:t xml:space="preserve"> </w:t>
      </w:r>
      <w:r>
        <w:rPr>
          <w:rFonts w:ascii="宋体" w:hAnsi="宋体" w:eastAsia="宋体" w:cs="宋体"/>
          <w:i/>
          <w:iCs/>
          <w:strike/>
          <w:dstrike w:val="0"/>
          <w:color w:val="auto"/>
          <w:spacing w:val="-13"/>
          <w:sz w:val="25"/>
          <w:szCs w:val="25"/>
          <w:highlight w:val="none"/>
        </w:rPr>
        <w:t>个中标候选人）□由招标人法</w:t>
      </w:r>
      <w:r>
        <w:rPr>
          <w:rFonts w:ascii="宋体" w:hAnsi="宋体" w:eastAsia="宋体" w:cs="宋体"/>
          <w:strike/>
          <w:dstrike w:val="0"/>
          <w:color w:val="auto"/>
          <w:spacing w:val="-14"/>
          <w:sz w:val="25"/>
          <w:szCs w:val="25"/>
          <w:highlight w:val="none"/>
        </w:rPr>
        <w:t xml:space="preserve"> </w:t>
      </w:r>
      <w:r>
        <w:rPr>
          <w:rFonts w:ascii="宋体" w:hAnsi="宋体" w:eastAsia="宋体" w:cs="宋体"/>
          <w:i/>
          <w:iCs/>
          <w:strike/>
          <w:dstrike w:val="0"/>
          <w:color w:val="auto"/>
          <w:spacing w:val="-14"/>
          <w:sz w:val="25"/>
          <w:szCs w:val="25"/>
          <w:highlight w:val="none"/>
        </w:rPr>
        <w:t>定代表人或其委托代表直接确定</w:t>
      </w:r>
      <w:r>
        <w:rPr>
          <w:rFonts w:ascii="宋体" w:hAnsi="宋体" w:eastAsia="宋体" w:cs="宋体"/>
          <w:strike/>
          <w:dstrike w:val="0"/>
          <w:color w:val="auto"/>
          <w:spacing w:val="-14"/>
          <w:sz w:val="24"/>
          <w:szCs w:val="24"/>
          <w:highlight w:val="none"/>
        </w:rPr>
        <w:t>进入抽</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2"/>
          <w:sz w:val="24"/>
          <w:szCs w:val="24"/>
          <w:highlight w:val="none"/>
        </w:rPr>
        <w:t>签环节的中标候选人。定标委员会在上述</w:t>
      </w:r>
      <w:r>
        <w:rPr>
          <w:rFonts w:ascii="Times New Roman" w:hAnsi="Times New Roman" w:eastAsia="Times New Roman" w:cs="Times New Roman"/>
          <w:i/>
          <w:iCs/>
          <w:strike/>
          <w:dstrike w:val="0"/>
          <w:color w:val="auto"/>
          <w:spacing w:val="-12"/>
          <w:sz w:val="24"/>
          <w:szCs w:val="24"/>
          <w:highlight w:val="none"/>
          <w:u w:val="single" w:color="auto"/>
        </w:rPr>
        <w:t>N</w:t>
      </w:r>
      <w:r>
        <w:rPr>
          <w:rFonts w:ascii="宋体" w:hAnsi="宋体" w:eastAsia="宋体" w:cs="宋体"/>
          <w:strike/>
          <w:dstrike w:val="0"/>
          <w:color w:val="auto"/>
          <w:spacing w:val="-12"/>
          <w:sz w:val="24"/>
          <w:szCs w:val="24"/>
          <w:highlight w:val="none"/>
        </w:rPr>
        <w:t>个中标候</w:t>
      </w:r>
      <w:r>
        <w:rPr>
          <w:rFonts w:ascii="宋体" w:hAnsi="宋体" w:eastAsia="宋体" w:cs="宋体"/>
          <w:strike/>
          <w:dstrike w:val="0"/>
          <w:color w:val="auto"/>
          <w:spacing w:val="-13"/>
          <w:sz w:val="24"/>
          <w:szCs w:val="24"/>
          <w:highlight w:val="none"/>
        </w:rPr>
        <w:t>选人中随机抽签确定中标人。</w:t>
      </w:r>
    </w:p>
    <w:p w14:paraId="511AF5D0">
      <w:pPr>
        <w:spacing w:before="181" w:line="220" w:lineRule="auto"/>
        <w:ind w:left="507"/>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7"/>
          <w:sz w:val="24"/>
          <w:szCs w:val="24"/>
          <w:highlight w:val="none"/>
        </w:rPr>
        <w:t>□集体议事法</w:t>
      </w:r>
    </w:p>
    <w:p w14:paraId="2CCFE1EA">
      <w:pPr>
        <w:spacing w:before="181" w:line="359" w:lineRule="auto"/>
        <w:ind w:right="64" w:firstLine="486"/>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定标委员会进行集体商议，定标委员会成员各自发表意见，由定标委员会</w:t>
      </w:r>
      <w:r>
        <w:rPr>
          <w:rFonts w:ascii="宋体" w:hAnsi="宋体" w:eastAsia="宋体" w:cs="宋体"/>
          <w:strike/>
          <w:dstrike w:val="0"/>
          <w:color w:val="auto"/>
          <w:spacing w:val="-4"/>
          <w:sz w:val="24"/>
          <w:szCs w:val="24"/>
          <w:highlight w:val="none"/>
        </w:rPr>
        <w:t>负责人</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5"/>
          <w:sz w:val="24"/>
          <w:szCs w:val="24"/>
          <w:highlight w:val="none"/>
        </w:rPr>
        <w:t>最终确定中标人。所有参加会议的定标委员会成员的意见应当作书面记录，</w:t>
      </w:r>
      <w:r>
        <w:rPr>
          <w:rFonts w:ascii="宋体" w:hAnsi="宋体" w:eastAsia="宋体" w:cs="宋体"/>
          <w:strike/>
          <w:dstrike w:val="0"/>
          <w:color w:val="auto"/>
          <w:spacing w:val="-36"/>
          <w:sz w:val="24"/>
          <w:szCs w:val="24"/>
          <w:highlight w:val="none"/>
        </w:rPr>
        <w:t xml:space="preserve"> </w:t>
      </w:r>
      <w:r>
        <w:rPr>
          <w:rFonts w:ascii="宋体" w:hAnsi="宋体" w:eastAsia="宋体" w:cs="宋体"/>
          <w:strike/>
          <w:dstrike w:val="0"/>
          <w:color w:val="auto"/>
          <w:spacing w:val="-5"/>
          <w:sz w:val="24"/>
          <w:szCs w:val="24"/>
          <w:highlight w:val="none"/>
        </w:rPr>
        <w:t>并由定标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委员会成员签字确认。</w:t>
      </w:r>
    </w:p>
    <w:p w14:paraId="7A992C92">
      <w:pPr>
        <w:spacing w:before="2" w:line="220" w:lineRule="auto"/>
        <w:ind w:left="507"/>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15"/>
          <w:sz w:val="24"/>
          <w:szCs w:val="24"/>
          <w:highlight w:val="none"/>
        </w:rPr>
        <w:t>□组合方法：</w:t>
      </w:r>
    </w:p>
    <w:p w14:paraId="3B2529E8">
      <w:pPr>
        <w:tabs>
          <w:tab w:val="left" w:pos="2448"/>
        </w:tabs>
        <w:spacing w:before="179" w:line="213" w:lineRule="auto"/>
        <w:ind w:left="471"/>
        <w:rPr>
          <w:rFonts w:ascii="宋体" w:hAnsi="宋体" w:eastAsia="宋体" w:cs="宋体"/>
          <w:strike/>
          <w:dstrike w:val="0"/>
          <w:color w:val="auto"/>
          <w:sz w:val="24"/>
          <w:szCs w:val="24"/>
          <w:highlight w:val="none"/>
        </w:rPr>
      </w:pPr>
      <w:r>
        <w:rPr>
          <w:rFonts w:ascii="宋体" w:hAnsi="宋体" w:eastAsia="宋体" w:cs="宋体"/>
          <w:strike/>
          <w:dstrike w:val="0"/>
          <w:color w:val="auto"/>
          <w:sz w:val="25"/>
          <w:szCs w:val="25"/>
          <w:highlight w:val="none"/>
          <w:u w:val="single" w:color="auto"/>
        </w:rPr>
        <w:tab/>
      </w:r>
      <w:r>
        <w:rPr>
          <w:rFonts w:ascii="宋体" w:hAnsi="宋体" w:eastAsia="宋体" w:cs="宋体"/>
          <w:i/>
          <w:iCs/>
          <w:strike/>
          <w:dstrike w:val="0"/>
          <w:color w:val="auto"/>
          <w:spacing w:val="-31"/>
          <w:sz w:val="25"/>
          <w:szCs w:val="25"/>
          <w:highlight w:val="none"/>
          <w:u w:val="single" w:color="auto"/>
        </w:rPr>
        <w:t>（补充细则）</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strike/>
          <w:dstrike w:val="0"/>
          <w:color w:val="auto"/>
          <w:spacing w:val="-31"/>
          <w:sz w:val="24"/>
          <w:szCs w:val="24"/>
          <w:highlight w:val="none"/>
        </w:rPr>
        <w:t>。</w:t>
      </w:r>
    </w:p>
    <w:p w14:paraId="51EB5E3A">
      <w:pPr>
        <w:spacing w:before="179" w:line="218" w:lineRule="auto"/>
        <w:ind w:left="50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四、定标报告</w:t>
      </w:r>
    </w:p>
    <w:p w14:paraId="7FF4016D">
      <w:pPr>
        <w:spacing w:before="184" w:line="324" w:lineRule="auto"/>
        <w:ind w:left="1" w:right="64" w:firstLine="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（一）定标委员会应当向招标人提交书面定标报告。定标报告由定标委</w:t>
      </w:r>
      <w:r>
        <w:rPr>
          <w:rFonts w:ascii="宋体" w:hAnsi="宋体" w:eastAsia="宋体" w:cs="宋体"/>
          <w:strike/>
          <w:dstrike w:val="0"/>
          <w:color w:val="auto"/>
          <w:spacing w:val="-4"/>
          <w:sz w:val="24"/>
          <w:szCs w:val="24"/>
          <w:highlight w:val="none"/>
        </w:rPr>
        <w:t>员会全体</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成员签字。对定标结果有不同意见的定标委员会成员应当以书面形式说明其不同意见</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3"/>
          <w:sz w:val="24"/>
          <w:szCs w:val="24"/>
          <w:highlight w:val="none"/>
        </w:rPr>
        <w:t>和理由，定标报告应当注明该不同意见。定标委员会成员拒绝在定标报告上签字又不</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2"/>
          <w:sz w:val="24"/>
          <w:szCs w:val="24"/>
          <w:highlight w:val="none"/>
        </w:rPr>
        <w:t>书面说明其不同意见和理由的，视为同意定标结果。</w:t>
      </w:r>
    </w:p>
    <w:p w14:paraId="3B7E944D">
      <w:pPr>
        <w:spacing w:before="183" w:line="218"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（二）定标报告应包括以下内容：</w:t>
      </w:r>
    </w:p>
    <w:p w14:paraId="0765C238">
      <w:pPr>
        <w:spacing w:before="183" w:line="219" w:lineRule="auto"/>
        <w:ind w:left="49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7"/>
          <w:sz w:val="24"/>
          <w:szCs w:val="24"/>
          <w:highlight w:val="none"/>
        </w:rPr>
        <w:t>1.</w:t>
      </w:r>
      <w:r>
        <w:rPr>
          <w:rFonts w:ascii="宋体" w:hAnsi="宋体" w:eastAsia="宋体" w:cs="宋体"/>
          <w:strike/>
          <w:dstrike w:val="0"/>
          <w:color w:val="auto"/>
          <w:spacing w:val="-7"/>
          <w:sz w:val="24"/>
          <w:szCs w:val="24"/>
          <w:highlight w:val="none"/>
        </w:rPr>
        <w:t>定标委员会的产生过程；</w:t>
      </w:r>
    </w:p>
    <w:p w14:paraId="4AED47AA">
      <w:pPr>
        <w:spacing w:line="219" w:lineRule="auto"/>
        <w:rPr>
          <w:rFonts w:ascii="宋体" w:hAnsi="宋体" w:eastAsia="宋体" w:cs="宋体"/>
          <w:strike/>
          <w:dstrike w:val="0"/>
          <w:color w:val="auto"/>
          <w:sz w:val="24"/>
          <w:szCs w:val="24"/>
          <w:highlight w:val="none"/>
        </w:rPr>
        <w:sectPr>
          <w:headerReference r:id="rId74" w:type="default"/>
          <w:footerReference r:id="rId75" w:type="default"/>
          <w:pgSz w:w="11905" w:h="16840"/>
          <w:pgMar w:top="1791" w:right="1463" w:bottom="1255" w:left="1595" w:header="1401" w:footer="1093" w:gutter="0"/>
          <w:pgNumType w:fmt="decimal"/>
          <w:cols w:space="720" w:num="1"/>
        </w:sectPr>
      </w:pPr>
    </w:p>
    <w:p w14:paraId="08D88DBD">
      <w:pPr>
        <w:pStyle w:val="8"/>
        <w:spacing w:line="248" w:lineRule="auto"/>
        <w:rPr>
          <w:strike/>
          <w:dstrike w:val="0"/>
          <w:color w:val="auto"/>
          <w:highlight w:val="none"/>
        </w:rPr>
      </w:pPr>
    </w:p>
    <w:p w14:paraId="73D05B8A">
      <w:pPr>
        <w:pStyle w:val="8"/>
        <w:spacing w:line="248" w:lineRule="auto"/>
        <w:rPr>
          <w:strike/>
          <w:dstrike w:val="0"/>
          <w:color w:val="auto"/>
          <w:highlight w:val="none"/>
        </w:rPr>
      </w:pPr>
    </w:p>
    <w:p w14:paraId="18420D79">
      <w:pPr>
        <w:pStyle w:val="8"/>
        <w:spacing w:line="248" w:lineRule="auto"/>
        <w:rPr>
          <w:strike/>
          <w:dstrike w:val="0"/>
          <w:color w:val="auto"/>
          <w:highlight w:val="none"/>
        </w:rPr>
      </w:pPr>
    </w:p>
    <w:p w14:paraId="36590C4F">
      <w:pPr>
        <w:pStyle w:val="8"/>
        <w:spacing w:line="248" w:lineRule="auto"/>
        <w:rPr>
          <w:strike/>
          <w:dstrike w:val="0"/>
          <w:color w:val="auto"/>
          <w:highlight w:val="none"/>
        </w:rPr>
      </w:pPr>
    </w:p>
    <w:p w14:paraId="5A075536">
      <w:pPr>
        <w:spacing w:before="78" w:line="220" w:lineRule="auto"/>
        <w:ind w:left="286"/>
        <w:rPr>
          <w:rFonts w:ascii="宋体" w:hAnsi="宋体" w:eastAsia="宋体" w:cs="宋体"/>
          <w:strike/>
          <w:dstrike w:val="0"/>
          <w:color w:val="auto"/>
          <w:sz w:val="24"/>
          <w:szCs w:val="24"/>
          <w:highlight w:val="none"/>
        </w:rPr>
      </w:pPr>
      <w:bookmarkStart w:id="77" w:name="bookmark383"/>
      <w:bookmarkEnd w:id="77"/>
      <w:r>
        <w:rPr>
          <w:rFonts w:ascii="Times New Roman" w:hAnsi="Times New Roman" w:eastAsia="Times New Roman" w:cs="Times New Roman"/>
          <w:strike/>
          <w:dstrike w:val="0"/>
          <w:color w:val="auto"/>
          <w:spacing w:val="-8"/>
          <w:sz w:val="24"/>
          <w:szCs w:val="24"/>
          <w:highlight w:val="none"/>
        </w:rPr>
        <w:t>2.</w:t>
      </w:r>
      <w:r>
        <w:rPr>
          <w:rFonts w:ascii="宋体" w:hAnsi="宋体" w:eastAsia="宋体" w:cs="宋体"/>
          <w:strike/>
          <w:dstrike w:val="0"/>
          <w:color w:val="auto"/>
          <w:spacing w:val="-8"/>
          <w:sz w:val="24"/>
          <w:szCs w:val="24"/>
          <w:highlight w:val="none"/>
        </w:rPr>
        <w:t>定标程序；</w:t>
      </w:r>
    </w:p>
    <w:p w14:paraId="00E534F5">
      <w:pPr>
        <w:spacing w:before="180" w:line="219" w:lineRule="auto"/>
        <w:ind w:left="29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推荐或不推荐的理由；</w:t>
      </w:r>
    </w:p>
    <w:p w14:paraId="54616CEA">
      <w:pPr>
        <w:spacing w:before="182" w:line="220" w:lineRule="auto"/>
        <w:ind w:left="28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7"/>
          <w:sz w:val="24"/>
          <w:szCs w:val="24"/>
          <w:highlight w:val="none"/>
        </w:rPr>
        <w:t>4.</w:t>
      </w:r>
      <w:r>
        <w:rPr>
          <w:rFonts w:ascii="宋体" w:hAnsi="宋体" w:eastAsia="宋体" w:cs="宋体"/>
          <w:strike/>
          <w:dstrike w:val="0"/>
          <w:color w:val="auto"/>
          <w:spacing w:val="-7"/>
          <w:sz w:val="24"/>
          <w:szCs w:val="24"/>
          <w:highlight w:val="none"/>
        </w:rPr>
        <w:t>定标结果；</w:t>
      </w:r>
    </w:p>
    <w:p w14:paraId="7060D199">
      <w:pPr>
        <w:spacing w:before="180" w:line="219" w:lineRule="auto"/>
        <w:ind w:left="29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4"/>
          <w:sz w:val="24"/>
          <w:szCs w:val="24"/>
          <w:highlight w:val="none"/>
        </w:rPr>
        <w:t>5.</w:t>
      </w:r>
      <w:r>
        <w:rPr>
          <w:rFonts w:ascii="宋体" w:hAnsi="宋体" w:eastAsia="宋体" w:cs="宋体"/>
          <w:strike/>
          <w:dstrike w:val="0"/>
          <w:color w:val="auto"/>
          <w:spacing w:val="-4"/>
          <w:sz w:val="24"/>
          <w:szCs w:val="24"/>
          <w:highlight w:val="none"/>
        </w:rPr>
        <w:t>定标委员会备选人员名单（含单位及职务</w:t>
      </w:r>
      <w:r>
        <w:rPr>
          <w:rFonts w:ascii="宋体" w:hAnsi="宋体" w:eastAsia="宋体" w:cs="宋体"/>
          <w:strike/>
          <w:dstrike w:val="0"/>
          <w:color w:val="auto"/>
          <w:spacing w:val="7"/>
          <w:sz w:val="24"/>
          <w:szCs w:val="24"/>
          <w:highlight w:val="none"/>
        </w:rPr>
        <w:t>）；</w:t>
      </w:r>
    </w:p>
    <w:p w14:paraId="5DDD46EC">
      <w:pPr>
        <w:spacing w:before="182" w:line="219" w:lineRule="auto"/>
        <w:ind w:left="29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定标委员会正式名单、负责人；</w:t>
      </w:r>
    </w:p>
    <w:p w14:paraId="4987DA1A">
      <w:pPr>
        <w:spacing w:before="182" w:line="218" w:lineRule="auto"/>
        <w:ind w:left="290"/>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7.</w:t>
      </w:r>
      <w:r>
        <w:rPr>
          <w:rFonts w:ascii="宋体" w:hAnsi="宋体" w:eastAsia="宋体" w:cs="宋体"/>
          <w:strike/>
          <w:dstrike w:val="0"/>
          <w:color w:val="auto"/>
          <w:spacing w:val="-3"/>
          <w:sz w:val="24"/>
          <w:szCs w:val="24"/>
          <w:highlight w:val="none"/>
        </w:rPr>
        <w:t>考察、质询报告（如组织考察、质询）。</w:t>
      </w:r>
    </w:p>
    <w:p w14:paraId="1363FC37">
      <w:pPr>
        <w:spacing w:line="218" w:lineRule="auto"/>
        <w:rPr>
          <w:rFonts w:ascii="宋体" w:hAnsi="宋体" w:eastAsia="宋体" w:cs="宋体"/>
          <w:strike/>
          <w:dstrike w:val="0"/>
          <w:color w:val="auto"/>
          <w:sz w:val="24"/>
          <w:szCs w:val="24"/>
          <w:highlight w:val="none"/>
        </w:rPr>
        <w:sectPr>
          <w:headerReference r:id="rId76" w:type="default"/>
          <w:footerReference r:id="rId77" w:type="default"/>
          <w:pgSz w:w="11905" w:h="16840"/>
          <w:pgMar w:top="400" w:right="1529" w:bottom="1255" w:left="1785" w:header="0" w:footer="1093" w:gutter="0"/>
          <w:pgNumType w:fmt="decimal"/>
          <w:cols w:space="720" w:num="1"/>
        </w:sectPr>
      </w:pPr>
    </w:p>
    <w:p w14:paraId="6E54A0FA">
      <w:pPr>
        <w:pStyle w:val="8"/>
        <w:spacing w:line="242" w:lineRule="auto"/>
        <w:rPr>
          <w:strike/>
          <w:dstrike w:val="0"/>
          <w:color w:val="auto"/>
          <w:highlight w:val="none"/>
        </w:rPr>
      </w:pPr>
    </w:p>
    <w:p w14:paraId="64A369F0">
      <w:pPr>
        <w:pStyle w:val="8"/>
        <w:spacing w:line="242" w:lineRule="auto"/>
        <w:rPr>
          <w:strike/>
          <w:dstrike w:val="0"/>
          <w:color w:val="auto"/>
          <w:highlight w:val="none"/>
        </w:rPr>
      </w:pPr>
    </w:p>
    <w:p w14:paraId="0A1630EB">
      <w:pPr>
        <w:pStyle w:val="8"/>
        <w:spacing w:line="243" w:lineRule="auto"/>
        <w:rPr>
          <w:strike/>
          <w:dstrike w:val="0"/>
          <w:color w:val="auto"/>
          <w:highlight w:val="none"/>
        </w:rPr>
      </w:pPr>
    </w:p>
    <w:p w14:paraId="13E01D2E">
      <w:pPr>
        <w:pStyle w:val="8"/>
        <w:spacing w:line="243" w:lineRule="auto"/>
        <w:rPr>
          <w:strike/>
          <w:dstrike w:val="0"/>
          <w:color w:val="auto"/>
          <w:highlight w:val="none"/>
        </w:rPr>
      </w:pPr>
    </w:p>
    <w:p w14:paraId="592AD511">
      <w:pPr>
        <w:spacing w:before="117" w:line="218" w:lineRule="auto"/>
        <w:ind w:left="971"/>
        <w:rPr>
          <w:rFonts w:ascii="宋体" w:hAnsi="宋体" w:eastAsia="宋体" w:cs="宋体"/>
          <w:strike/>
          <w:dstrike w:val="0"/>
          <w:color w:val="auto"/>
          <w:sz w:val="36"/>
          <w:szCs w:val="36"/>
          <w:highlight w:val="none"/>
        </w:rPr>
      </w:pPr>
      <w:r>
        <w:rPr>
          <w:rFonts w:ascii="宋体" w:hAnsi="宋体" w:eastAsia="宋体" w:cs="宋体"/>
          <w:b/>
          <w:bCs/>
          <w:strike/>
          <w:dstrike w:val="0"/>
          <w:color w:val="auto"/>
          <w:spacing w:val="-5"/>
          <w:sz w:val="36"/>
          <w:szCs w:val="36"/>
          <w:highlight w:val="none"/>
        </w:rPr>
        <w:t>第三章</w:t>
      </w:r>
      <w:r>
        <w:rPr>
          <w:rFonts w:ascii="宋体" w:hAnsi="宋体" w:eastAsia="宋体" w:cs="宋体"/>
          <w:strike/>
          <w:dstrike w:val="0"/>
          <w:color w:val="auto"/>
          <w:spacing w:val="-5"/>
          <w:sz w:val="36"/>
          <w:szCs w:val="36"/>
          <w:highlight w:val="none"/>
        </w:rPr>
        <w:t xml:space="preserve">  </w:t>
      </w:r>
      <w:r>
        <w:rPr>
          <w:rFonts w:ascii="宋体" w:hAnsi="宋体" w:eastAsia="宋体" w:cs="宋体"/>
          <w:b/>
          <w:bCs/>
          <w:strike/>
          <w:dstrike w:val="0"/>
          <w:color w:val="auto"/>
          <w:spacing w:val="-5"/>
          <w:sz w:val="36"/>
          <w:szCs w:val="36"/>
          <w:highlight w:val="none"/>
        </w:rPr>
        <w:t>评标办法（经评审的最低投标价）</w:t>
      </w:r>
    </w:p>
    <w:p w14:paraId="6FC4994D">
      <w:pPr>
        <w:spacing w:before="271" w:line="225" w:lineRule="auto"/>
        <w:ind w:left="13"/>
        <w:outlineLvl w:val="2"/>
        <w:rPr>
          <w:rFonts w:ascii="宋体" w:hAnsi="宋体" w:eastAsia="宋体" w:cs="宋体"/>
          <w:strike/>
          <w:dstrike w:val="0"/>
          <w:color w:val="auto"/>
          <w:sz w:val="27"/>
          <w:szCs w:val="27"/>
          <w:highlight w:val="none"/>
        </w:rPr>
      </w:pPr>
      <w:bookmarkStart w:id="78" w:name="bookmark42"/>
      <w:bookmarkEnd w:id="78"/>
      <w:bookmarkStart w:id="79" w:name="_Toc17296"/>
      <w:r>
        <w:rPr>
          <w:rFonts w:ascii="Times New Roman" w:hAnsi="Times New Roman" w:eastAsia="Times New Roman" w:cs="Times New Roman"/>
          <w:b/>
          <w:bCs/>
          <w:strike/>
          <w:dstrike w:val="0"/>
          <w:color w:val="auto"/>
          <w:spacing w:val="-5"/>
          <w:sz w:val="27"/>
          <w:szCs w:val="27"/>
          <w:highlight w:val="none"/>
        </w:rPr>
        <w:t>1</w:t>
      </w:r>
      <w:r>
        <w:rPr>
          <w:rFonts w:ascii="Times New Roman" w:hAnsi="Times New Roman" w:eastAsia="Times New Roman" w:cs="Times New Roman"/>
          <w:b/>
          <w:bCs/>
          <w:strike/>
          <w:dstrike w:val="0"/>
          <w:color w:val="auto"/>
          <w:spacing w:val="10"/>
          <w:sz w:val="27"/>
          <w:szCs w:val="27"/>
          <w:highlight w:val="none"/>
        </w:rPr>
        <w:t xml:space="preserve">  </w:t>
      </w:r>
      <w:r>
        <w:rPr>
          <w:rFonts w:ascii="宋体" w:hAnsi="宋体" w:eastAsia="宋体" w:cs="宋体"/>
          <w:b/>
          <w:bCs/>
          <w:strike/>
          <w:dstrike w:val="0"/>
          <w:color w:val="auto"/>
          <w:spacing w:val="-5"/>
          <w:sz w:val="27"/>
          <w:szCs w:val="27"/>
          <w:highlight w:val="none"/>
        </w:rPr>
        <w:t>依据</w:t>
      </w:r>
      <w:bookmarkEnd w:id="79"/>
    </w:p>
    <w:p w14:paraId="44DEA666">
      <w:pPr>
        <w:pStyle w:val="8"/>
        <w:spacing w:line="246" w:lineRule="auto"/>
        <w:rPr>
          <w:strike/>
          <w:dstrike w:val="0"/>
          <w:color w:val="auto"/>
          <w:highlight w:val="none"/>
        </w:rPr>
      </w:pPr>
    </w:p>
    <w:p w14:paraId="7D1A1FFE">
      <w:pPr>
        <w:spacing w:before="78" w:line="360" w:lineRule="auto"/>
        <w:ind w:left="5" w:firstLine="481"/>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为规范招标的评标工作，根据《中华人民共和国招标投标法》、《中华人民共和</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国招标投标法实施条例》、《评标委员会和评标办法暂行规定》（原国家发</w:t>
      </w:r>
      <w:r>
        <w:rPr>
          <w:rFonts w:ascii="宋体" w:hAnsi="宋体" w:eastAsia="宋体" w:cs="宋体"/>
          <w:strike/>
          <w:dstrike w:val="0"/>
          <w:color w:val="auto"/>
          <w:spacing w:val="-4"/>
          <w:sz w:val="24"/>
          <w:szCs w:val="24"/>
          <w:highlight w:val="none"/>
        </w:rPr>
        <w:t>展计划委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员会等七部委令第</w:t>
      </w:r>
      <w:r>
        <w:rPr>
          <w:rFonts w:ascii="Times New Roman" w:hAnsi="Times New Roman" w:eastAsia="Times New Roman" w:cs="Times New Roman"/>
          <w:strike/>
          <w:dstrike w:val="0"/>
          <w:color w:val="auto"/>
          <w:spacing w:val="-3"/>
          <w:sz w:val="24"/>
          <w:szCs w:val="24"/>
          <w:highlight w:val="none"/>
        </w:rPr>
        <w:t>12</w:t>
      </w:r>
      <w:r>
        <w:rPr>
          <w:rFonts w:ascii="宋体" w:hAnsi="宋体" w:eastAsia="宋体" w:cs="宋体"/>
          <w:strike/>
          <w:dstrike w:val="0"/>
          <w:color w:val="auto"/>
          <w:spacing w:val="-3"/>
          <w:sz w:val="24"/>
          <w:szCs w:val="24"/>
          <w:highlight w:val="none"/>
        </w:rPr>
        <w:t>号）、《工程建设项目施工招标投标办法》（原国家发展计划委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员会等七部委令第</w:t>
      </w:r>
      <w:r>
        <w:rPr>
          <w:rFonts w:ascii="Times New Roman" w:hAnsi="Times New Roman" w:eastAsia="Times New Roman" w:cs="Times New Roman"/>
          <w:strike/>
          <w:dstrike w:val="0"/>
          <w:color w:val="auto"/>
          <w:spacing w:val="-9"/>
          <w:sz w:val="24"/>
          <w:szCs w:val="24"/>
          <w:highlight w:val="none"/>
        </w:rPr>
        <w:t>30</w:t>
      </w:r>
      <w:r>
        <w:rPr>
          <w:rFonts w:ascii="宋体" w:hAnsi="宋体" w:eastAsia="宋体" w:cs="宋体"/>
          <w:strike/>
          <w:dstrike w:val="0"/>
          <w:color w:val="auto"/>
          <w:spacing w:val="-9"/>
          <w:sz w:val="24"/>
          <w:szCs w:val="24"/>
          <w:highlight w:val="none"/>
        </w:rPr>
        <w:t>号）、《关于废止和修改部分招标投标规章和规范性文件的决定》</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9"/>
          <w:sz w:val="24"/>
          <w:szCs w:val="24"/>
          <w:highlight w:val="none"/>
        </w:rPr>
        <w:t>（九部委第</w:t>
      </w:r>
      <w:r>
        <w:rPr>
          <w:rFonts w:ascii="Times New Roman" w:hAnsi="Times New Roman" w:eastAsia="Times New Roman" w:cs="Times New Roman"/>
          <w:strike/>
          <w:dstrike w:val="0"/>
          <w:color w:val="auto"/>
          <w:spacing w:val="-9"/>
          <w:sz w:val="24"/>
          <w:szCs w:val="24"/>
          <w:highlight w:val="none"/>
        </w:rPr>
        <w:t>23</w:t>
      </w:r>
      <w:r>
        <w:rPr>
          <w:rFonts w:ascii="宋体" w:hAnsi="宋体" w:eastAsia="宋体" w:cs="宋体"/>
          <w:strike/>
          <w:dstrike w:val="0"/>
          <w:color w:val="auto"/>
          <w:spacing w:val="-9"/>
          <w:sz w:val="24"/>
          <w:szCs w:val="24"/>
          <w:highlight w:val="none"/>
        </w:rPr>
        <w:t>号令）、《浙江省招标投标条例》等有关的法律、法规和规章制度规定，</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5"/>
          <w:sz w:val="24"/>
          <w:szCs w:val="24"/>
          <w:highlight w:val="none"/>
        </w:rPr>
        <w:t>制定本评标办法。</w:t>
      </w:r>
    </w:p>
    <w:p w14:paraId="2C25FC51">
      <w:pPr>
        <w:spacing w:before="122" w:line="227" w:lineRule="auto"/>
        <w:ind w:left="2"/>
        <w:outlineLvl w:val="2"/>
        <w:rPr>
          <w:rFonts w:ascii="宋体" w:hAnsi="宋体" w:eastAsia="宋体" w:cs="宋体"/>
          <w:strike/>
          <w:dstrike w:val="0"/>
          <w:color w:val="auto"/>
          <w:sz w:val="27"/>
          <w:szCs w:val="27"/>
          <w:highlight w:val="none"/>
        </w:rPr>
      </w:pPr>
      <w:bookmarkStart w:id="80" w:name="bookmark43"/>
      <w:bookmarkEnd w:id="80"/>
      <w:bookmarkStart w:id="81" w:name="_Toc14983"/>
      <w:r>
        <w:rPr>
          <w:rFonts w:ascii="Times New Roman" w:hAnsi="Times New Roman" w:eastAsia="Times New Roman" w:cs="Times New Roman"/>
          <w:b/>
          <w:bCs/>
          <w:strike/>
          <w:dstrike w:val="0"/>
          <w:color w:val="auto"/>
          <w:spacing w:val="3"/>
          <w:sz w:val="27"/>
          <w:szCs w:val="27"/>
          <w:highlight w:val="none"/>
        </w:rPr>
        <w:t>2</w:t>
      </w:r>
      <w:r>
        <w:rPr>
          <w:rFonts w:ascii="Times New Roman" w:hAnsi="Times New Roman" w:eastAsia="Times New Roman" w:cs="Times New Roman"/>
          <w:b/>
          <w:bCs/>
          <w:strike/>
          <w:dstrike w:val="0"/>
          <w:color w:val="auto"/>
          <w:spacing w:val="9"/>
          <w:sz w:val="27"/>
          <w:szCs w:val="27"/>
          <w:highlight w:val="none"/>
        </w:rPr>
        <w:t xml:space="preserve">  </w:t>
      </w:r>
      <w:r>
        <w:rPr>
          <w:rFonts w:ascii="宋体" w:hAnsi="宋体" w:eastAsia="宋体" w:cs="宋体"/>
          <w:b/>
          <w:bCs/>
          <w:strike/>
          <w:dstrike w:val="0"/>
          <w:color w:val="auto"/>
          <w:spacing w:val="3"/>
          <w:sz w:val="27"/>
          <w:szCs w:val="27"/>
          <w:highlight w:val="none"/>
        </w:rPr>
        <w:t>评标原则</w:t>
      </w:r>
      <w:bookmarkEnd w:id="81"/>
    </w:p>
    <w:p w14:paraId="59333525">
      <w:pPr>
        <w:pStyle w:val="8"/>
        <w:spacing w:line="246" w:lineRule="auto"/>
        <w:rPr>
          <w:strike/>
          <w:dstrike w:val="0"/>
          <w:color w:val="auto"/>
          <w:highlight w:val="none"/>
        </w:rPr>
      </w:pPr>
    </w:p>
    <w:p w14:paraId="7E2E5B86">
      <w:pPr>
        <w:spacing w:before="78" w:line="219" w:lineRule="auto"/>
        <w:ind w:left="54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评标应遵循公平、公正、科学、择优的原则。</w:t>
      </w:r>
    </w:p>
    <w:p w14:paraId="41D11561">
      <w:pPr>
        <w:spacing w:before="308" w:line="227" w:lineRule="auto"/>
        <w:outlineLvl w:val="2"/>
        <w:rPr>
          <w:rFonts w:ascii="宋体" w:hAnsi="宋体" w:eastAsia="宋体" w:cs="宋体"/>
          <w:strike/>
          <w:dstrike w:val="0"/>
          <w:color w:val="auto"/>
          <w:sz w:val="27"/>
          <w:szCs w:val="27"/>
          <w:highlight w:val="none"/>
        </w:rPr>
      </w:pPr>
      <w:bookmarkStart w:id="82" w:name="bookmark44"/>
      <w:bookmarkEnd w:id="82"/>
      <w:bookmarkStart w:id="83" w:name="_Toc1517"/>
      <w:r>
        <w:rPr>
          <w:rFonts w:ascii="Times New Roman" w:hAnsi="Times New Roman" w:eastAsia="Times New Roman" w:cs="Times New Roman"/>
          <w:b/>
          <w:bCs/>
          <w:strike/>
          <w:dstrike w:val="0"/>
          <w:color w:val="auto"/>
          <w:spacing w:val="4"/>
          <w:sz w:val="27"/>
          <w:szCs w:val="27"/>
          <w:highlight w:val="none"/>
        </w:rPr>
        <w:t>3</w:t>
      </w:r>
      <w:r>
        <w:rPr>
          <w:rFonts w:ascii="Times New Roman" w:hAnsi="Times New Roman" w:eastAsia="Times New Roman" w:cs="Times New Roman"/>
          <w:b/>
          <w:bCs/>
          <w:strike/>
          <w:dstrike w:val="0"/>
          <w:color w:val="auto"/>
          <w:spacing w:val="7"/>
          <w:sz w:val="27"/>
          <w:szCs w:val="27"/>
          <w:highlight w:val="none"/>
        </w:rPr>
        <w:t xml:space="preserve">  </w:t>
      </w:r>
      <w:r>
        <w:rPr>
          <w:rFonts w:ascii="宋体" w:hAnsi="宋体" w:eastAsia="宋体" w:cs="宋体"/>
          <w:b/>
          <w:bCs/>
          <w:strike/>
          <w:dstrike w:val="0"/>
          <w:color w:val="auto"/>
          <w:spacing w:val="4"/>
          <w:sz w:val="27"/>
          <w:szCs w:val="27"/>
          <w:highlight w:val="none"/>
        </w:rPr>
        <w:t>评标组织</w:t>
      </w:r>
      <w:bookmarkEnd w:id="83"/>
    </w:p>
    <w:p w14:paraId="7C0376DB">
      <w:pPr>
        <w:pStyle w:val="8"/>
        <w:spacing w:line="246" w:lineRule="auto"/>
        <w:rPr>
          <w:strike/>
          <w:dstrike w:val="0"/>
          <w:color w:val="auto"/>
          <w:highlight w:val="none"/>
        </w:rPr>
      </w:pPr>
    </w:p>
    <w:p w14:paraId="1F65334D">
      <w:pPr>
        <w:spacing w:before="79" w:line="361" w:lineRule="auto"/>
        <w:ind w:left="8" w:right="1" w:firstLine="47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评标工作由招标人依法组建的评标委员会负责，评标委员会的组建办法见投标人</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7"/>
          <w:sz w:val="24"/>
          <w:szCs w:val="24"/>
          <w:highlight w:val="none"/>
        </w:rPr>
        <w:t>须知前附表。</w:t>
      </w:r>
    </w:p>
    <w:p w14:paraId="381BFA73">
      <w:pPr>
        <w:spacing w:before="122" w:line="226" w:lineRule="auto"/>
        <w:ind w:left="2"/>
        <w:outlineLvl w:val="2"/>
        <w:rPr>
          <w:rFonts w:ascii="宋体" w:hAnsi="宋体" w:eastAsia="宋体" w:cs="宋体"/>
          <w:strike/>
          <w:dstrike w:val="0"/>
          <w:color w:val="auto"/>
          <w:sz w:val="27"/>
          <w:szCs w:val="27"/>
          <w:highlight w:val="none"/>
        </w:rPr>
      </w:pPr>
      <w:bookmarkStart w:id="84" w:name="bookmark45"/>
      <w:bookmarkEnd w:id="84"/>
      <w:bookmarkStart w:id="85" w:name="_Toc25745"/>
      <w:r>
        <w:rPr>
          <w:rFonts w:ascii="Times New Roman" w:hAnsi="Times New Roman" w:eastAsia="Times New Roman" w:cs="Times New Roman"/>
          <w:b/>
          <w:bCs/>
          <w:strike/>
          <w:dstrike w:val="0"/>
          <w:color w:val="auto"/>
          <w:spacing w:val="5"/>
          <w:sz w:val="27"/>
          <w:szCs w:val="27"/>
          <w:highlight w:val="none"/>
        </w:rPr>
        <w:t xml:space="preserve">4  </w:t>
      </w:r>
      <w:r>
        <w:rPr>
          <w:rFonts w:ascii="宋体" w:hAnsi="宋体" w:eastAsia="宋体" w:cs="宋体"/>
          <w:b/>
          <w:bCs/>
          <w:strike/>
          <w:dstrike w:val="0"/>
          <w:color w:val="auto"/>
          <w:spacing w:val="5"/>
          <w:sz w:val="27"/>
          <w:szCs w:val="27"/>
          <w:highlight w:val="none"/>
        </w:rPr>
        <w:t>评标程序和内容</w:t>
      </w:r>
      <w:bookmarkEnd w:id="85"/>
    </w:p>
    <w:p w14:paraId="0F1DDDD9">
      <w:pPr>
        <w:pStyle w:val="8"/>
        <w:spacing w:line="248" w:lineRule="auto"/>
        <w:rPr>
          <w:strike/>
          <w:dstrike w:val="0"/>
          <w:color w:val="auto"/>
          <w:highlight w:val="none"/>
        </w:rPr>
      </w:pPr>
    </w:p>
    <w:p w14:paraId="63302360">
      <w:pPr>
        <w:spacing w:before="78" w:line="223" w:lineRule="auto"/>
        <w:ind w:left="1"/>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4.1  </w:t>
      </w:r>
      <w:r>
        <w:rPr>
          <w:rFonts w:ascii="楷体" w:hAnsi="楷体" w:eastAsia="楷体" w:cs="楷体"/>
          <w:b/>
          <w:bCs/>
          <w:strike/>
          <w:dstrike w:val="0"/>
          <w:color w:val="auto"/>
          <w:spacing w:val="-2"/>
          <w:sz w:val="24"/>
          <w:szCs w:val="24"/>
          <w:highlight w:val="none"/>
        </w:rPr>
        <w:t>评标的一般程序</w:t>
      </w:r>
    </w:p>
    <w:p w14:paraId="0ED0F654">
      <w:pPr>
        <w:spacing w:before="176"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）熟悉招标文件和评标办法。</w:t>
      </w:r>
    </w:p>
    <w:p w14:paraId="4780413E">
      <w:pPr>
        <w:spacing w:before="181"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）投标文件的符合性审查。</w:t>
      </w:r>
    </w:p>
    <w:p w14:paraId="3FFEBB05">
      <w:pPr>
        <w:spacing w:before="181"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）投标文件的技术评审。</w:t>
      </w:r>
    </w:p>
    <w:p w14:paraId="5947ADC3">
      <w:pPr>
        <w:spacing w:before="182"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4</w:t>
      </w:r>
      <w:r>
        <w:rPr>
          <w:rFonts w:ascii="宋体" w:hAnsi="宋体" w:eastAsia="宋体" w:cs="宋体"/>
          <w:strike/>
          <w:dstrike w:val="0"/>
          <w:color w:val="auto"/>
          <w:spacing w:val="-4"/>
          <w:sz w:val="24"/>
          <w:szCs w:val="24"/>
          <w:highlight w:val="none"/>
        </w:rPr>
        <w:t>）投标文件的商务评审。</w:t>
      </w:r>
    </w:p>
    <w:p w14:paraId="683C06B6">
      <w:pPr>
        <w:spacing w:before="180" w:line="290" w:lineRule="auto"/>
        <w:ind w:left="7" w:right="7" w:firstLine="51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）必要时对投标文件中的问题进行询标，拟作出否决投标决定前，应对相关</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5"/>
          <w:sz w:val="24"/>
          <w:szCs w:val="24"/>
          <w:highlight w:val="none"/>
        </w:rPr>
        <w:t>投标人进行询问核实。</w:t>
      </w:r>
    </w:p>
    <w:p w14:paraId="24DCA07B">
      <w:pPr>
        <w:spacing w:before="181" w:line="219"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6</w:t>
      </w:r>
      <w:r>
        <w:rPr>
          <w:rFonts w:ascii="宋体" w:hAnsi="宋体" w:eastAsia="宋体" w:cs="宋体"/>
          <w:strike/>
          <w:dstrike w:val="0"/>
          <w:color w:val="auto"/>
          <w:spacing w:val="-5"/>
          <w:sz w:val="24"/>
          <w:szCs w:val="24"/>
          <w:highlight w:val="none"/>
        </w:rPr>
        <w:t>）推荐中标候选人。</w:t>
      </w:r>
    </w:p>
    <w:p w14:paraId="2B6DF736">
      <w:pPr>
        <w:spacing w:before="182"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7</w:t>
      </w:r>
      <w:r>
        <w:rPr>
          <w:rFonts w:ascii="宋体" w:hAnsi="宋体" w:eastAsia="宋体" w:cs="宋体"/>
          <w:strike/>
          <w:dstrike w:val="0"/>
          <w:color w:val="auto"/>
          <w:spacing w:val="-5"/>
          <w:sz w:val="24"/>
          <w:szCs w:val="24"/>
          <w:highlight w:val="none"/>
        </w:rPr>
        <w:t>）完成评标报告。</w:t>
      </w:r>
    </w:p>
    <w:p w14:paraId="6959BC97">
      <w:pPr>
        <w:spacing w:before="183" w:line="223" w:lineRule="auto"/>
        <w:ind w:left="1"/>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4.2  </w:t>
      </w:r>
      <w:r>
        <w:rPr>
          <w:rFonts w:ascii="楷体" w:hAnsi="楷体" w:eastAsia="楷体" w:cs="楷体"/>
          <w:b/>
          <w:bCs/>
          <w:strike/>
          <w:dstrike w:val="0"/>
          <w:color w:val="auto"/>
          <w:spacing w:val="-2"/>
          <w:sz w:val="24"/>
          <w:szCs w:val="24"/>
          <w:highlight w:val="none"/>
        </w:rPr>
        <w:t>投标文件的符合性审查</w:t>
      </w:r>
    </w:p>
    <w:p w14:paraId="199C56C4">
      <w:pPr>
        <w:spacing w:before="177" w:line="220" w:lineRule="auto"/>
        <w:ind w:left="541"/>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4.2.1  </w:t>
      </w:r>
      <w:r>
        <w:rPr>
          <w:rFonts w:ascii="宋体" w:hAnsi="宋体" w:eastAsia="宋体" w:cs="宋体"/>
          <w:b/>
          <w:bCs/>
          <w:strike/>
          <w:dstrike w:val="0"/>
          <w:color w:val="auto"/>
          <w:spacing w:val="-2"/>
          <w:sz w:val="24"/>
          <w:szCs w:val="24"/>
          <w:highlight w:val="none"/>
        </w:rPr>
        <w:t>投标文件的符合性审查</w:t>
      </w:r>
    </w:p>
    <w:p w14:paraId="3020165F">
      <w:pPr>
        <w:spacing w:before="182" w:line="360" w:lineRule="auto"/>
        <w:ind w:left="6" w:firstLine="47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评标委员会应依照招标文件的要求和规定，首先对投标报价最低的投标文件进行</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5"/>
          <w:sz w:val="24"/>
          <w:szCs w:val="24"/>
          <w:highlight w:val="none"/>
        </w:rPr>
        <w:t>符合性审查。当最低投标报价有多份投标文件时，</w:t>
      </w:r>
      <w:r>
        <w:rPr>
          <w:rFonts w:ascii="宋体" w:hAnsi="宋体" w:eastAsia="宋体" w:cs="宋体"/>
          <w:strike/>
          <w:dstrike w:val="0"/>
          <w:color w:val="auto"/>
          <w:spacing w:val="-39"/>
          <w:sz w:val="24"/>
          <w:szCs w:val="24"/>
          <w:highlight w:val="none"/>
        </w:rPr>
        <w:t xml:space="preserve"> </w:t>
      </w:r>
      <w:r>
        <w:rPr>
          <w:rFonts w:ascii="宋体" w:hAnsi="宋体" w:eastAsia="宋体" w:cs="宋体"/>
          <w:strike/>
          <w:dstrike w:val="0"/>
          <w:color w:val="auto"/>
          <w:spacing w:val="-5"/>
          <w:sz w:val="24"/>
          <w:szCs w:val="24"/>
          <w:highlight w:val="none"/>
        </w:rPr>
        <w:t>最低投标报价的所有投标文件均进</w:t>
      </w:r>
    </w:p>
    <w:p w14:paraId="11305962">
      <w:pPr>
        <w:spacing w:line="360" w:lineRule="auto"/>
        <w:rPr>
          <w:rFonts w:ascii="宋体" w:hAnsi="宋体" w:eastAsia="宋体" w:cs="宋体"/>
          <w:strike/>
          <w:dstrike w:val="0"/>
          <w:color w:val="auto"/>
          <w:sz w:val="24"/>
          <w:szCs w:val="24"/>
          <w:highlight w:val="none"/>
        </w:rPr>
        <w:sectPr>
          <w:footerReference r:id="rId78" w:type="default"/>
          <w:pgSz w:w="11905" w:h="16840"/>
          <w:pgMar w:top="400" w:right="1528" w:bottom="1255" w:left="1592" w:header="0" w:footer="1093" w:gutter="0"/>
          <w:pgNumType w:fmt="decimal"/>
          <w:cols w:space="720" w:num="1"/>
        </w:sectPr>
      </w:pPr>
    </w:p>
    <w:p w14:paraId="4ECB7DAB">
      <w:pPr>
        <w:pStyle w:val="8"/>
        <w:spacing w:line="248" w:lineRule="auto"/>
        <w:rPr>
          <w:strike/>
          <w:dstrike w:val="0"/>
          <w:color w:val="auto"/>
          <w:highlight w:val="none"/>
        </w:rPr>
      </w:pPr>
    </w:p>
    <w:p w14:paraId="70981592">
      <w:pPr>
        <w:pStyle w:val="8"/>
        <w:spacing w:line="248" w:lineRule="auto"/>
        <w:rPr>
          <w:strike/>
          <w:dstrike w:val="0"/>
          <w:color w:val="auto"/>
          <w:highlight w:val="none"/>
        </w:rPr>
      </w:pPr>
    </w:p>
    <w:p w14:paraId="01C3C6B0">
      <w:pPr>
        <w:pStyle w:val="8"/>
        <w:spacing w:line="248" w:lineRule="auto"/>
        <w:rPr>
          <w:strike/>
          <w:dstrike w:val="0"/>
          <w:color w:val="auto"/>
          <w:highlight w:val="none"/>
        </w:rPr>
      </w:pPr>
    </w:p>
    <w:p w14:paraId="1B16650E">
      <w:pPr>
        <w:pStyle w:val="8"/>
        <w:spacing w:line="248" w:lineRule="auto"/>
        <w:rPr>
          <w:strike/>
          <w:dstrike w:val="0"/>
          <w:color w:val="auto"/>
          <w:highlight w:val="none"/>
        </w:rPr>
      </w:pPr>
    </w:p>
    <w:p w14:paraId="3DBF3376">
      <w:pPr>
        <w:spacing w:before="78" w:line="359" w:lineRule="auto"/>
        <w:ind w:left="2" w:right="1" w:hanging="2"/>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入符合性评审（以下程序中出现类似情况时照此进行）。符合性审查包括三个方面内</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3"/>
          <w:sz w:val="24"/>
          <w:szCs w:val="24"/>
          <w:highlight w:val="none"/>
        </w:rPr>
        <w:t>容：投标人资格审查、投标文件实质性格式要求响应性审查、投标文件实质性内容要</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2"/>
          <w:sz w:val="24"/>
          <w:szCs w:val="24"/>
          <w:highlight w:val="none"/>
        </w:rPr>
        <w:t>求响应性审查。符合性审查未通过的投标文件不再进入后续评审。</w:t>
      </w:r>
    </w:p>
    <w:p w14:paraId="0829CBCF">
      <w:pPr>
        <w:spacing w:line="359" w:lineRule="auto"/>
        <w:ind w:left="1" w:firstLine="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投标人不得通过补充、修改或撤销投标文件中的内容使其成为实质性响</w:t>
      </w:r>
      <w:r>
        <w:rPr>
          <w:rFonts w:ascii="宋体" w:hAnsi="宋体" w:eastAsia="宋体" w:cs="宋体"/>
          <w:strike/>
          <w:dstrike w:val="0"/>
          <w:color w:val="auto"/>
          <w:spacing w:val="1"/>
          <w:sz w:val="24"/>
          <w:szCs w:val="24"/>
          <w:highlight w:val="none"/>
        </w:rPr>
        <w:t>应的投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标。投标人在投标截止以后不得提交任何资料作为评标依据。</w:t>
      </w:r>
    </w:p>
    <w:p w14:paraId="4ECB314B">
      <w:pPr>
        <w:spacing w:before="1" w:line="359" w:lineRule="auto"/>
        <w:ind w:left="4" w:firstLine="53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投标文件如存在以下列情况之一的，由评标委员会全体成员按照少数服从多数</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3"/>
          <w:sz w:val="24"/>
          <w:szCs w:val="24"/>
          <w:highlight w:val="none"/>
        </w:rPr>
        <w:t>的原则记名投票（不得弃权）认定，作为符合性审查未通过予以否决其投标，不再进</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7"/>
          <w:sz w:val="24"/>
          <w:szCs w:val="24"/>
          <w:highlight w:val="none"/>
        </w:rPr>
        <w:t>行技术和商务的评审：</w:t>
      </w:r>
    </w:p>
    <w:p w14:paraId="2F5CAC71">
      <w:pPr>
        <w:spacing w:line="219" w:lineRule="auto"/>
        <w:ind w:left="56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21"/>
          <w:sz w:val="24"/>
          <w:szCs w:val="24"/>
          <w:highlight w:val="none"/>
        </w:rPr>
        <w:t xml:space="preserve"> </w:t>
      </w:r>
      <w:r>
        <w:rPr>
          <w:rFonts w:ascii="宋体" w:hAnsi="宋体" w:eastAsia="宋体" w:cs="宋体"/>
          <w:strike/>
          <w:dstrike w:val="0"/>
          <w:color w:val="auto"/>
          <w:spacing w:val="-7"/>
          <w:sz w:val="24"/>
          <w:szCs w:val="24"/>
          <w:highlight w:val="none"/>
        </w:rPr>
        <w:t>．技术标符合性审查未通过的情形：</w:t>
      </w:r>
    </w:p>
    <w:p w14:paraId="33B7F083">
      <w:pPr>
        <w:spacing w:before="181" w:line="289" w:lineRule="auto"/>
        <w:ind w:right="11"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37528722">
      <w:pPr>
        <w:spacing w:before="182" w:line="289" w:lineRule="auto"/>
        <w:ind w:left="20" w:right="18" w:firstLine="53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）投标人法定代表人授权委托代理人签署投标文件，未提供有</w:t>
      </w:r>
      <w:r>
        <w:rPr>
          <w:rFonts w:ascii="宋体" w:hAnsi="宋体" w:eastAsia="宋体" w:cs="宋体"/>
          <w:strike/>
          <w:dstrike w:val="0"/>
          <w:color w:val="auto"/>
          <w:spacing w:val="-3"/>
          <w:sz w:val="24"/>
          <w:szCs w:val="24"/>
          <w:highlight w:val="none"/>
        </w:rPr>
        <w:t>效授权委托书</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的或投标人法定代表人亲自签署投标文件，未提供法定代表人身份证明的。</w:t>
      </w:r>
    </w:p>
    <w:p w14:paraId="0A5C5C08">
      <w:pPr>
        <w:spacing w:before="182" w:line="219" w:lineRule="auto"/>
        <w:ind w:left="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3BE9FC13">
      <w:pPr>
        <w:spacing w:before="182" w:line="289" w:lineRule="auto"/>
        <w:ind w:left="19" w:right="14" w:firstLine="53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）投标人的投标资格不满足招标文件载明的强制性要求的（以投标人</w:t>
      </w:r>
      <w:r>
        <w:rPr>
          <w:rFonts w:ascii="宋体" w:hAnsi="宋体" w:eastAsia="宋体" w:cs="宋体"/>
          <w:strike/>
          <w:dstrike w:val="0"/>
          <w:color w:val="auto"/>
          <w:spacing w:val="-3"/>
          <w:sz w:val="24"/>
          <w:szCs w:val="24"/>
          <w:highlight w:val="none"/>
        </w:rPr>
        <w:t>须知前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款实质性响应招标文件资料为准</w:t>
      </w:r>
      <w:r>
        <w:rPr>
          <w:rFonts w:ascii="宋体" w:hAnsi="宋体" w:eastAsia="宋体" w:cs="宋体"/>
          <w:strike/>
          <w:dstrike w:val="0"/>
          <w:color w:val="auto"/>
          <w:spacing w:val="1"/>
          <w:sz w:val="24"/>
          <w:szCs w:val="24"/>
          <w:highlight w:val="none"/>
        </w:rPr>
        <w:t>），</w:t>
      </w:r>
      <w:r>
        <w:rPr>
          <w:rFonts w:ascii="宋体" w:hAnsi="宋体" w:eastAsia="宋体" w:cs="宋体"/>
          <w:strike/>
          <w:dstrike w:val="0"/>
          <w:color w:val="auto"/>
          <w:spacing w:val="-2"/>
          <w:sz w:val="24"/>
          <w:szCs w:val="24"/>
          <w:highlight w:val="none"/>
        </w:rPr>
        <w:t>或不满足国家有关规定的。</w:t>
      </w:r>
    </w:p>
    <w:p w14:paraId="6C30E6F8">
      <w:pPr>
        <w:spacing w:before="182" w:line="289" w:lineRule="auto"/>
        <w:ind w:left="1" w:right="12"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513BA3AB">
      <w:pPr>
        <w:spacing w:before="183" w:line="289" w:lineRule="auto"/>
        <w:ind w:right="1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）同一投标人提交两个以上不同的投标文件且未声明哪一个有效的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16BEDCCF">
      <w:pPr>
        <w:spacing w:before="181" w:line="290" w:lineRule="auto"/>
        <w:ind w:left="1" w:right="10"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7</w:t>
      </w:r>
      <w:r>
        <w:rPr>
          <w:rFonts w:ascii="宋体" w:hAnsi="宋体" w:eastAsia="宋体" w:cs="宋体"/>
          <w:strike/>
          <w:dstrike w:val="0"/>
          <w:color w:val="auto"/>
          <w:spacing w:val="-2"/>
          <w:sz w:val="24"/>
          <w:szCs w:val="24"/>
          <w:highlight w:val="none"/>
        </w:rPr>
        <w:t>）投标人不以自己的名义或未按招标文件要求提供投标保证金或提供的投标</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保证金有缺陷而不能接受的。</w:t>
      </w:r>
    </w:p>
    <w:p w14:paraId="2EB2A77D">
      <w:pPr>
        <w:spacing w:before="180" w:line="290" w:lineRule="auto"/>
        <w:ind w:left="4" w:firstLine="55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8</w:t>
      </w:r>
      <w:r>
        <w:rPr>
          <w:rFonts w:ascii="宋体" w:hAnsi="宋体" w:eastAsia="宋体" w:cs="宋体"/>
          <w:strike/>
          <w:dstrike w:val="0"/>
          <w:color w:val="auto"/>
          <w:spacing w:val="-7"/>
          <w:sz w:val="24"/>
          <w:szCs w:val="24"/>
          <w:highlight w:val="none"/>
        </w:rPr>
        <w:t>）投标工期和质量不满足招标文件要求的（以投标人须知前附表第</w:t>
      </w:r>
      <w:r>
        <w:rPr>
          <w:rFonts w:ascii="Times New Roman" w:hAnsi="Times New Roman" w:eastAsia="Times New Roman" w:cs="Times New Roman"/>
          <w:strike/>
          <w:dstrike w:val="0"/>
          <w:color w:val="auto"/>
          <w:spacing w:val="-7"/>
          <w:sz w:val="24"/>
          <w:szCs w:val="24"/>
          <w:highlight w:val="none"/>
        </w:rPr>
        <w:t>1.3.2</w:t>
      </w: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8"/>
          <w:sz w:val="24"/>
          <w:szCs w:val="24"/>
          <w:highlight w:val="none"/>
        </w:rPr>
        <w:t>.3.3</w:t>
      </w:r>
      <w:r>
        <w:rPr>
          <w:rFonts w:ascii="Times New Roman" w:hAnsi="Times New Roman" w:eastAsia="Times New Roman" w:cs="Times New Roman"/>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项为准）。</w:t>
      </w:r>
    </w:p>
    <w:p w14:paraId="17755811">
      <w:pPr>
        <w:spacing w:before="180" w:line="290" w:lineRule="auto"/>
        <w:ind w:left="1" w:right="1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9</w:t>
      </w:r>
      <w:r>
        <w:rPr>
          <w:rFonts w:ascii="宋体" w:hAnsi="宋体" w:eastAsia="宋体" w:cs="宋体"/>
          <w:strike/>
          <w:dstrike w:val="0"/>
          <w:color w:val="auto"/>
          <w:spacing w:val="-2"/>
          <w:sz w:val="24"/>
          <w:szCs w:val="24"/>
          <w:highlight w:val="none"/>
        </w:rPr>
        <w:t>）采用的验收标准或主要技术指标达不到国家强制性标准或招标文件以下条</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1"/>
          <w:sz w:val="24"/>
          <w:szCs w:val="24"/>
          <w:highlight w:val="none"/>
        </w:rPr>
        <w:t>款规定的：</w:t>
      </w:r>
    </w:p>
    <w:p w14:paraId="4ABBD2C4">
      <w:pPr>
        <w:spacing w:before="181" w:line="213" w:lineRule="auto"/>
        <w:ind w:left="590"/>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17"/>
          <w:sz w:val="25"/>
          <w:szCs w:val="25"/>
          <w:highlight w:val="none"/>
        </w:rPr>
        <w:t>……</w:t>
      </w:r>
      <w:r>
        <w:rPr>
          <w:rFonts w:ascii="宋体" w:hAnsi="宋体" w:eastAsia="宋体" w:cs="宋体"/>
          <w:strike/>
          <w:dstrike w:val="0"/>
          <w:color w:val="auto"/>
          <w:spacing w:val="-57"/>
          <w:sz w:val="25"/>
          <w:szCs w:val="25"/>
          <w:highlight w:val="none"/>
        </w:rPr>
        <w:t xml:space="preserve"> </w:t>
      </w:r>
      <w:r>
        <w:rPr>
          <w:rFonts w:ascii="宋体" w:hAnsi="宋体" w:eastAsia="宋体" w:cs="宋体"/>
          <w:i/>
          <w:iCs/>
          <w:strike/>
          <w:dstrike w:val="0"/>
          <w:color w:val="auto"/>
          <w:spacing w:val="-17"/>
          <w:sz w:val="25"/>
          <w:szCs w:val="25"/>
          <w:highlight w:val="none"/>
        </w:rPr>
        <w:t>（由招标人自行扩充，如无，请填“无”）</w:t>
      </w:r>
    </w:p>
    <w:p w14:paraId="15AFA631">
      <w:pPr>
        <w:spacing w:before="178" w:line="290" w:lineRule="auto"/>
        <w:ind w:left="1" w:right="1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10</w:t>
      </w:r>
      <w:r>
        <w:rPr>
          <w:rFonts w:ascii="宋体" w:hAnsi="宋体" w:eastAsia="宋体" w:cs="宋体"/>
          <w:strike/>
          <w:dstrike w:val="0"/>
          <w:color w:val="auto"/>
          <w:spacing w:val="1"/>
          <w:sz w:val="24"/>
          <w:szCs w:val="24"/>
          <w:highlight w:val="none"/>
        </w:rPr>
        <w:t>）采用的施工工艺、方法或质量安全管理措施不能满足国家强制性标准或</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9"/>
          <w:sz w:val="24"/>
          <w:szCs w:val="24"/>
          <w:highlight w:val="none"/>
        </w:rPr>
        <w:t>要求的。</w:t>
      </w:r>
    </w:p>
    <w:p w14:paraId="11AF610A">
      <w:pPr>
        <w:spacing w:before="179" w:line="220" w:lineRule="auto"/>
        <w:ind w:right="1"/>
        <w:jc w:val="right"/>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11</w:t>
      </w:r>
      <w:r>
        <w:rPr>
          <w:rFonts w:ascii="宋体" w:hAnsi="宋体" w:eastAsia="宋体" w:cs="宋体"/>
          <w:strike/>
          <w:dstrike w:val="0"/>
          <w:color w:val="auto"/>
          <w:spacing w:val="-4"/>
          <w:sz w:val="24"/>
          <w:szCs w:val="24"/>
          <w:highlight w:val="none"/>
        </w:rPr>
        <w:t>）投标人存在投标人须知第“</w:t>
      </w:r>
      <w:r>
        <w:rPr>
          <w:rFonts w:ascii="Times New Roman" w:hAnsi="Times New Roman" w:eastAsia="Times New Roman" w:cs="Times New Roman"/>
          <w:strike/>
          <w:dstrike w:val="0"/>
          <w:color w:val="auto"/>
          <w:spacing w:val="-4"/>
          <w:sz w:val="24"/>
          <w:szCs w:val="24"/>
          <w:highlight w:val="none"/>
        </w:rPr>
        <w:t xml:space="preserve">1.4.3  </w:t>
      </w:r>
      <w:r>
        <w:rPr>
          <w:rFonts w:ascii="宋体" w:hAnsi="宋体" w:eastAsia="宋体" w:cs="宋体"/>
          <w:strike/>
          <w:dstrike w:val="0"/>
          <w:color w:val="auto"/>
          <w:spacing w:val="-4"/>
          <w:sz w:val="24"/>
          <w:szCs w:val="24"/>
          <w:highlight w:val="none"/>
        </w:rPr>
        <w:t>投标人不得存在下列情形之一</w:t>
      </w:r>
      <w:r>
        <w:rPr>
          <w:rFonts w:ascii="Times New Roman" w:hAnsi="Times New Roman" w:eastAsia="Times New Roman" w:cs="Times New Roman"/>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项或</w:t>
      </w:r>
      <w:r>
        <w:rPr>
          <w:rFonts w:ascii="宋体" w:hAnsi="宋体" w:eastAsia="宋体" w:cs="宋体"/>
          <w:strike/>
          <w:dstrike w:val="0"/>
          <w:color w:val="auto"/>
          <w:spacing w:val="-5"/>
          <w:sz w:val="24"/>
          <w:szCs w:val="24"/>
          <w:highlight w:val="none"/>
        </w:rPr>
        <w:t>投标</w:t>
      </w:r>
    </w:p>
    <w:p w14:paraId="74AF9CCC">
      <w:pPr>
        <w:spacing w:line="220" w:lineRule="auto"/>
        <w:rPr>
          <w:rFonts w:ascii="宋体" w:hAnsi="宋体" w:eastAsia="宋体" w:cs="宋体"/>
          <w:strike/>
          <w:dstrike w:val="0"/>
          <w:color w:val="auto"/>
          <w:sz w:val="24"/>
          <w:szCs w:val="24"/>
          <w:highlight w:val="none"/>
        </w:rPr>
        <w:sectPr>
          <w:footerReference r:id="rId79" w:type="default"/>
          <w:pgSz w:w="11905" w:h="16840"/>
          <w:pgMar w:top="400" w:right="1527" w:bottom="1255" w:left="1596" w:header="0" w:footer="1093" w:gutter="0"/>
          <w:pgNumType w:fmt="decimal"/>
          <w:cols w:space="720" w:num="1"/>
        </w:sectPr>
      </w:pPr>
    </w:p>
    <w:p w14:paraId="5DB2F5D4">
      <w:pPr>
        <w:pStyle w:val="8"/>
        <w:spacing w:line="247" w:lineRule="auto"/>
        <w:rPr>
          <w:strike/>
          <w:dstrike w:val="0"/>
          <w:color w:val="auto"/>
          <w:highlight w:val="none"/>
        </w:rPr>
      </w:pPr>
    </w:p>
    <w:p w14:paraId="431736F4">
      <w:pPr>
        <w:pStyle w:val="8"/>
        <w:spacing w:line="248" w:lineRule="auto"/>
        <w:rPr>
          <w:strike/>
          <w:dstrike w:val="0"/>
          <w:color w:val="auto"/>
          <w:highlight w:val="none"/>
        </w:rPr>
      </w:pPr>
    </w:p>
    <w:p w14:paraId="48E5200D">
      <w:pPr>
        <w:pStyle w:val="8"/>
        <w:spacing w:line="248" w:lineRule="auto"/>
        <w:rPr>
          <w:strike/>
          <w:dstrike w:val="0"/>
          <w:color w:val="auto"/>
          <w:highlight w:val="none"/>
        </w:rPr>
      </w:pPr>
    </w:p>
    <w:p w14:paraId="2590F01D">
      <w:pPr>
        <w:pStyle w:val="8"/>
        <w:spacing w:line="248" w:lineRule="auto"/>
        <w:rPr>
          <w:strike/>
          <w:dstrike w:val="0"/>
          <w:color w:val="auto"/>
          <w:highlight w:val="none"/>
        </w:rPr>
      </w:pPr>
    </w:p>
    <w:p w14:paraId="1F4E6CB7">
      <w:pPr>
        <w:spacing w:before="78" w:line="220" w:lineRule="auto"/>
        <w:ind w:left="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w:t>
      </w:r>
      <w:r>
        <w:rPr>
          <w:rFonts w:ascii="宋体" w:hAnsi="宋体" w:eastAsia="宋体" w:cs="宋体"/>
          <w:strike/>
          <w:dstrike w:val="0"/>
          <w:color w:val="auto"/>
          <w:spacing w:val="-2"/>
          <w:sz w:val="24"/>
          <w:szCs w:val="24"/>
          <w:highlight w:val="none"/>
        </w:rPr>
        <w:t>的。</w:t>
      </w:r>
    </w:p>
    <w:p w14:paraId="7C601525">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12</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86"/>
          <w:sz w:val="24"/>
          <w:szCs w:val="24"/>
          <w:highlight w:val="none"/>
        </w:rPr>
        <w:t xml:space="preserve"> </w:t>
      </w:r>
      <w:r>
        <w:rPr>
          <w:rFonts w:ascii="Times New Roman" w:hAnsi="Times New Roman" w:eastAsia="Times New Roman" w:cs="Times New Roman"/>
          <w:i/>
          <w:iCs/>
          <w:strike/>
          <w:dstrike w:val="0"/>
          <w:color w:val="auto"/>
          <w:spacing w:val="-12"/>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45BA01B9">
      <w:pPr>
        <w:spacing w:before="178"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13</w:t>
      </w:r>
      <w:r>
        <w:rPr>
          <w:rFonts w:ascii="宋体" w:hAnsi="宋体" w:eastAsia="宋体" w:cs="宋体"/>
          <w:strike/>
          <w:dstrike w:val="0"/>
          <w:color w:val="auto"/>
          <w:spacing w:val="-2"/>
          <w:sz w:val="24"/>
          <w:szCs w:val="24"/>
          <w:highlight w:val="none"/>
        </w:rPr>
        <w:t>）存在法律、法规、规章规定的其他无效投标情况的。</w:t>
      </w:r>
    </w:p>
    <w:p w14:paraId="0FD49D2C">
      <w:pPr>
        <w:spacing w:before="181" w:line="220" w:lineRule="auto"/>
        <w:ind w:left="548"/>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2</w:t>
      </w:r>
      <w:r>
        <w:rPr>
          <w:rFonts w:ascii="Times New Roman" w:hAnsi="Times New Roman" w:eastAsia="Times New Roman" w:cs="Times New Roman"/>
          <w:strike/>
          <w:dstrike w:val="0"/>
          <w:color w:val="auto"/>
          <w:spacing w:val="-15"/>
          <w:sz w:val="24"/>
          <w:szCs w:val="24"/>
          <w:highlight w:val="none"/>
        </w:rPr>
        <w:t xml:space="preserve"> </w:t>
      </w:r>
      <w:r>
        <w:rPr>
          <w:rFonts w:ascii="宋体" w:hAnsi="宋体" w:eastAsia="宋体" w:cs="宋体"/>
          <w:strike/>
          <w:dstrike w:val="0"/>
          <w:color w:val="auto"/>
          <w:spacing w:val="-6"/>
          <w:sz w:val="24"/>
          <w:szCs w:val="24"/>
          <w:highlight w:val="none"/>
        </w:rPr>
        <w:t>．商务标符合性审查未通过的情形：</w:t>
      </w:r>
    </w:p>
    <w:p w14:paraId="2EC4664F">
      <w:pPr>
        <w:spacing w:before="181" w:line="289" w:lineRule="auto"/>
        <w:ind w:left="2" w:right="95"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4D303B8A">
      <w:pPr>
        <w:spacing w:before="183" w:line="289" w:lineRule="auto"/>
        <w:ind w:left="2" w:right="99"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）同一投标人提交两个以上不同的投标报价且未声明哪一个有效的</w:t>
      </w:r>
      <w:r>
        <w:rPr>
          <w:rFonts w:ascii="宋体" w:hAnsi="宋体" w:eastAsia="宋体" w:cs="宋体"/>
          <w:strike/>
          <w:dstrike w:val="0"/>
          <w:color w:val="auto"/>
          <w:spacing w:val="-3"/>
          <w:sz w:val="24"/>
          <w:szCs w:val="24"/>
          <w:highlight w:val="none"/>
        </w:rPr>
        <w:t>（招标文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件要求提交备选投标的除外）。</w:t>
      </w:r>
    </w:p>
    <w:p w14:paraId="2AA60C00">
      <w:pPr>
        <w:spacing w:before="183" w:line="289" w:lineRule="auto"/>
        <w:ind w:left="2" w:right="86"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）投标函载明的投标工期和质量不满足招标文件要求的</w:t>
      </w:r>
      <w:r>
        <w:rPr>
          <w:rFonts w:ascii="Times New Roman" w:hAnsi="Times New Roman" w:eastAsia="Times New Roman" w:cs="Times New Roman"/>
          <w:strike/>
          <w:dstrike w:val="0"/>
          <w:color w:val="auto"/>
          <w:spacing w:val="3"/>
          <w:sz w:val="24"/>
          <w:szCs w:val="24"/>
          <w:highlight w:val="none"/>
        </w:rPr>
        <w:t>(</w:t>
      </w:r>
      <w:r>
        <w:rPr>
          <w:rFonts w:ascii="宋体" w:hAnsi="宋体" w:eastAsia="宋体" w:cs="宋体"/>
          <w:strike/>
          <w:dstrike w:val="0"/>
          <w:color w:val="auto"/>
          <w:spacing w:val="3"/>
          <w:sz w:val="24"/>
          <w:szCs w:val="24"/>
          <w:highlight w:val="none"/>
        </w:rPr>
        <w:t>以投标</w:t>
      </w:r>
      <w:r>
        <w:rPr>
          <w:rFonts w:ascii="宋体" w:hAnsi="宋体" w:eastAsia="宋体" w:cs="宋体"/>
          <w:strike/>
          <w:dstrike w:val="0"/>
          <w:color w:val="auto"/>
          <w:spacing w:val="2"/>
          <w:sz w:val="24"/>
          <w:szCs w:val="24"/>
          <w:highlight w:val="none"/>
        </w:rPr>
        <w:t>人须知前附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表第</w:t>
      </w:r>
      <w:r>
        <w:rPr>
          <w:rFonts w:ascii="Times New Roman" w:hAnsi="Times New Roman" w:eastAsia="Times New Roman" w:cs="Times New Roman"/>
          <w:strike/>
          <w:dstrike w:val="0"/>
          <w:color w:val="auto"/>
          <w:spacing w:val="-4"/>
          <w:sz w:val="24"/>
          <w:szCs w:val="24"/>
          <w:highlight w:val="none"/>
        </w:rPr>
        <w:t>1.3.2</w:t>
      </w:r>
      <w:r>
        <w:rPr>
          <w:rFonts w:ascii="Times New Roman" w:hAnsi="Times New Roman" w:eastAsia="Times New Roman" w:cs="Times New Roman"/>
          <w:strike/>
          <w:dstrike w:val="0"/>
          <w:color w:val="auto"/>
          <w:spacing w:val="-26"/>
          <w:sz w:val="24"/>
          <w:szCs w:val="24"/>
          <w:highlight w:val="none"/>
        </w:rPr>
        <w:t xml:space="preserve"> </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1.3.3</w:t>
      </w:r>
      <w:r>
        <w:rPr>
          <w:rFonts w:ascii="宋体" w:hAnsi="宋体" w:eastAsia="宋体" w:cs="宋体"/>
          <w:strike/>
          <w:dstrike w:val="0"/>
          <w:color w:val="auto"/>
          <w:spacing w:val="-4"/>
          <w:sz w:val="24"/>
          <w:szCs w:val="24"/>
          <w:highlight w:val="none"/>
        </w:rPr>
        <w:t>项为准）。</w:t>
      </w:r>
    </w:p>
    <w:p w14:paraId="713853BA">
      <w:pPr>
        <w:spacing w:before="182"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）投标报价高于招标文件设定的最高限价的或分项限价的。</w:t>
      </w:r>
    </w:p>
    <w:p w14:paraId="7E813617">
      <w:pPr>
        <w:spacing w:before="181" w:line="313" w:lineRule="auto"/>
        <w:ind w:left="3" w:firstLine="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）改变招标人提供的工程量清单中的项目编码、项目名</w:t>
      </w:r>
      <w:r>
        <w:rPr>
          <w:rFonts w:ascii="宋体" w:hAnsi="宋体" w:eastAsia="宋体" w:cs="宋体"/>
          <w:strike/>
          <w:dstrike w:val="0"/>
          <w:color w:val="auto"/>
          <w:sz w:val="24"/>
          <w:szCs w:val="24"/>
          <w:highlight w:val="none"/>
        </w:rPr>
        <w:t xml:space="preserve">称、项目主要特征、 </w:t>
      </w:r>
      <w:r>
        <w:rPr>
          <w:rFonts w:ascii="宋体" w:hAnsi="宋体" w:eastAsia="宋体" w:cs="宋体"/>
          <w:strike/>
          <w:dstrike w:val="0"/>
          <w:color w:val="auto"/>
          <w:spacing w:val="-3"/>
          <w:sz w:val="24"/>
          <w:szCs w:val="24"/>
          <w:highlight w:val="none"/>
        </w:rPr>
        <w:t>计量单位、工程数量、主要技术条款编码、金额等内容的（但按照国家规范所作的修</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改和招标文件规定的除外）。</w:t>
      </w:r>
    </w:p>
    <w:p w14:paraId="10650FF1">
      <w:pPr>
        <w:spacing w:before="181" w:line="220"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）投标人存在投标人须知</w:t>
      </w:r>
      <w:r>
        <w:rPr>
          <w:rFonts w:ascii="Times New Roman" w:hAnsi="Times New Roman" w:eastAsia="Times New Roman" w:cs="Times New Roman"/>
          <w:strike/>
          <w:dstrike w:val="0"/>
          <w:color w:val="auto"/>
          <w:spacing w:val="-1"/>
          <w:sz w:val="24"/>
          <w:szCs w:val="24"/>
          <w:highlight w:val="none"/>
        </w:rPr>
        <w:t xml:space="preserve">“9.2  </w:t>
      </w:r>
      <w:r>
        <w:rPr>
          <w:rFonts w:ascii="宋体" w:hAnsi="宋体" w:eastAsia="宋体" w:cs="宋体"/>
          <w:strike/>
          <w:dstrike w:val="0"/>
          <w:color w:val="auto"/>
          <w:spacing w:val="-1"/>
          <w:sz w:val="24"/>
          <w:szCs w:val="24"/>
          <w:highlight w:val="none"/>
        </w:rPr>
        <w:t>对投标人的纪律要求</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项规定情形之一的。</w:t>
      </w:r>
    </w:p>
    <w:p w14:paraId="072BCD7A">
      <w:pPr>
        <w:spacing w:before="181"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7</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40A264B6">
      <w:pPr>
        <w:spacing w:before="178"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）存在法律、法规、规章规定的其他无效投标情况的。</w:t>
      </w:r>
    </w:p>
    <w:p w14:paraId="33530035">
      <w:pPr>
        <w:spacing w:before="183" w:line="359" w:lineRule="auto"/>
        <w:ind w:left="15" w:right="86" w:firstLine="54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当出现否决投标时，评标委员会按上述办法对投标报价由低到</w:t>
      </w:r>
      <w:r>
        <w:rPr>
          <w:rFonts w:ascii="宋体" w:hAnsi="宋体" w:eastAsia="宋体" w:cs="宋体"/>
          <w:strike/>
          <w:dstrike w:val="0"/>
          <w:color w:val="auto"/>
          <w:spacing w:val="1"/>
          <w:sz w:val="24"/>
          <w:szCs w:val="24"/>
          <w:highlight w:val="none"/>
        </w:rPr>
        <w:t>高的顺序依次评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审下一个投标文件，直至通过符合性审查进入下一轮评审。</w:t>
      </w:r>
    </w:p>
    <w:p w14:paraId="116D8268">
      <w:pPr>
        <w:spacing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  </w:t>
      </w:r>
      <w:r>
        <w:rPr>
          <w:rFonts w:ascii="楷体" w:hAnsi="楷体" w:eastAsia="楷体" w:cs="楷体"/>
          <w:b/>
          <w:bCs/>
          <w:strike/>
          <w:dstrike w:val="0"/>
          <w:color w:val="auto"/>
          <w:spacing w:val="-2"/>
          <w:sz w:val="24"/>
          <w:szCs w:val="24"/>
          <w:highlight w:val="none"/>
        </w:rPr>
        <w:t>投标文件的技术评审</w:t>
      </w:r>
    </w:p>
    <w:p w14:paraId="009D8A8D">
      <w:pPr>
        <w:spacing w:before="178" w:line="289" w:lineRule="auto"/>
        <w:ind w:left="3" w:right="84" w:firstLine="54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4.3.1  </w:t>
      </w:r>
      <w:r>
        <w:rPr>
          <w:rFonts w:ascii="宋体" w:hAnsi="宋体" w:eastAsia="宋体" w:cs="宋体"/>
          <w:strike/>
          <w:dstrike w:val="0"/>
          <w:color w:val="auto"/>
          <w:spacing w:val="-1"/>
          <w:sz w:val="24"/>
          <w:szCs w:val="24"/>
          <w:highlight w:val="none"/>
        </w:rPr>
        <w:t>评标委员会应对通过符合性审查的投标文件进行技术评</w:t>
      </w:r>
      <w:r>
        <w:rPr>
          <w:rFonts w:ascii="宋体" w:hAnsi="宋体" w:eastAsia="宋体" w:cs="宋体"/>
          <w:strike/>
          <w:dstrike w:val="0"/>
          <w:color w:val="auto"/>
          <w:spacing w:val="-2"/>
          <w:sz w:val="24"/>
          <w:szCs w:val="24"/>
          <w:highlight w:val="none"/>
        </w:rPr>
        <w:t>审。专家评审采用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集体评议、记名表决、少数服从多数的方法进行。</w:t>
      </w:r>
    </w:p>
    <w:p w14:paraId="22AA4038">
      <w:pPr>
        <w:spacing w:before="181" w:line="220" w:lineRule="auto"/>
        <w:ind w:left="54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4.3.2  </w:t>
      </w:r>
      <w:r>
        <w:rPr>
          <w:rFonts w:ascii="宋体" w:hAnsi="宋体" w:eastAsia="宋体" w:cs="宋体"/>
          <w:strike/>
          <w:dstrike w:val="0"/>
          <w:color w:val="auto"/>
          <w:spacing w:val="-2"/>
          <w:sz w:val="24"/>
          <w:szCs w:val="24"/>
          <w:highlight w:val="none"/>
        </w:rPr>
        <w:t>如投标文件有以下情况之一的，按技术评审不通过予以否决：</w:t>
      </w:r>
    </w:p>
    <w:p w14:paraId="6EDEF3B7">
      <w:pPr>
        <w:spacing w:before="180"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）项目负责人或技术负责人不明确的。</w:t>
      </w:r>
    </w:p>
    <w:p w14:paraId="0FECF99C">
      <w:pPr>
        <w:spacing w:before="182"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）主要的施工技术方案或安全保障措施不可</w:t>
      </w:r>
      <w:r>
        <w:rPr>
          <w:rFonts w:ascii="宋体" w:hAnsi="宋体" w:eastAsia="宋体" w:cs="宋体"/>
          <w:strike/>
          <w:dstrike w:val="0"/>
          <w:color w:val="auto"/>
          <w:spacing w:val="-3"/>
          <w:sz w:val="24"/>
          <w:szCs w:val="24"/>
          <w:highlight w:val="none"/>
        </w:rPr>
        <w:t>行的。</w:t>
      </w:r>
    </w:p>
    <w:p w14:paraId="0421DD85">
      <w:pPr>
        <w:spacing w:before="181"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）主要施工机械设备不能满足施工需要的。</w:t>
      </w:r>
    </w:p>
    <w:p w14:paraId="0778B7CB">
      <w:pPr>
        <w:spacing w:before="183"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）附有工程无法适用的其他技术和管理</w:t>
      </w:r>
      <w:r>
        <w:rPr>
          <w:rFonts w:ascii="宋体" w:hAnsi="宋体" w:eastAsia="宋体" w:cs="宋体"/>
          <w:strike/>
          <w:dstrike w:val="0"/>
          <w:color w:val="auto"/>
          <w:spacing w:val="-3"/>
          <w:sz w:val="24"/>
          <w:szCs w:val="24"/>
          <w:highlight w:val="none"/>
        </w:rPr>
        <w:t>条款的。</w:t>
      </w:r>
    </w:p>
    <w:p w14:paraId="2122A621">
      <w:pPr>
        <w:spacing w:before="182"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2"/>
          <w:sz w:val="24"/>
          <w:szCs w:val="24"/>
          <w:highlight w:val="none"/>
        </w:rPr>
        <w:t>（</w:t>
      </w:r>
      <w:r>
        <w:rPr>
          <w:rFonts w:ascii="Times New Roman" w:hAnsi="Times New Roman" w:eastAsia="Times New Roman" w:cs="Times New Roman"/>
          <w:strike/>
          <w:dstrike w:val="0"/>
          <w:color w:val="auto"/>
          <w:spacing w:val="-12"/>
          <w:sz w:val="24"/>
          <w:szCs w:val="24"/>
          <w:highlight w:val="none"/>
        </w:rPr>
        <w:t>5</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71"/>
          <w:sz w:val="24"/>
          <w:szCs w:val="24"/>
          <w:highlight w:val="none"/>
        </w:rPr>
        <w:t xml:space="preserve"> </w:t>
      </w:r>
      <w:r>
        <w:rPr>
          <w:rFonts w:ascii="宋体" w:hAnsi="宋体" w:eastAsia="宋体" w:cs="宋体"/>
          <w:i/>
          <w:iCs/>
          <w:strike/>
          <w:dstrike w:val="0"/>
          <w:color w:val="auto"/>
          <w:spacing w:val="-12"/>
          <w:sz w:val="25"/>
          <w:szCs w:val="25"/>
          <w:highlight w:val="none"/>
        </w:rPr>
        <w:t>……（由招标人自行扩充）</w:t>
      </w:r>
    </w:p>
    <w:p w14:paraId="28FC9E61">
      <w:pPr>
        <w:spacing w:before="179" w:line="361" w:lineRule="auto"/>
        <w:ind w:left="9" w:right="84" w:firstLine="53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4.3.3  </w:t>
      </w:r>
      <w:r>
        <w:rPr>
          <w:rFonts w:ascii="宋体" w:hAnsi="宋体" w:eastAsia="宋体" w:cs="宋体"/>
          <w:strike/>
          <w:dstrike w:val="0"/>
          <w:color w:val="auto"/>
          <w:spacing w:val="-1"/>
          <w:sz w:val="24"/>
          <w:szCs w:val="24"/>
          <w:highlight w:val="none"/>
        </w:rPr>
        <w:t>当出现否决投标时，评标委员会按上述办法按投标报价由低到高的顺序依</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次评审下一个投标文件，直至通过符合性审查、技术评审</w:t>
      </w:r>
      <w:r>
        <w:rPr>
          <w:rFonts w:ascii="宋体" w:hAnsi="宋体" w:eastAsia="宋体" w:cs="宋体"/>
          <w:strike/>
          <w:dstrike w:val="0"/>
          <w:color w:val="auto"/>
          <w:spacing w:val="-2"/>
          <w:sz w:val="24"/>
          <w:szCs w:val="24"/>
          <w:highlight w:val="none"/>
        </w:rPr>
        <w:t>，进入下一轮评审。</w:t>
      </w:r>
    </w:p>
    <w:p w14:paraId="0AE4D30C">
      <w:pPr>
        <w:spacing w:line="361" w:lineRule="auto"/>
        <w:rPr>
          <w:rFonts w:ascii="宋体" w:hAnsi="宋体" w:eastAsia="宋体" w:cs="宋体"/>
          <w:strike/>
          <w:dstrike w:val="0"/>
          <w:color w:val="auto"/>
          <w:sz w:val="24"/>
          <w:szCs w:val="24"/>
          <w:highlight w:val="none"/>
        </w:rPr>
        <w:sectPr>
          <w:footerReference r:id="rId80" w:type="default"/>
          <w:pgSz w:w="11905" w:h="16840"/>
          <w:pgMar w:top="400" w:right="1444" w:bottom="1255" w:left="1593" w:header="0" w:footer="1093" w:gutter="0"/>
          <w:pgNumType w:fmt="decimal"/>
          <w:cols w:space="720" w:num="1"/>
        </w:sectPr>
      </w:pPr>
    </w:p>
    <w:p w14:paraId="1B1333A0">
      <w:pPr>
        <w:pStyle w:val="8"/>
        <w:spacing w:line="248" w:lineRule="auto"/>
        <w:rPr>
          <w:strike/>
          <w:dstrike w:val="0"/>
          <w:color w:val="auto"/>
          <w:highlight w:val="none"/>
        </w:rPr>
      </w:pPr>
    </w:p>
    <w:p w14:paraId="65B973A7">
      <w:pPr>
        <w:pStyle w:val="8"/>
        <w:spacing w:line="248" w:lineRule="auto"/>
        <w:rPr>
          <w:strike/>
          <w:dstrike w:val="0"/>
          <w:color w:val="auto"/>
          <w:highlight w:val="none"/>
        </w:rPr>
      </w:pPr>
    </w:p>
    <w:p w14:paraId="22BCE12C">
      <w:pPr>
        <w:pStyle w:val="8"/>
        <w:spacing w:line="248" w:lineRule="auto"/>
        <w:rPr>
          <w:strike/>
          <w:dstrike w:val="0"/>
          <w:color w:val="auto"/>
          <w:highlight w:val="none"/>
        </w:rPr>
      </w:pPr>
    </w:p>
    <w:p w14:paraId="27181749">
      <w:pPr>
        <w:pStyle w:val="8"/>
        <w:spacing w:line="248" w:lineRule="auto"/>
        <w:rPr>
          <w:strike/>
          <w:dstrike w:val="0"/>
          <w:color w:val="auto"/>
          <w:highlight w:val="none"/>
        </w:rPr>
      </w:pPr>
    </w:p>
    <w:p w14:paraId="357B0E49">
      <w:pPr>
        <w:spacing w:before="78"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  </w:t>
      </w:r>
      <w:r>
        <w:rPr>
          <w:rFonts w:ascii="楷体" w:hAnsi="楷体" w:eastAsia="楷体" w:cs="楷体"/>
          <w:b/>
          <w:bCs/>
          <w:strike/>
          <w:dstrike w:val="0"/>
          <w:color w:val="auto"/>
          <w:spacing w:val="-2"/>
          <w:sz w:val="24"/>
          <w:szCs w:val="24"/>
          <w:highlight w:val="none"/>
        </w:rPr>
        <w:t>投标文件的商务评审</w:t>
      </w:r>
    </w:p>
    <w:p w14:paraId="476A2C2F">
      <w:pPr>
        <w:spacing w:before="177" w:line="312" w:lineRule="auto"/>
        <w:ind w:left="4" w:right="65" w:firstLine="47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4.4.1  </w:t>
      </w:r>
      <w:r>
        <w:rPr>
          <w:rFonts w:ascii="宋体" w:hAnsi="宋体" w:eastAsia="宋体" w:cs="宋体"/>
          <w:strike/>
          <w:dstrike w:val="0"/>
          <w:color w:val="auto"/>
          <w:sz w:val="24"/>
          <w:szCs w:val="24"/>
          <w:highlight w:val="none"/>
        </w:rPr>
        <w:t>评标委员会应对通过符合性审查和技术评审的投标文件进行商务评审。评</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标委员会应对商务报价的范围、数量、单价、费用组成和总价等进行全面审阅和对比</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3"/>
          <w:sz w:val="24"/>
          <w:szCs w:val="24"/>
          <w:highlight w:val="none"/>
        </w:rPr>
        <w:t>分析，找出报价差异的原因及存在的问题。</w:t>
      </w:r>
    </w:p>
    <w:p w14:paraId="60FCC8A7">
      <w:pPr>
        <w:spacing w:before="183" w:line="312" w:lineRule="auto"/>
        <w:ind w:left="5" w:right="64" w:firstLine="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4.4.2  </w:t>
      </w:r>
      <w:r>
        <w:rPr>
          <w:rFonts w:ascii="宋体" w:hAnsi="宋体" w:eastAsia="宋体" w:cs="宋体"/>
          <w:strike/>
          <w:dstrike w:val="0"/>
          <w:color w:val="auto"/>
          <w:sz w:val="24"/>
          <w:szCs w:val="24"/>
          <w:highlight w:val="none"/>
        </w:rPr>
        <w:t>商务评审应以报价口径范围一致的投标评标价为依据。投标评标价应在最</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终报价的基础上，按照招标文件约定的因素和方法进行计算。凡属招标文件的原因造</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成报价口径范围不一致的，应调整投标报价。其中算术错误的调整原则为：</w:t>
      </w:r>
    </w:p>
    <w:p w14:paraId="44566A53">
      <w:pPr>
        <w:spacing w:before="182"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）用数字表示的金额与文字表示的数额不一致时，以文字数额为准。</w:t>
      </w:r>
    </w:p>
    <w:p w14:paraId="1B0FB8BB">
      <w:pPr>
        <w:spacing w:before="183" w:line="324" w:lineRule="auto"/>
        <w:ind w:left="5" w:firstLine="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）凡属投标人自身失误造成多算、少算、漏算的，</w:t>
      </w:r>
      <w:r>
        <w:rPr>
          <w:rFonts w:ascii="宋体" w:hAnsi="宋体" w:eastAsia="宋体" w:cs="宋体"/>
          <w:strike/>
          <w:dstrike w:val="0"/>
          <w:color w:val="auto"/>
          <w:spacing w:val="76"/>
          <w:sz w:val="24"/>
          <w:szCs w:val="24"/>
          <w:highlight w:val="none"/>
        </w:rPr>
        <w:t xml:space="preserve"> </w:t>
      </w:r>
      <w:r>
        <w:rPr>
          <w:rFonts w:ascii="宋体" w:hAnsi="宋体" w:eastAsia="宋体" w:cs="宋体"/>
          <w:strike/>
          <w:dstrike w:val="0"/>
          <w:color w:val="auto"/>
          <w:spacing w:val="-7"/>
          <w:sz w:val="24"/>
          <w:szCs w:val="24"/>
          <w:highlight w:val="none"/>
        </w:rPr>
        <w:t>不调整投标报价。若有算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术性差错，均在投标报价不变的前提下按招标人要求调整单价及有关费用，调整后的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单价及有关费用对投标人起约束作用，如果投标人不接受修正后的单价及有关</w:t>
      </w:r>
      <w:r>
        <w:rPr>
          <w:rFonts w:ascii="宋体" w:hAnsi="宋体" w:eastAsia="宋体" w:cs="宋体"/>
          <w:strike/>
          <w:dstrike w:val="0"/>
          <w:color w:val="auto"/>
          <w:spacing w:val="-2"/>
          <w:sz w:val="24"/>
          <w:szCs w:val="24"/>
          <w:highlight w:val="none"/>
        </w:rPr>
        <w:t>费用，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则按商务评审不合格处理。</w:t>
      </w:r>
    </w:p>
    <w:p w14:paraId="7E22999F">
      <w:pPr>
        <w:spacing w:before="181" w:line="218" w:lineRule="auto"/>
        <w:ind w:left="54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4.4.3  </w:t>
      </w:r>
      <w:r>
        <w:rPr>
          <w:rFonts w:ascii="宋体" w:hAnsi="宋体" w:eastAsia="宋体" w:cs="宋体"/>
          <w:strike/>
          <w:dstrike w:val="0"/>
          <w:color w:val="auto"/>
          <w:spacing w:val="-2"/>
          <w:sz w:val="24"/>
          <w:szCs w:val="24"/>
          <w:highlight w:val="none"/>
        </w:rPr>
        <w:t>投标报价中，如有以下情况之一的，按商务评审不合格予以否决：</w:t>
      </w:r>
    </w:p>
    <w:p w14:paraId="53DE901C">
      <w:pPr>
        <w:spacing w:before="184" w:line="218"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）投标人拒绝修正不平衡报价或拒绝提供报价分析说明和证明材料的。</w:t>
      </w:r>
    </w:p>
    <w:p w14:paraId="0553ED25">
      <w:pPr>
        <w:spacing w:before="182" w:line="291" w:lineRule="auto"/>
        <w:ind w:left="3" w:right="84"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）因投标人自身多算、少算、错算、漏算而造成的错误金额超过投标总价的</w:t>
      </w:r>
      <w:r>
        <w:rPr>
          <w:rFonts w:ascii="宋体" w:hAnsi="宋体" w:eastAsia="宋体" w:cs="宋体"/>
          <w:strike/>
          <w:dstrike w:val="0"/>
          <w:color w:val="auto"/>
          <w:spacing w:val="2"/>
          <w:sz w:val="24"/>
          <w:szCs w:val="24"/>
          <w:highlight w:val="none"/>
        </w:rPr>
        <w:t xml:space="preserve"> </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的。</w:t>
      </w:r>
    </w:p>
    <w:p w14:paraId="3E880A1D">
      <w:pPr>
        <w:spacing w:before="177"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）安全施工费低于招标文件规定的。</w:t>
      </w:r>
    </w:p>
    <w:p w14:paraId="4EF70997">
      <w:pPr>
        <w:spacing w:before="182" w:line="312" w:lineRule="auto"/>
        <w:ind w:left="2" w:right="65" w:firstLine="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4</w:t>
      </w:r>
      <w:r>
        <w:rPr>
          <w:rFonts w:ascii="宋体" w:hAnsi="宋体" w:eastAsia="宋体" w:cs="宋体"/>
          <w:strike/>
          <w:dstrike w:val="0"/>
          <w:color w:val="auto"/>
          <w:spacing w:val="-1"/>
          <w:sz w:val="24"/>
          <w:szCs w:val="24"/>
          <w:highlight w:val="none"/>
        </w:rPr>
        <w:t>）通过符合性审查、技术评审的最低投标评</w:t>
      </w:r>
      <w:r>
        <w:rPr>
          <w:rFonts w:ascii="宋体" w:hAnsi="宋体" w:eastAsia="宋体" w:cs="宋体"/>
          <w:strike/>
          <w:dstrike w:val="0"/>
          <w:color w:val="auto"/>
          <w:spacing w:val="-2"/>
          <w:sz w:val="24"/>
          <w:szCs w:val="24"/>
          <w:highlight w:val="none"/>
        </w:rPr>
        <w:t>标价低于通过符合性审查和技术</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评审的次低投标评标价</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，且经询标投标人对</w:t>
      </w:r>
      <w:r>
        <w:rPr>
          <w:rFonts w:ascii="宋体" w:hAnsi="宋体" w:eastAsia="宋体" w:cs="宋体"/>
          <w:strike/>
          <w:dstrike w:val="0"/>
          <w:color w:val="auto"/>
          <w:spacing w:val="1"/>
          <w:sz w:val="24"/>
          <w:szCs w:val="24"/>
          <w:highlight w:val="none"/>
        </w:rPr>
        <w:t>其报价不能充分说明理由，或提供的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相关材料无法证明报价不低于其成本价的。</w:t>
      </w:r>
    </w:p>
    <w:p w14:paraId="59F1E8BA">
      <w:pPr>
        <w:spacing w:before="183"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）评标委员会认定属投标人自身原因有重大漏项的。</w:t>
      </w:r>
    </w:p>
    <w:p w14:paraId="79E7CFDA">
      <w:pPr>
        <w:spacing w:before="182"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6</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8"/>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70BC1177">
      <w:pPr>
        <w:spacing w:before="178" w:line="360" w:lineRule="auto"/>
        <w:ind w:left="9" w:right="65" w:firstLine="53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4.4.4  </w:t>
      </w:r>
      <w:r>
        <w:rPr>
          <w:rFonts w:ascii="宋体" w:hAnsi="宋体" w:eastAsia="宋体" w:cs="宋体"/>
          <w:strike/>
          <w:dstrike w:val="0"/>
          <w:color w:val="auto"/>
          <w:spacing w:val="-1"/>
          <w:sz w:val="24"/>
          <w:szCs w:val="24"/>
          <w:highlight w:val="none"/>
        </w:rPr>
        <w:t>当出现否决投标时，评标委员会按上述办法按投标报价由低到高的顺序依</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次评审下一个投标文件，直至通过符合性审查、技术评审、商务评审为止。</w:t>
      </w:r>
    </w:p>
    <w:p w14:paraId="4D970110">
      <w:pPr>
        <w:spacing w:line="227"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  </w:t>
      </w:r>
      <w:r>
        <w:rPr>
          <w:rFonts w:ascii="楷体" w:hAnsi="楷体" w:eastAsia="楷体" w:cs="楷体"/>
          <w:b/>
          <w:bCs/>
          <w:strike/>
          <w:dstrike w:val="0"/>
          <w:color w:val="auto"/>
          <w:spacing w:val="-2"/>
          <w:sz w:val="24"/>
          <w:szCs w:val="24"/>
          <w:highlight w:val="none"/>
        </w:rPr>
        <w:t>询标</w:t>
      </w:r>
    </w:p>
    <w:p w14:paraId="07E4E3D2">
      <w:pPr>
        <w:spacing w:before="171" w:line="324" w:lineRule="auto"/>
        <w:ind w:left="43" w:right="41" w:firstLine="49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5"/>
          <w:sz w:val="24"/>
          <w:szCs w:val="24"/>
          <w:highlight w:val="none"/>
        </w:rPr>
        <w:t xml:space="preserve">1.  </w:t>
      </w:r>
      <w:r>
        <w:rPr>
          <w:rFonts w:ascii="宋体" w:hAnsi="宋体" w:eastAsia="宋体" w:cs="宋体"/>
          <w:strike/>
          <w:dstrike w:val="0"/>
          <w:color w:val="auto"/>
          <w:spacing w:val="-5"/>
          <w:sz w:val="24"/>
          <w:szCs w:val="24"/>
          <w:highlight w:val="none"/>
        </w:rPr>
        <w:t>凡评标委员会拟作出否决投标决定的，应先向投标</w:t>
      </w:r>
      <w:r>
        <w:rPr>
          <w:rFonts w:ascii="宋体" w:hAnsi="宋体" w:eastAsia="宋体" w:cs="宋体"/>
          <w:strike/>
          <w:dstrike w:val="0"/>
          <w:color w:val="auto"/>
          <w:spacing w:val="-6"/>
          <w:sz w:val="24"/>
          <w:szCs w:val="24"/>
          <w:highlight w:val="none"/>
        </w:rPr>
        <w:t>人进行书面询问核实。未进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5"/>
          <w:sz w:val="24"/>
          <w:szCs w:val="24"/>
          <w:highlight w:val="none"/>
        </w:rPr>
        <w:t>行询问核实程序的，不得做出否决投标决定，投标人放</w:t>
      </w:r>
      <w:r>
        <w:rPr>
          <w:rFonts w:ascii="宋体" w:hAnsi="宋体" w:eastAsia="宋体" w:cs="宋体"/>
          <w:strike/>
          <w:dstrike w:val="0"/>
          <w:color w:val="auto"/>
          <w:spacing w:val="-16"/>
          <w:sz w:val="24"/>
          <w:szCs w:val="24"/>
          <w:highlight w:val="none"/>
        </w:rPr>
        <w:t>弃接受询问核实机会的除外。投标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1"/>
          <w:sz w:val="24"/>
          <w:szCs w:val="24"/>
          <w:highlight w:val="none"/>
        </w:rPr>
        <w:t>人应自行关注系统中评标委员会发出的澄清并及时答复，在规定的时限内投标人不参加</w:t>
      </w:r>
      <w:r>
        <w:rPr>
          <w:rFonts w:ascii="宋体" w:hAnsi="宋体" w:eastAsia="宋体" w:cs="宋体"/>
          <w:strike/>
          <w:dstrike w:val="0"/>
          <w:color w:val="auto"/>
          <w:spacing w:val="-22"/>
          <w:sz w:val="24"/>
          <w:szCs w:val="24"/>
          <w:highlight w:val="none"/>
        </w:rPr>
        <w:t>核实</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3"/>
          <w:sz w:val="24"/>
          <w:szCs w:val="24"/>
          <w:highlight w:val="none"/>
        </w:rPr>
        <w:t>或不予答复的，视为放弃接受询问核实机会。</w:t>
      </w:r>
    </w:p>
    <w:p w14:paraId="1F0CA4C0">
      <w:pPr>
        <w:spacing w:before="182" w:line="219" w:lineRule="auto"/>
        <w:ind w:left="43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3"/>
          <w:sz w:val="24"/>
          <w:szCs w:val="24"/>
          <w:highlight w:val="none"/>
        </w:rPr>
        <w:t xml:space="preserve">2.  </w:t>
      </w:r>
      <w:r>
        <w:rPr>
          <w:rFonts w:ascii="宋体" w:hAnsi="宋体" w:eastAsia="宋体" w:cs="宋体"/>
          <w:strike/>
          <w:dstrike w:val="0"/>
          <w:color w:val="auto"/>
          <w:spacing w:val="-13"/>
          <w:sz w:val="24"/>
          <w:szCs w:val="24"/>
          <w:highlight w:val="none"/>
        </w:rPr>
        <w:t>除本评标办法规定的否决情形以外，招</w:t>
      </w:r>
      <w:r>
        <w:rPr>
          <w:rFonts w:ascii="宋体" w:hAnsi="宋体" w:eastAsia="宋体" w:cs="宋体"/>
          <w:strike/>
          <w:dstrike w:val="0"/>
          <w:color w:val="auto"/>
          <w:spacing w:val="-14"/>
          <w:sz w:val="24"/>
          <w:szCs w:val="24"/>
          <w:highlight w:val="none"/>
        </w:rPr>
        <w:t>标文件中其他条款均不得作为否决投标文</w:t>
      </w:r>
    </w:p>
    <w:p w14:paraId="5C34FF41">
      <w:pPr>
        <w:spacing w:line="219" w:lineRule="auto"/>
        <w:rPr>
          <w:rFonts w:ascii="宋体" w:hAnsi="宋体" w:eastAsia="宋体" w:cs="宋体"/>
          <w:strike/>
          <w:dstrike w:val="0"/>
          <w:color w:val="auto"/>
          <w:sz w:val="24"/>
          <w:szCs w:val="24"/>
          <w:highlight w:val="none"/>
        </w:rPr>
        <w:sectPr>
          <w:footerReference r:id="rId81" w:type="default"/>
          <w:pgSz w:w="11905" w:h="16840"/>
          <w:pgMar w:top="400" w:right="1463" w:bottom="1255" w:left="1593" w:header="0" w:footer="1093" w:gutter="0"/>
          <w:pgNumType w:fmt="decimal"/>
          <w:cols w:space="720" w:num="1"/>
        </w:sectPr>
      </w:pPr>
    </w:p>
    <w:p w14:paraId="4FAC37A9">
      <w:pPr>
        <w:pStyle w:val="8"/>
        <w:spacing w:line="247" w:lineRule="auto"/>
        <w:rPr>
          <w:strike/>
          <w:dstrike w:val="0"/>
          <w:color w:val="auto"/>
          <w:highlight w:val="none"/>
        </w:rPr>
      </w:pPr>
    </w:p>
    <w:p w14:paraId="677ECB3B">
      <w:pPr>
        <w:pStyle w:val="8"/>
        <w:spacing w:line="248" w:lineRule="auto"/>
        <w:rPr>
          <w:strike/>
          <w:dstrike w:val="0"/>
          <w:color w:val="auto"/>
          <w:highlight w:val="none"/>
        </w:rPr>
      </w:pPr>
    </w:p>
    <w:p w14:paraId="702141D7">
      <w:pPr>
        <w:pStyle w:val="8"/>
        <w:spacing w:line="248" w:lineRule="auto"/>
        <w:rPr>
          <w:strike/>
          <w:dstrike w:val="0"/>
          <w:color w:val="auto"/>
          <w:highlight w:val="none"/>
        </w:rPr>
      </w:pPr>
    </w:p>
    <w:p w14:paraId="606A6BA3">
      <w:pPr>
        <w:pStyle w:val="8"/>
        <w:spacing w:line="248" w:lineRule="auto"/>
        <w:rPr>
          <w:strike/>
          <w:dstrike w:val="0"/>
          <w:color w:val="auto"/>
          <w:highlight w:val="none"/>
        </w:rPr>
      </w:pPr>
    </w:p>
    <w:p w14:paraId="79C5F946">
      <w:pPr>
        <w:spacing w:before="78" w:line="219" w:lineRule="auto"/>
        <w:ind w:left="44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件的依据。</w:t>
      </w:r>
    </w:p>
    <w:p w14:paraId="5A927B6E">
      <w:pPr>
        <w:spacing w:before="182" w:line="223" w:lineRule="auto"/>
        <w:rPr>
          <w:rFonts w:ascii="楷体" w:hAnsi="楷体" w:eastAsia="楷体" w:cs="楷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4.6  </w:t>
      </w:r>
      <w:r>
        <w:rPr>
          <w:rFonts w:ascii="楷体" w:hAnsi="楷体" w:eastAsia="楷体" w:cs="楷体"/>
          <w:b/>
          <w:bCs/>
          <w:strike/>
          <w:dstrike w:val="0"/>
          <w:color w:val="auto"/>
          <w:spacing w:val="-2"/>
          <w:sz w:val="24"/>
          <w:szCs w:val="24"/>
          <w:highlight w:val="none"/>
        </w:rPr>
        <w:t>评标结果</w:t>
      </w:r>
    </w:p>
    <w:p w14:paraId="3BC01EE7">
      <w:pPr>
        <w:spacing w:before="177" w:line="289" w:lineRule="auto"/>
        <w:ind w:left="4" w:right="220" w:firstLine="47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 xml:space="preserve">4.6.1  </w:t>
      </w:r>
      <w:r>
        <w:rPr>
          <w:rFonts w:ascii="宋体" w:hAnsi="宋体" w:eastAsia="宋体" w:cs="宋体"/>
          <w:strike/>
          <w:dstrike w:val="0"/>
          <w:color w:val="auto"/>
          <w:sz w:val="24"/>
          <w:szCs w:val="24"/>
          <w:highlight w:val="none"/>
        </w:rPr>
        <w:t>评标委员会对投标文件作出的评审结论，应当符合有关法律、法规、规章</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5"/>
          <w:sz w:val="24"/>
          <w:szCs w:val="24"/>
          <w:highlight w:val="none"/>
        </w:rPr>
        <w:t>和招标文件的规定。</w:t>
      </w:r>
    </w:p>
    <w:p w14:paraId="59ED2338">
      <w:pPr>
        <w:spacing w:before="181" w:line="218" w:lineRule="auto"/>
        <w:ind w:left="47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 xml:space="preserve">4.6.2  </w:t>
      </w:r>
      <w:r>
        <w:rPr>
          <w:rFonts w:ascii="宋体" w:hAnsi="宋体" w:eastAsia="宋体" w:cs="宋体"/>
          <w:strike/>
          <w:dstrike w:val="0"/>
          <w:color w:val="auto"/>
          <w:spacing w:val="-6"/>
          <w:sz w:val="24"/>
          <w:szCs w:val="24"/>
          <w:highlight w:val="none"/>
        </w:rPr>
        <w:t>评标委员会应根据评标情况，推荐中标候选人，并向招标人</w:t>
      </w:r>
      <w:r>
        <w:rPr>
          <w:rFonts w:ascii="宋体" w:hAnsi="宋体" w:eastAsia="宋体" w:cs="宋体"/>
          <w:strike/>
          <w:dstrike w:val="0"/>
          <w:color w:val="auto"/>
          <w:spacing w:val="-7"/>
          <w:sz w:val="24"/>
          <w:szCs w:val="24"/>
          <w:highlight w:val="none"/>
        </w:rPr>
        <w:t>提交评标报告。</w:t>
      </w:r>
    </w:p>
    <w:p w14:paraId="648CDC3E">
      <w:pPr>
        <w:spacing w:before="184" w:line="324" w:lineRule="auto"/>
        <w:ind w:left="2" w:firstLine="1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当出现有多个投标人通过上述评审时，由评标委员会通过□抽签（或□记名投票表决）</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5"/>
          <w:sz w:val="24"/>
          <w:szCs w:val="24"/>
          <w:highlight w:val="none"/>
        </w:rPr>
        <w:t>方式推荐</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5"/>
          <w:sz w:val="24"/>
          <w:szCs w:val="24"/>
          <w:highlight w:val="none"/>
        </w:rPr>
        <w:t>名中标候选人。评标报告由评标委员会成员起草</w:t>
      </w:r>
      <w:r>
        <w:rPr>
          <w:rFonts w:ascii="宋体" w:hAnsi="宋体" w:eastAsia="宋体" w:cs="宋体"/>
          <w:strike/>
          <w:dstrike w:val="0"/>
          <w:color w:val="auto"/>
          <w:spacing w:val="-6"/>
          <w:sz w:val="24"/>
          <w:szCs w:val="24"/>
          <w:highlight w:val="none"/>
        </w:rPr>
        <w:t>，</w:t>
      </w:r>
      <w:r>
        <w:rPr>
          <w:rFonts w:ascii="宋体" w:hAnsi="宋体" w:eastAsia="宋体" w:cs="宋体"/>
          <w:strike/>
          <w:dstrike w:val="0"/>
          <w:color w:val="auto"/>
          <w:spacing w:val="-48"/>
          <w:sz w:val="24"/>
          <w:szCs w:val="24"/>
          <w:highlight w:val="none"/>
        </w:rPr>
        <w:t xml:space="preserve"> </w:t>
      </w:r>
      <w:r>
        <w:rPr>
          <w:rFonts w:ascii="宋体" w:hAnsi="宋体" w:eastAsia="宋体" w:cs="宋体"/>
          <w:strike/>
          <w:dstrike w:val="0"/>
          <w:color w:val="auto"/>
          <w:spacing w:val="-6"/>
          <w:sz w:val="24"/>
          <w:szCs w:val="24"/>
          <w:highlight w:val="none"/>
        </w:rPr>
        <w:t>评标委员会全体成员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应在评标报告上签字确认，评标专家如有保留意见可以在评标报告中阐明。评标委员</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4"/>
          <w:sz w:val="24"/>
          <w:szCs w:val="24"/>
          <w:highlight w:val="none"/>
        </w:rPr>
        <w:t>会成员拒绝在评标报告上签字又不书面说明其不同意见和理由的，视为同意评标结果。</w:t>
      </w:r>
    </w:p>
    <w:p w14:paraId="350D0463">
      <w:pPr>
        <w:spacing w:before="183" w:line="218" w:lineRule="auto"/>
        <w:ind w:left="47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 xml:space="preserve">4.6.3  </w:t>
      </w:r>
      <w:r>
        <w:rPr>
          <w:rFonts w:ascii="宋体" w:hAnsi="宋体" w:eastAsia="宋体" w:cs="宋体"/>
          <w:strike/>
          <w:dstrike w:val="0"/>
          <w:color w:val="auto"/>
          <w:spacing w:val="-3"/>
          <w:sz w:val="24"/>
          <w:szCs w:val="24"/>
          <w:highlight w:val="none"/>
        </w:rPr>
        <w:t>评标报告应包括以下内容：</w:t>
      </w:r>
    </w:p>
    <w:p w14:paraId="1A9B6AA0">
      <w:pPr>
        <w:spacing w:before="184"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）开标记录。</w:t>
      </w:r>
    </w:p>
    <w:p w14:paraId="3BC73CA2">
      <w:pPr>
        <w:spacing w:before="179"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）评标内容、过程和结果。</w:t>
      </w:r>
    </w:p>
    <w:p w14:paraId="1709F4F9">
      <w:pPr>
        <w:spacing w:before="182"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）被否决情况详细说明及依据。</w:t>
      </w:r>
    </w:p>
    <w:p w14:paraId="369ABAED">
      <w:pPr>
        <w:spacing w:before="182"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）询标澄清纪要。</w:t>
      </w:r>
    </w:p>
    <w:p w14:paraId="1AB562D1">
      <w:pPr>
        <w:spacing w:before="180"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5</w:t>
      </w:r>
      <w:r>
        <w:rPr>
          <w:rFonts w:ascii="宋体" w:hAnsi="宋体" w:eastAsia="宋体" w:cs="宋体"/>
          <w:strike/>
          <w:dstrike w:val="0"/>
          <w:color w:val="auto"/>
          <w:spacing w:val="-3"/>
          <w:sz w:val="24"/>
          <w:szCs w:val="24"/>
          <w:highlight w:val="none"/>
        </w:rPr>
        <w:t>）中标侯选人的优劣对比和存在问题。</w:t>
      </w:r>
    </w:p>
    <w:p w14:paraId="40A559EC">
      <w:pPr>
        <w:spacing w:before="182"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）中标候选人投标业绩。</w:t>
      </w:r>
    </w:p>
    <w:p w14:paraId="73C9583D">
      <w:pPr>
        <w:spacing w:before="182"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7</w:t>
      </w:r>
      <w:r>
        <w:rPr>
          <w:rFonts w:ascii="宋体" w:hAnsi="宋体" w:eastAsia="宋体" w:cs="宋体"/>
          <w:strike/>
          <w:dstrike w:val="0"/>
          <w:color w:val="auto"/>
          <w:spacing w:val="-6"/>
          <w:sz w:val="24"/>
          <w:szCs w:val="24"/>
          <w:highlight w:val="none"/>
        </w:rPr>
        <w:t>）其他建议。</w:t>
      </w:r>
    </w:p>
    <w:p w14:paraId="712384DE">
      <w:pPr>
        <w:spacing w:line="220" w:lineRule="auto"/>
        <w:rPr>
          <w:rFonts w:ascii="宋体" w:hAnsi="宋体" w:eastAsia="宋体" w:cs="宋体"/>
          <w:strike/>
          <w:dstrike w:val="0"/>
          <w:color w:val="auto"/>
          <w:sz w:val="24"/>
          <w:szCs w:val="24"/>
          <w:highlight w:val="none"/>
        </w:rPr>
        <w:sectPr>
          <w:footerReference r:id="rId82" w:type="default"/>
          <w:pgSz w:w="11905" w:h="16840"/>
          <w:pgMar w:top="400" w:right="1324" w:bottom="1255" w:left="1593" w:header="0" w:footer="1093" w:gutter="0"/>
          <w:pgNumType w:fmt="decimal"/>
          <w:cols w:space="720" w:num="1"/>
        </w:sectPr>
      </w:pPr>
    </w:p>
    <w:p w14:paraId="2C6B2235">
      <w:pPr>
        <w:pStyle w:val="8"/>
        <w:spacing w:line="247" w:lineRule="auto"/>
        <w:rPr>
          <w:color w:val="auto"/>
          <w:highlight w:val="none"/>
        </w:rPr>
      </w:pPr>
    </w:p>
    <w:p w14:paraId="028FF5F4">
      <w:pPr>
        <w:pStyle w:val="8"/>
        <w:spacing w:line="247" w:lineRule="auto"/>
        <w:rPr>
          <w:color w:val="auto"/>
          <w:highlight w:val="none"/>
        </w:rPr>
      </w:pPr>
    </w:p>
    <w:p w14:paraId="6E99E802">
      <w:pPr>
        <w:pStyle w:val="8"/>
        <w:spacing w:line="247" w:lineRule="auto"/>
        <w:rPr>
          <w:color w:val="auto"/>
          <w:highlight w:val="none"/>
        </w:rPr>
      </w:pPr>
    </w:p>
    <w:p w14:paraId="248AF8CF">
      <w:pPr>
        <w:pStyle w:val="8"/>
        <w:spacing w:line="248" w:lineRule="auto"/>
        <w:rPr>
          <w:color w:val="auto"/>
          <w:highlight w:val="none"/>
        </w:rPr>
      </w:pPr>
    </w:p>
    <w:p w14:paraId="34EB9E2D">
      <w:pPr>
        <w:spacing w:before="88" w:line="225" w:lineRule="auto"/>
        <w:ind w:left="512"/>
        <w:rPr>
          <w:rFonts w:ascii="宋体" w:hAnsi="宋体" w:eastAsia="宋体" w:cs="宋体"/>
          <w:color w:val="auto"/>
          <w:sz w:val="27"/>
          <w:szCs w:val="27"/>
          <w:highlight w:val="none"/>
        </w:rPr>
      </w:pPr>
      <w:r>
        <w:rPr>
          <w:rFonts w:ascii="宋体" w:hAnsi="宋体" w:eastAsia="宋体" w:cs="宋体"/>
          <w:b/>
          <w:bCs/>
          <w:color w:val="auto"/>
          <w:spacing w:val="3"/>
          <w:sz w:val="27"/>
          <w:szCs w:val="27"/>
          <w:highlight w:val="none"/>
        </w:rPr>
        <w:t>附件一：投标文件澄清通知</w:t>
      </w:r>
    </w:p>
    <w:p w14:paraId="11A13E6D">
      <w:pPr>
        <w:pStyle w:val="8"/>
        <w:spacing w:line="270" w:lineRule="auto"/>
        <w:rPr>
          <w:color w:val="auto"/>
          <w:highlight w:val="none"/>
        </w:rPr>
      </w:pPr>
    </w:p>
    <w:p w14:paraId="04AED3A6">
      <w:pPr>
        <w:pStyle w:val="8"/>
        <w:spacing w:line="270" w:lineRule="auto"/>
        <w:rPr>
          <w:color w:val="auto"/>
          <w:highlight w:val="none"/>
        </w:rPr>
      </w:pPr>
    </w:p>
    <w:p w14:paraId="1F3CF16D">
      <w:pPr>
        <w:spacing w:before="78" w:line="220" w:lineRule="auto"/>
        <w:ind w:left="3441"/>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投标文件澄清通知</w:t>
      </w:r>
    </w:p>
    <w:p w14:paraId="08869985">
      <w:pPr>
        <w:spacing w:before="180" w:line="220" w:lineRule="auto"/>
        <w:ind w:left="4044"/>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71A5467E">
      <w:pPr>
        <w:pStyle w:val="8"/>
        <w:spacing w:line="257" w:lineRule="auto"/>
        <w:rPr>
          <w:color w:val="auto"/>
          <w:highlight w:val="none"/>
        </w:rPr>
      </w:pPr>
    </w:p>
    <w:p w14:paraId="2105053C">
      <w:pPr>
        <w:pStyle w:val="8"/>
        <w:spacing w:line="257" w:lineRule="auto"/>
        <w:rPr>
          <w:color w:val="auto"/>
          <w:highlight w:val="none"/>
        </w:rPr>
      </w:pPr>
    </w:p>
    <w:p w14:paraId="7B80CDD8">
      <w:pPr>
        <w:tabs>
          <w:tab w:val="left" w:pos="1800"/>
        </w:tabs>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（投标人名称</w:t>
      </w:r>
      <w:r>
        <w:rPr>
          <w:rFonts w:ascii="宋体" w:hAnsi="宋体" w:eastAsia="宋体" w:cs="宋体"/>
          <w:color w:val="auto"/>
          <w:spacing w:val="-4"/>
          <w:sz w:val="24"/>
          <w:szCs w:val="24"/>
          <w:highlight w:val="none"/>
        </w:rPr>
        <w:t>）：</w:t>
      </w:r>
    </w:p>
    <w:p w14:paraId="0F6A2CD3">
      <w:pPr>
        <w:pStyle w:val="8"/>
        <w:spacing w:line="256" w:lineRule="auto"/>
        <w:rPr>
          <w:color w:val="auto"/>
          <w:highlight w:val="none"/>
        </w:rPr>
      </w:pPr>
    </w:p>
    <w:p w14:paraId="5CB7ED3E">
      <w:pPr>
        <w:pStyle w:val="8"/>
        <w:spacing w:line="256" w:lineRule="auto"/>
        <w:rPr>
          <w:color w:val="auto"/>
          <w:highlight w:val="none"/>
        </w:rPr>
      </w:pPr>
    </w:p>
    <w:p w14:paraId="38A5C350">
      <w:pPr>
        <w:tabs>
          <w:tab w:val="left" w:pos="2520"/>
        </w:tabs>
        <w:spacing w:before="79" w:line="361" w:lineRule="auto"/>
        <w:ind w:left="10" w:right="11" w:firstLine="46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5"/>
          <w:sz w:val="24"/>
          <w:szCs w:val="24"/>
          <w:highlight w:val="none"/>
        </w:rPr>
        <w:t>（项目名称</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pacing w:val="-5"/>
          <w:sz w:val="24"/>
          <w:szCs w:val="24"/>
          <w:highlight w:val="none"/>
        </w:rPr>
        <w:t>标段名称）评标委员会对你方的投</w:t>
      </w:r>
      <w:r>
        <w:rPr>
          <w:rFonts w:ascii="宋体" w:hAnsi="宋体" w:eastAsia="宋体" w:cs="宋体"/>
          <w:color w:val="auto"/>
          <w:spacing w:val="-2"/>
          <w:sz w:val="24"/>
          <w:szCs w:val="24"/>
          <w:highlight w:val="none"/>
        </w:rPr>
        <w:t>标文件进行了仔细的审查，现需你方对下列问题以书面形式予以</w:t>
      </w:r>
      <w:r>
        <w:rPr>
          <w:rFonts w:ascii="宋体" w:hAnsi="宋体" w:eastAsia="宋体" w:cs="宋体"/>
          <w:color w:val="auto"/>
          <w:spacing w:val="-3"/>
          <w:sz w:val="24"/>
          <w:szCs w:val="24"/>
          <w:highlight w:val="none"/>
        </w:rPr>
        <w:t>澄清：</w:t>
      </w:r>
    </w:p>
    <w:p w14:paraId="353CD1D5">
      <w:pPr>
        <w:spacing w:before="37" w:line="180" w:lineRule="auto"/>
        <w:ind w:left="50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9"/>
          <w:sz w:val="24"/>
          <w:szCs w:val="24"/>
          <w:highlight w:val="none"/>
        </w:rPr>
        <w:t>1</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19"/>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9"/>
          <w:sz w:val="24"/>
          <w:szCs w:val="24"/>
          <w:highlight w:val="none"/>
        </w:rPr>
        <w:t>……</w:t>
      </w:r>
    </w:p>
    <w:p w14:paraId="7D66C364">
      <w:pPr>
        <w:spacing w:before="233" w:line="180" w:lineRule="auto"/>
        <w:ind w:left="48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3"/>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3"/>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3"/>
          <w:sz w:val="24"/>
          <w:szCs w:val="24"/>
          <w:highlight w:val="none"/>
        </w:rPr>
        <w:t>……</w:t>
      </w:r>
    </w:p>
    <w:p w14:paraId="3481431A">
      <w:pPr>
        <w:pStyle w:val="8"/>
        <w:spacing w:line="285" w:lineRule="auto"/>
        <w:rPr>
          <w:color w:val="auto"/>
          <w:highlight w:val="none"/>
        </w:rPr>
      </w:pPr>
    </w:p>
    <w:p w14:paraId="376E7210">
      <w:pPr>
        <w:spacing w:before="69" w:line="75" w:lineRule="exact"/>
        <w:ind w:left="50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1F8AA121">
      <w:pPr>
        <w:pStyle w:val="8"/>
        <w:spacing w:line="256" w:lineRule="auto"/>
        <w:rPr>
          <w:color w:val="auto"/>
          <w:highlight w:val="none"/>
        </w:rPr>
      </w:pPr>
    </w:p>
    <w:p w14:paraId="2B6C784B">
      <w:pPr>
        <w:pStyle w:val="8"/>
        <w:spacing w:line="256" w:lineRule="auto"/>
        <w:rPr>
          <w:color w:val="auto"/>
          <w:highlight w:val="none"/>
        </w:rPr>
      </w:pPr>
    </w:p>
    <w:p w14:paraId="4C6DA47C">
      <w:pPr>
        <w:pStyle w:val="8"/>
        <w:spacing w:line="256" w:lineRule="auto"/>
        <w:rPr>
          <w:color w:val="auto"/>
          <w:highlight w:val="none"/>
        </w:rPr>
      </w:pPr>
    </w:p>
    <w:p w14:paraId="319DB02E">
      <w:pPr>
        <w:pStyle w:val="8"/>
        <w:spacing w:line="256" w:lineRule="auto"/>
        <w:rPr>
          <w:color w:val="auto"/>
          <w:highlight w:val="none"/>
        </w:rPr>
      </w:pPr>
    </w:p>
    <w:p w14:paraId="33636784">
      <w:pPr>
        <w:pStyle w:val="8"/>
        <w:spacing w:line="256" w:lineRule="auto"/>
        <w:rPr>
          <w:color w:val="auto"/>
          <w:highlight w:val="none"/>
        </w:rPr>
      </w:pPr>
    </w:p>
    <w:p w14:paraId="31A51C11">
      <w:pPr>
        <w:pStyle w:val="8"/>
        <w:spacing w:line="256" w:lineRule="auto"/>
        <w:rPr>
          <w:color w:val="auto"/>
          <w:highlight w:val="none"/>
        </w:rPr>
      </w:pPr>
    </w:p>
    <w:p w14:paraId="2DDD7115">
      <w:pPr>
        <w:pStyle w:val="8"/>
        <w:spacing w:line="257" w:lineRule="auto"/>
        <w:rPr>
          <w:color w:val="auto"/>
          <w:highlight w:val="none"/>
        </w:rPr>
      </w:pPr>
    </w:p>
    <w:p w14:paraId="112E27F9">
      <w:pPr>
        <w:pStyle w:val="8"/>
        <w:spacing w:line="257" w:lineRule="auto"/>
        <w:rPr>
          <w:color w:val="auto"/>
          <w:highlight w:val="none"/>
        </w:rPr>
      </w:pPr>
    </w:p>
    <w:p w14:paraId="52C006AA">
      <w:pPr>
        <w:pStyle w:val="8"/>
        <w:spacing w:line="257" w:lineRule="auto"/>
        <w:rPr>
          <w:color w:val="auto"/>
          <w:highlight w:val="none"/>
        </w:rPr>
      </w:pPr>
    </w:p>
    <w:p w14:paraId="335928E4">
      <w:pPr>
        <w:pStyle w:val="8"/>
        <w:spacing w:line="257" w:lineRule="auto"/>
        <w:rPr>
          <w:color w:val="auto"/>
          <w:highlight w:val="none"/>
        </w:rPr>
      </w:pPr>
    </w:p>
    <w:p w14:paraId="48344D50">
      <w:pPr>
        <w:spacing w:before="78" w:line="219" w:lineRule="auto"/>
        <w:ind w:left="300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评标委员会负责人</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ascii="宋体" w:hAnsi="宋体" w:eastAsia="宋体" w:cs="宋体"/>
          <w:color w:val="auto"/>
          <w:spacing w:val="-2"/>
          <w:sz w:val="24"/>
          <w:szCs w:val="24"/>
          <w:highlight w:val="none"/>
        </w:rPr>
        <w:t>签字）</w:t>
      </w:r>
    </w:p>
    <w:p w14:paraId="18123122">
      <w:pPr>
        <w:pStyle w:val="8"/>
        <w:spacing w:line="257" w:lineRule="auto"/>
        <w:rPr>
          <w:color w:val="auto"/>
          <w:highlight w:val="none"/>
        </w:rPr>
      </w:pPr>
    </w:p>
    <w:p w14:paraId="6B02E6AF">
      <w:pPr>
        <w:pStyle w:val="8"/>
        <w:spacing w:line="257" w:lineRule="auto"/>
        <w:rPr>
          <w:color w:val="auto"/>
          <w:highlight w:val="none"/>
        </w:rPr>
      </w:pPr>
    </w:p>
    <w:p w14:paraId="1623B12D">
      <w:pPr>
        <w:tabs>
          <w:tab w:val="left" w:pos="5159"/>
        </w:tabs>
        <w:spacing w:before="78" w:line="220" w:lineRule="auto"/>
        <w:ind w:left="455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311ED0E0">
      <w:pPr>
        <w:spacing w:line="220" w:lineRule="auto"/>
        <w:rPr>
          <w:rFonts w:ascii="宋体" w:hAnsi="宋体" w:eastAsia="宋体" w:cs="宋体"/>
          <w:color w:val="auto"/>
          <w:sz w:val="24"/>
          <w:szCs w:val="24"/>
          <w:highlight w:val="none"/>
        </w:rPr>
        <w:sectPr>
          <w:footerReference r:id="rId83" w:type="default"/>
          <w:pgSz w:w="11905" w:h="16840"/>
          <w:pgMar w:top="400" w:right="1529" w:bottom="1255" w:left="1587" w:header="0" w:footer="1093" w:gutter="0"/>
          <w:pgNumType w:fmt="decimal"/>
          <w:cols w:space="720" w:num="1"/>
        </w:sectPr>
      </w:pPr>
    </w:p>
    <w:p w14:paraId="503FECEB">
      <w:pPr>
        <w:pStyle w:val="8"/>
        <w:spacing w:line="247" w:lineRule="auto"/>
        <w:rPr>
          <w:color w:val="auto"/>
          <w:highlight w:val="none"/>
        </w:rPr>
      </w:pPr>
    </w:p>
    <w:p w14:paraId="0A085D1F">
      <w:pPr>
        <w:pStyle w:val="8"/>
        <w:spacing w:line="247" w:lineRule="auto"/>
        <w:rPr>
          <w:color w:val="auto"/>
          <w:highlight w:val="none"/>
        </w:rPr>
      </w:pPr>
    </w:p>
    <w:p w14:paraId="00E3E7AD">
      <w:pPr>
        <w:pStyle w:val="8"/>
        <w:spacing w:line="247" w:lineRule="auto"/>
        <w:rPr>
          <w:color w:val="auto"/>
          <w:highlight w:val="none"/>
        </w:rPr>
      </w:pPr>
    </w:p>
    <w:p w14:paraId="29B38012">
      <w:pPr>
        <w:pStyle w:val="8"/>
        <w:spacing w:line="248" w:lineRule="auto"/>
        <w:rPr>
          <w:color w:val="auto"/>
          <w:highlight w:val="none"/>
        </w:rPr>
      </w:pPr>
    </w:p>
    <w:p w14:paraId="2BB75BD4">
      <w:pPr>
        <w:spacing w:before="88" w:line="225" w:lineRule="auto"/>
        <w:ind w:left="32"/>
        <w:rPr>
          <w:rFonts w:ascii="宋体" w:hAnsi="宋体" w:eastAsia="宋体" w:cs="宋体"/>
          <w:color w:val="auto"/>
          <w:sz w:val="27"/>
          <w:szCs w:val="27"/>
          <w:highlight w:val="none"/>
        </w:rPr>
      </w:pPr>
      <w:bookmarkStart w:id="86" w:name="bookmark384"/>
      <w:bookmarkEnd w:id="86"/>
      <w:r>
        <w:rPr>
          <w:rFonts w:ascii="宋体" w:hAnsi="宋体" w:eastAsia="宋体" w:cs="宋体"/>
          <w:b/>
          <w:bCs/>
          <w:color w:val="auto"/>
          <w:spacing w:val="5"/>
          <w:sz w:val="27"/>
          <w:szCs w:val="27"/>
          <w:highlight w:val="none"/>
        </w:rPr>
        <w:t>附件二：投标文件澄清函</w:t>
      </w:r>
    </w:p>
    <w:p w14:paraId="661CA33A">
      <w:pPr>
        <w:pStyle w:val="8"/>
        <w:spacing w:line="329" w:lineRule="auto"/>
        <w:rPr>
          <w:color w:val="auto"/>
          <w:highlight w:val="none"/>
        </w:rPr>
      </w:pPr>
    </w:p>
    <w:p w14:paraId="25C05868">
      <w:pPr>
        <w:pStyle w:val="8"/>
        <w:spacing w:line="330" w:lineRule="auto"/>
        <w:rPr>
          <w:color w:val="auto"/>
          <w:highlight w:val="none"/>
        </w:rPr>
      </w:pPr>
    </w:p>
    <w:p w14:paraId="7F34C9E2">
      <w:pPr>
        <w:spacing w:before="78" w:line="220" w:lineRule="auto"/>
        <w:ind w:left="3561"/>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投标文件澄清函</w:t>
      </w:r>
    </w:p>
    <w:p w14:paraId="6A165068">
      <w:pPr>
        <w:spacing w:before="180" w:line="220" w:lineRule="auto"/>
        <w:ind w:left="4044"/>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7CB738A8">
      <w:pPr>
        <w:pStyle w:val="8"/>
        <w:spacing w:line="256" w:lineRule="auto"/>
        <w:rPr>
          <w:color w:val="auto"/>
          <w:highlight w:val="none"/>
        </w:rPr>
      </w:pPr>
    </w:p>
    <w:p w14:paraId="05B73F76">
      <w:pPr>
        <w:pStyle w:val="8"/>
        <w:spacing w:line="257" w:lineRule="auto"/>
        <w:rPr>
          <w:color w:val="auto"/>
          <w:highlight w:val="none"/>
        </w:rPr>
      </w:pPr>
    </w:p>
    <w:p w14:paraId="2D4148F4">
      <w:pPr>
        <w:tabs>
          <w:tab w:val="left" w:pos="2160"/>
        </w:tabs>
        <w:spacing w:before="78" w:line="219"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3"/>
          <w:sz w:val="24"/>
          <w:szCs w:val="24"/>
          <w:highlight w:val="none"/>
        </w:rPr>
        <w:t>（项目名称</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标段名称）评标委员会：</w:t>
      </w:r>
    </w:p>
    <w:p w14:paraId="033418A0">
      <w:pPr>
        <w:pStyle w:val="8"/>
        <w:spacing w:line="257" w:lineRule="auto"/>
        <w:rPr>
          <w:color w:val="auto"/>
          <w:highlight w:val="none"/>
        </w:rPr>
      </w:pPr>
    </w:p>
    <w:p w14:paraId="1DF074DA">
      <w:pPr>
        <w:pStyle w:val="8"/>
        <w:spacing w:line="257" w:lineRule="auto"/>
        <w:rPr>
          <w:color w:val="auto"/>
          <w:highlight w:val="none"/>
        </w:rPr>
      </w:pPr>
    </w:p>
    <w:p w14:paraId="24BFA529">
      <w:pPr>
        <w:spacing w:before="79" w:line="220" w:lineRule="auto"/>
        <w:ind w:left="49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投标文件澄清通知（编号</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）已收悉，现就有关问题澄清如下：</w:t>
      </w:r>
    </w:p>
    <w:p w14:paraId="16E74A2E">
      <w:pPr>
        <w:spacing w:before="223" w:line="180" w:lineRule="auto"/>
        <w:ind w:left="50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9"/>
          <w:sz w:val="24"/>
          <w:szCs w:val="24"/>
          <w:highlight w:val="none"/>
        </w:rPr>
        <w:t>1</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19"/>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9"/>
          <w:sz w:val="24"/>
          <w:szCs w:val="24"/>
          <w:highlight w:val="none"/>
        </w:rPr>
        <w:t>……</w:t>
      </w:r>
    </w:p>
    <w:p w14:paraId="51009E12">
      <w:pPr>
        <w:spacing w:before="233" w:line="180" w:lineRule="auto"/>
        <w:ind w:left="48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3"/>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3"/>
          <w:sz w:val="24"/>
          <w:szCs w:val="24"/>
          <w:highlight w:val="none"/>
        </w:rPr>
        <w:t>．</w:t>
      </w:r>
      <w:r>
        <w:rPr>
          <w:rFonts w:ascii="宋体" w:hAnsi="宋体" w:eastAsia="宋体" w:cs="宋体"/>
          <w:color w:val="auto"/>
          <w:spacing w:val="-93"/>
          <w:sz w:val="24"/>
          <w:szCs w:val="24"/>
          <w:highlight w:val="none"/>
        </w:rPr>
        <w:t xml:space="preserve"> </w:t>
      </w:r>
      <w:r>
        <w:rPr>
          <w:rFonts w:ascii="Times New Roman" w:hAnsi="Times New Roman" w:eastAsia="Times New Roman" w:cs="Times New Roman"/>
          <w:color w:val="auto"/>
          <w:spacing w:val="-13"/>
          <w:sz w:val="24"/>
          <w:szCs w:val="24"/>
          <w:highlight w:val="none"/>
        </w:rPr>
        <w:t>……</w:t>
      </w:r>
    </w:p>
    <w:p w14:paraId="210F194E">
      <w:pPr>
        <w:pStyle w:val="8"/>
        <w:spacing w:line="285" w:lineRule="auto"/>
        <w:rPr>
          <w:color w:val="auto"/>
          <w:highlight w:val="none"/>
        </w:rPr>
      </w:pPr>
    </w:p>
    <w:p w14:paraId="1696C5AE">
      <w:pPr>
        <w:spacing w:before="69" w:line="75" w:lineRule="exact"/>
        <w:ind w:left="50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75902BE9">
      <w:pPr>
        <w:pStyle w:val="8"/>
        <w:spacing w:line="247" w:lineRule="auto"/>
        <w:rPr>
          <w:color w:val="auto"/>
          <w:highlight w:val="none"/>
        </w:rPr>
      </w:pPr>
    </w:p>
    <w:p w14:paraId="0588D4A6">
      <w:pPr>
        <w:pStyle w:val="8"/>
        <w:spacing w:line="248" w:lineRule="auto"/>
        <w:rPr>
          <w:color w:val="auto"/>
          <w:highlight w:val="none"/>
        </w:rPr>
      </w:pPr>
    </w:p>
    <w:p w14:paraId="44C79E2D">
      <w:pPr>
        <w:pStyle w:val="8"/>
        <w:spacing w:line="248" w:lineRule="auto"/>
        <w:rPr>
          <w:color w:val="auto"/>
          <w:highlight w:val="none"/>
        </w:rPr>
      </w:pPr>
    </w:p>
    <w:p w14:paraId="10ADE073">
      <w:pPr>
        <w:pStyle w:val="8"/>
        <w:spacing w:line="248" w:lineRule="auto"/>
        <w:rPr>
          <w:color w:val="auto"/>
          <w:highlight w:val="none"/>
        </w:rPr>
      </w:pPr>
    </w:p>
    <w:p w14:paraId="0827DA87">
      <w:pPr>
        <w:pStyle w:val="8"/>
        <w:spacing w:line="248" w:lineRule="auto"/>
        <w:rPr>
          <w:color w:val="auto"/>
          <w:highlight w:val="none"/>
        </w:rPr>
      </w:pPr>
    </w:p>
    <w:p w14:paraId="53FB6C6A">
      <w:pPr>
        <w:pStyle w:val="8"/>
        <w:spacing w:line="248" w:lineRule="auto"/>
        <w:rPr>
          <w:color w:val="auto"/>
          <w:highlight w:val="none"/>
        </w:rPr>
      </w:pPr>
    </w:p>
    <w:p w14:paraId="5F480E24">
      <w:pPr>
        <w:pStyle w:val="8"/>
        <w:spacing w:line="248" w:lineRule="auto"/>
        <w:rPr>
          <w:color w:val="auto"/>
          <w:highlight w:val="none"/>
        </w:rPr>
      </w:pPr>
    </w:p>
    <w:p w14:paraId="42BB786F">
      <w:pPr>
        <w:pStyle w:val="8"/>
        <w:spacing w:line="248" w:lineRule="auto"/>
        <w:rPr>
          <w:color w:val="auto"/>
          <w:highlight w:val="none"/>
        </w:rPr>
      </w:pPr>
    </w:p>
    <w:p w14:paraId="72D44394">
      <w:pPr>
        <w:pStyle w:val="8"/>
        <w:spacing w:line="248" w:lineRule="auto"/>
        <w:rPr>
          <w:color w:val="auto"/>
          <w:highlight w:val="none"/>
        </w:rPr>
      </w:pPr>
    </w:p>
    <w:p w14:paraId="49605B34">
      <w:pPr>
        <w:pStyle w:val="8"/>
        <w:spacing w:line="248" w:lineRule="auto"/>
        <w:rPr>
          <w:color w:val="auto"/>
          <w:highlight w:val="none"/>
        </w:rPr>
      </w:pPr>
    </w:p>
    <w:p w14:paraId="501CC391">
      <w:pPr>
        <w:pStyle w:val="8"/>
        <w:spacing w:line="248" w:lineRule="auto"/>
        <w:rPr>
          <w:color w:val="auto"/>
          <w:highlight w:val="none"/>
        </w:rPr>
      </w:pPr>
    </w:p>
    <w:p w14:paraId="33D62A3A">
      <w:pPr>
        <w:pStyle w:val="8"/>
        <w:spacing w:line="248" w:lineRule="auto"/>
        <w:rPr>
          <w:color w:val="auto"/>
          <w:highlight w:val="none"/>
        </w:rPr>
      </w:pPr>
    </w:p>
    <w:p w14:paraId="1B94DF27">
      <w:pPr>
        <w:spacing w:before="79" w:line="219" w:lineRule="auto"/>
        <w:ind w:left="301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盖单位章）</w:t>
      </w:r>
    </w:p>
    <w:p w14:paraId="31B57D77">
      <w:pPr>
        <w:pStyle w:val="8"/>
        <w:spacing w:line="257" w:lineRule="auto"/>
        <w:rPr>
          <w:color w:val="auto"/>
          <w:highlight w:val="none"/>
        </w:rPr>
      </w:pPr>
    </w:p>
    <w:p w14:paraId="75F71AF7">
      <w:pPr>
        <w:pStyle w:val="8"/>
        <w:spacing w:line="257" w:lineRule="auto"/>
        <w:rPr>
          <w:color w:val="auto"/>
          <w:highlight w:val="none"/>
        </w:rPr>
      </w:pPr>
    </w:p>
    <w:p w14:paraId="2FEF137B">
      <w:pPr>
        <w:spacing w:before="78" w:line="220" w:lineRule="auto"/>
        <w:ind w:left="301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rPr>
        <w:t>签字）</w:t>
      </w:r>
    </w:p>
    <w:p w14:paraId="3C401383">
      <w:pPr>
        <w:pStyle w:val="8"/>
        <w:spacing w:line="308" w:lineRule="auto"/>
        <w:rPr>
          <w:color w:val="auto"/>
          <w:highlight w:val="none"/>
        </w:rPr>
      </w:pPr>
    </w:p>
    <w:p w14:paraId="50DF81F2">
      <w:pPr>
        <w:pStyle w:val="8"/>
        <w:spacing w:line="308" w:lineRule="auto"/>
        <w:rPr>
          <w:color w:val="auto"/>
          <w:highlight w:val="none"/>
        </w:rPr>
      </w:pPr>
    </w:p>
    <w:p w14:paraId="4034E36E">
      <w:pPr>
        <w:pStyle w:val="8"/>
        <w:spacing w:line="309" w:lineRule="auto"/>
        <w:rPr>
          <w:color w:val="auto"/>
          <w:highlight w:val="none"/>
        </w:rPr>
      </w:pPr>
    </w:p>
    <w:p w14:paraId="05073B5D">
      <w:pPr>
        <w:tabs>
          <w:tab w:val="left" w:pos="5759"/>
        </w:tabs>
        <w:spacing w:before="78" w:line="220" w:lineRule="auto"/>
        <w:ind w:left="5159"/>
        <w:rPr>
          <w:rFonts w:ascii="宋体" w:hAnsi="宋体" w:eastAsia="宋体" w:cs="宋体"/>
          <w:color w:val="auto"/>
          <w:sz w:val="24"/>
          <w:szCs w:val="24"/>
          <w:highlight w:val="none"/>
        </w:rPr>
        <w:sectPr>
          <w:footerReference r:id="rId84" w:type="default"/>
          <w:pgSz w:w="11905" w:h="16840"/>
          <w:pgMar w:top="400" w:right="1529" w:bottom="1255" w:left="1587" w:header="0" w:footer="1093" w:gutter="0"/>
          <w:pgNumType w:fmt="decimal"/>
          <w:cols w:space="720" w:num="1"/>
        </w:sect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09C6DBE0">
      <w:pPr>
        <w:pStyle w:val="8"/>
        <w:spacing w:line="242" w:lineRule="auto"/>
        <w:rPr>
          <w:color w:val="auto"/>
          <w:highlight w:val="none"/>
        </w:rPr>
      </w:pPr>
    </w:p>
    <w:p w14:paraId="7EEEB3E8">
      <w:pPr>
        <w:pStyle w:val="8"/>
        <w:spacing w:line="242" w:lineRule="auto"/>
        <w:rPr>
          <w:color w:val="auto"/>
          <w:highlight w:val="none"/>
        </w:rPr>
      </w:pPr>
    </w:p>
    <w:p w14:paraId="4DABD22C">
      <w:pPr>
        <w:pStyle w:val="8"/>
        <w:spacing w:line="243" w:lineRule="auto"/>
        <w:rPr>
          <w:color w:val="auto"/>
          <w:highlight w:val="none"/>
        </w:rPr>
      </w:pPr>
    </w:p>
    <w:p w14:paraId="3C750838">
      <w:pPr>
        <w:spacing w:before="117" w:line="219" w:lineRule="auto"/>
        <w:ind w:left="2412"/>
        <w:outlineLvl w:val="1"/>
        <w:rPr>
          <w:rFonts w:ascii="宋体" w:hAnsi="宋体" w:eastAsia="宋体" w:cs="宋体"/>
          <w:color w:val="auto"/>
          <w:sz w:val="36"/>
          <w:szCs w:val="36"/>
          <w:highlight w:val="none"/>
        </w:rPr>
      </w:pPr>
      <w:bookmarkStart w:id="87" w:name="bookmark46"/>
      <w:bookmarkEnd w:id="87"/>
      <w:bookmarkStart w:id="88" w:name="_Toc20754"/>
      <w:r>
        <w:rPr>
          <w:rFonts w:ascii="宋体" w:hAnsi="宋体" w:eastAsia="宋体" w:cs="宋体"/>
          <w:b/>
          <w:bCs/>
          <w:color w:val="auto"/>
          <w:spacing w:val="-4"/>
          <w:sz w:val="36"/>
          <w:szCs w:val="36"/>
          <w:highlight w:val="none"/>
        </w:rPr>
        <w:t>第四章</w:t>
      </w:r>
      <w:r>
        <w:rPr>
          <w:rFonts w:ascii="宋体" w:hAnsi="宋体" w:eastAsia="宋体" w:cs="宋体"/>
          <w:color w:val="auto"/>
          <w:spacing w:val="-4"/>
          <w:sz w:val="36"/>
          <w:szCs w:val="36"/>
          <w:highlight w:val="none"/>
        </w:rPr>
        <w:t xml:space="preserve">  </w:t>
      </w:r>
      <w:r>
        <w:rPr>
          <w:rFonts w:ascii="宋体" w:hAnsi="宋体" w:eastAsia="宋体" w:cs="宋体"/>
          <w:b/>
          <w:bCs/>
          <w:color w:val="auto"/>
          <w:spacing w:val="-4"/>
          <w:sz w:val="36"/>
          <w:szCs w:val="36"/>
          <w:highlight w:val="none"/>
        </w:rPr>
        <w:t>合同条款及格式</w:t>
      </w:r>
      <w:bookmarkEnd w:id="88"/>
    </w:p>
    <w:p w14:paraId="12322D56">
      <w:pPr>
        <w:spacing w:before="274" w:line="220" w:lineRule="auto"/>
        <w:ind w:left="2872"/>
        <w:outlineLvl w:val="1"/>
        <w:rPr>
          <w:rFonts w:ascii="宋体" w:hAnsi="宋体" w:eastAsia="宋体" w:cs="宋体"/>
          <w:color w:val="auto"/>
          <w:sz w:val="32"/>
          <w:szCs w:val="32"/>
          <w:highlight w:val="none"/>
        </w:rPr>
      </w:pPr>
      <w:bookmarkStart w:id="89" w:name="bookmark47"/>
      <w:bookmarkEnd w:id="89"/>
      <w:bookmarkStart w:id="90" w:name="_Toc20852"/>
      <w:r>
        <w:rPr>
          <w:rFonts w:ascii="宋体" w:hAnsi="宋体" w:eastAsia="宋体" w:cs="宋体"/>
          <w:b/>
          <w:bCs/>
          <w:color w:val="auto"/>
          <w:spacing w:val="-3"/>
          <w:sz w:val="32"/>
          <w:szCs w:val="32"/>
          <w:highlight w:val="none"/>
        </w:rPr>
        <w:t>第</w:t>
      </w:r>
      <w:r>
        <w:rPr>
          <w:rFonts w:ascii="Times New Roman" w:hAnsi="Times New Roman" w:eastAsia="Times New Roman" w:cs="Times New Roman"/>
          <w:b/>
          <w:bCs/>
          <w:color w:val="auto"/>
          <w:spacing w:val="-3"/>
          <w:sz w:val="32"/>
          <w:szCs w:val="32"/>
          <w:highlight w:val="none"/>
        </w:rPr>
        <w:t>1</w:t>
      </w:r>
      <w:r>
        <w:rPr>
          <w:rFonts w:ascii="宋体" w:hAnsi="宋体" w:eastAsia="宋体" w:cs="宋体"/>
          <w:b/>
          <w:bCs/>
          <w:color w:val="auto"/>
          <w:spacing w:val="-3"/>
          <w:sz w:val="32"/>
          <w:szCs w:val="32"/>
          <w:highlight w:val="none"/>
        </w:rPr>
        <w:t>节</w:t>
      </w:r>
      <w:r>
        <w:rPr>
          <w:rFonts w:ascii="宋体" w:hAnsi="宋体" w:eastAsia="宋体" w:cs="宋体"/>
          <w:color w:val="auto"/>
          <w:spacing w:val="-3"/>
          <w:sz w:val="32"/>
          <w:szCs w:val="32"/>
          <w:highlight w:val="none"/>
        </w:rPr>
        <w:t xml:space="preserve">  </w:t>
      </w:r>
      <w:r>
        <w:rPr>
          <w:rFonts w:ascii="宋体" w:hAnsi="宋体" w:eastAsia="宋体" w:cs="宋体"/>
          <w:b/>
          <w:bCs/>
          <w:color w:val="auto"/>
          <w:spacing w:val="-3"/>
          <w:sz w:val="32"/>
          <w:szCs w:val="32"/>
          <w:highlight w:val="none"/>
        </w:rPr>
        <w:t>通用合同条款</w:t>
      </w:r>
      <w:bookmarkEnd w:id="90"/>
    </w:p>
    <w:p w14:paraId="2EB2E6AF">
      <w:pPr>
        <w:pStyle w:val="8"/>
        <w:spacing w:line="267" w:lineRule="auto"/>
        <w:rPr>
          <w:color w:val="auto"/>
          <w:highlight w:val="none"/>
        </w:rPr>
      </w:pPr>
    </w:p>
    <w:p w14:paraId="7BA4E6E2">
      <w:pPr>
        <w:pStyle w:val="8"/>
        <w:spacing w:line="244" w:lineRule="auto"/>
        <w:jc w:val="center"/>
        <w:rPr>
          <w:color w:val="auto"/>
          <w:highlight w:val="none"/>
        </w:rPr>
      </w:pPr>
      <w:bookmarkStart w:id="91" w:name="bookmark48"/>
      <w:bookmarkEnd w:id="91"/>
      <w:r>
        <w:rPr>
          <w:rFonts w:ascii="Times New Roman" w:hAnsi="Times New Roman" w:eastAsia="宋体" w:cs="Times New Roman"/>
          <w:b/>
          <w:bCs/>
          <w:color w:val="auto"/>
          <w:spacing w:val="-3"/>
          <w:sz w:val="32"/>
          <w:szCs w:val="32"/>
          <w:highlight w:val="none"/>
          <w:lang w:eastAsia="zh-CN"/>
        </w:rPr>
        <w:t>通篇使用《浙江省水利水电工程施工招标文件示范文本》(2023 年)第4章第1节通用合同条款</w:t>
      </w:r>
    </w:p>
    <w:p w14:paraId="7D9A4DA8">
      <w:pPr>
        <w:pStyle w:val="8"/>
        <w:spacing w:line="244" w:lineRule="auto"/>
        <w:rPr>
          <w:color w:val="auto"/>
          <w:highlight w:val="none"/>
        </w:rPr>
      </w:pPr>
    </w:p>
    <w:p w14:paraId="34649A5D">
      <w:pPr>
        <w:pStyle w:val="8"/>
        <w:spacing w:line="244" w:lineRule="auto"/>
        <w:rPr>
          <w:color w:val="auto"/>
          <w:highlight w:val="none"/>
        </w:rPr>
      </w:pPr>
    </w:p>
    <w:p w14:paraId="55F3359F">
      <w:pPr>
        <w:pStyle w:val="8"/>
        <w:spacing w:line="245" w:lineRule="auto"/>
        <w:rPr>
          <w:color w:val="auto"/>
          <w:highlight w:val="none"/>
        </w:rPr>
      </w:pPr>
    </w:p>
    <w:p w14:paraId="4EA85AAE">
      <w:pPr>
        <w:spacing w:before="104" w:line="220" w:lineRule="auto"/>
        <w:ind w:left="2874"/>
        <w:outlineLvl w:val="1"/>
        <w:rPr>
          <w:rFonts w:ascii="宋体" w:hAnsi="宋体" w:eastAsia="宋体" w:cs="宋体"/>
          <w:color w:val="auto"/>
          <w:sz w:val="32"/>
          <w:szCs w:val="32"/>
          <w:highlight w:val="none"/>
        </w:rPr>
      </w:pPr>
      <w:bookmarkStart w:id="92" w:name="bookmark72"/>
      <w:bookmarkEnd w:id="92"/>
      <w:bookmarkStart w:id="93" w:name="bookmark408"/>
      <w:bookmarkEnd w:id="93"/>
      <w:bookmarkStart w:id="94" w:name="_Toc8460"/>
      <w:r>
        <w:rPr>
          <w:rFonts w:ascii="宋体" w:hAnsi="宋体" w:eastAsia="宋体" w:cs="宋体"/>
          <w:b/>
          <w:bCs/>
          <w:color w:val="auto"/>
          <w:spacing w:val="-3"/>
          <w:sz w:val="32"/>
          <w:szCs w:val="32"/>
          <w:highlight w:val="none"/>
        </w:rPr>
        <w:t>第</w:t>
      </w:r>
      <w:r>
        <w:rPr>
          <w:rFonts w:ascii="Times New Roman" w:hAnsi="Times New Roman" w:eastAsia="Times New Roman" w:cs="Times New Roman"/>
          <w:b/>
          <w:bCs/>
          <w:color w:val="auto"/>
          <w:spacing w:val="-3"/>
          <w:sz w:val="32"/>
          <w:szCs w:val="32"/>
          <w:highlight w:val="none"/>
        </w:rPr>
        <w:t>2</w:t>
      </w:r>
      <w:r>
        <w:rPr>
          <w:rFonts w:ascii="宋体" w:hAnsi="宋体" w:eastAsia="宋体" w:cs="宋体"/>
          <w:b/>
          <w:bCs/>
          <w:color w:val="auto"/>
          <w:spacing w:val="-3"/>
          <w:sz w:val="32"/>
          <w:szCs w:val="32"/>
          <w:highlight w:val="none"/>
        </w:rPr>
        <w:t>节</w:t>
      </w:r>
      <w:r>
        <w:rPr>
          <w:rFonts w:ascii="宋体" w:hAnsi="宋体" w:eastAsia="宋体" w:cs="宋体"/>
          <w:color w:val="auto"/>
          <w:spacing w:val="-3"/>
          <w:sz w:val="32"/>
          <w:szCs w:val="32"/>
          <w:highlight w:val="none"/>
        </w:rPr>
        <w:t xml:space="preserve">  </w:t>
      </w:r>
      <w:r>
        <w:rPr>
          <w:rFonts w:ascii="宋体" w:hAnsi="宋体" w:eastAsia="宋体" w:cs="宋体"/>
          <w:b/>
          <w:bCs/>
          <w:color w:val="auto"/>
          <w:spacing w:val="-3"/>
          <w:sz w:val="32"/>
          <w:szCs w:val="32"/>
          <w:highlight w:val="none"/>
        </w:rPr>
        <w:t>专用合同条款</w:t>
      </w:r>
      <w:bookmarkEnd w:id="94"/>
    </w:p>
    <w:p w14:paraId="4D34F383">
      <w:pPr>
        <w:pStyle w:val="8"/>
        <w:spacing w:line="267" w:lineRule="auto"/>
        <w:rPr>
          <w:color w:val="auto"/>
          <w:highlight w:val="none"/>
        </w:rPr>
      </w:pPr>
    </w:p>
    <w:p w14:paraId="46395622">
      <w:pPr>
        <w:keepNext w:val="0"/>
        <w:keepLines w:val="0"/>
        <w:pageBreakBefore w:val="0"/>
        <w:widowControl w:val="0"/>
        <w:kinsoku w:val="0"/>
        <w:wordWrap/>
        <w:overflowPunct w:val="0"/>
        <w:topLinePunct w:val="0"/>
        <w:autoSpaceDE w:val="0"/>
        <w:autoSpaceDN w:val="0"/>
        <w:bidi w:val="0"/>
        <w:adjustRightInd w:val="0"/>
        <w:snapToGrid w:val="0"/>
        <w:spacing w:before="88" w:line="227" w:lineRule="auto"/>
        <w:ind w:left="12"/>
        <w:textAlignment w:val="baseline"/>
        <w:outlineLvl w:val="2"/>
        <w:rPr>
          <w:rFonts w:ascii="宋体" w:hAnsi="宋体" w:eastAsia="宋体" w:cs="宋体"/>
          <w:color w:val="auto"/>
          <w:sz w:val="27"/>
          <w:szCs w:val="27"/>
          <w:highlight w:val="none"/>
        </w:rPr>
      </w:pPr>
      <w:bookmarkStart w:id="95" w:name="bookmark73"/>
      <w:bookmarkEnd w:id="95"/>
      <w:bookmarkStart w:id="96" w:name="_Toc6331"/>
      <w:r>
        <w:rPr>
          <w:rFonts w:ascii="Times New Roman" w:hAnsi="Times New Roman" w:eastAsia="Times New Roman" w:cs="Times New Roman"/>
          <w:b/>
          <w:bCs/>
          <w:color w:val="auto"/>
          <w:sz w:val="27"/>
          <w:szCs w:val="27"/>
          <w:highlight w:val="none"/>
        </w:rPr>
        <w:t>1</w:t>
      </w:r>
      <w:r>
        <w:rPr>
          <w:rFonts w:ascii="Times New Roman" w:hAnsi="Times New Roman" w:eastAsia="Times New Roman" w:cs="Times New Roman"/>
          <w:b/>
          <w:bCs/>
          <w:color w:val="auto"/>
          <w:spacing w:val="11"/>
          <w:sz w:val="27"/>
          <w:szCs w:val="27"/>
          <w:highlight w:val="none"/>
        </w:rPr>
        <w:t xml:space="preserve">  </w:t>
      </w:r>
      <w:r>
        <w:rPr>
          <w:rFonts w:ascii="宋体" w:hAnsi="宋体" w:eastAsia="宋体" w:cs="宋体"/>
          <w:b/>
          <w:bCs/>
          <w:color w:val="auto"/>
          <w:sz w:val="27"/>
          <w:szCs w:val="27"/>
          <w:highlight w:val="none"/>
        </w:rPr>
        <w:t>一般约定</w:t>
      </w:r>
      <w:bookmarkEnd w:id="96"/>
    </w:p>
    <w:p w14:paraId="6862A5FF">
      <w:pPr>
        <w:pStyle w:val="8"/>
        <w:keepNext w:val="0"/>
        <w:keepLines w:val="0"/>
        <w:pageBreakBefore w:val="0"/>
        <w:widowControl w:val="0"/>
        <w:kinsoku w:val="0"/>
        <w:wordWrap/>
        <w:overflowPunct w:val="0"/>
        <w:topLinePunct w:val="0"/>
        <w:autoSpaceDE w:val="0"/>
        <w:autoSpaceDN w:val="0"/>
        <w:bidi w:val="0"/>
        <w:adjustRightInd w:val="0"/>
        <w:snapToGrid w:val="0"/>
        <w:spacing w:line="246" w:lineRule="auto"/>
        <w:textAlignment w:val="baseline"/>
        <w:rPr>
          <w:color w:val="auto"/>
          <w:highlight w:val="none"/>
        </w:rPr>
      </w:pPr>
    </w:p>
    <w:p w14:paraId="235C6EF2">
      <w:pPr>
        <w:keepNext w:val="0"/>
        <w:keepLines w:val="0"/>
        <w:pageBreakBefore w:val="0"/>
        <w:widowControl w:val="0"/>
        <w:kinsoku w:val="0"/>
        <w:wordWrap/>
        <w:overflowPunct w:val="0"/>
        <w:topLinePunct w:val="0"/>
        <w:autoSpaceDE w:val="0"/>
        <w:autoSpaceDN w:val="0"/>
        <w:bidi w:val="0"/>
        <w:adjustRightInd w:val="0"/>
        <w:snapToGrid w:val="0"/>
        <w:spacing w:before="78" w:line="233" w:lineRule="auto"/>
        <w:ind w:left="10"/>
        <w:textAlignment w:val="baseline"/>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  </w:t>
      </w:r>
      <w:r>
        <w:rPr>
          <w:rFonts w:ascii="楷体" w:hAnsi="楷体" w:eastAsia="楷体" w:cs="楷体"/>
          <w:b/>
          <w:bCs/>
          <w:color w:val="auto"/>
          <w:spacing w:val="-3"/>
          <w:sz w:val="24"/>
          <w:szCs w:val="24"/>
          <w:highlight w:val="none"/>
        </w:rPr>
        <w:t>词语定义</w:t>
      </w:r>
    </w:p>
    <w:p w14:paraId="011AC485">
      <w:pPr>
        <w:keepNext w:val="0"/>
        <w:keepLines w:val="0"/>
        <w:pageBreakBefore w:val="0"/>
        <w:widowControl w:val="0"/>
        <w:kinsoku w:val="0"/>
        <w:wordWrap/>
        <w:overflowPunct w:val="0"/>
        <w:topLinePunct w:val="0"/>
        <w:autoSpaceDE w:val="0"/>
        <w:autoSpaceDN w:val="0"/>
        <w:bidi w:val="0"/>
        <w:adjustRightInd w:val="0"/>
        <w:snapToGrid w:val="0"/>
        <w:spacing w:before="164" w:line="220" w:lineRule="auto"/>
        <w:ind w:left="492"/>
        <w:textAlignment w:val="baseline"/>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1.1.2  </w:t>
      </w:r>
      <w:r>
        <w:rPr>
          <w:rFonts w:ascii="宋体" w:hAnsi="宋体" w:eastAsia="宋体" w:cs="宋体"/>
          <w:color w:val="auto"/>
          <w:spacing w:val="-1"/>
          <w:sz w:val="24"/>
          <w:szCs w:val="24"/>
          <w:highlight w:val="none"/>
        </w:rPr>
        <w:t>合同当事人和人员</w:t>
      </w:r>
    </w:p>
    <w:p w14:paraId="4B5DA7F0">
      <w:pPr>
        <w:keepNext w:val="0"/>
        <w:keepLines w:val="0"/>
        <w:pageBreakBefore w:val="0"/>
        <w:widowControl w:val="0"/>
        <w:kinsoku w:val="0"/>
        <w:wordWrap/>
        <w:overflowPunct w:val="0"/>
        <w:topLinePunct w:val="0"/>
        <w:autoSpaceDE w:val="0"/>
        <w:autoSpaceDN w:val="0"/>
        <w:bidi w:val="0"/>
        <w:adjustRightInd w:val="0"/>
        <w:snapToGrid w:val="0"/>
        <w:spacing w:before="180" w:line="220" w:lineRule="auto"/>
        <w:ind w:left="502"/>
        <w:textAlignment w:val="baseline"/>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"1.1.2.2" </w:instrText>
      </w:r>
      <w:r>
        <w:rPr>
          <w:color w:val="auto"/>
          <w:highlight w:val="none"/>
        </w:rPr>
        <w:fldChar w:fldCharType="separate"/>
      </w:r>
      <w:r>
        <w:rPr>
          <w:rFonts w:ascii="Times New Roman" w:hAnsi="Times New Roman" w:eastAsia="Times New Roman" w:cs="Times New Roman"/>
          <w:color w:val="auto"/>
          <w:spacing w:val="-3"/>
          <w:sz w:val="24"/>
          <w:szCs w:val="24"/>
          <w:highlight w:val="none"/>
        </w:rPr>
        <w:t>1.1.2.2</w:t>
      </w:r>
      <w:r>
        <w:rPr>
          <w:rFonts w:ascii="Times New Roman" w:hAnsi="Times New Roman" w:eastAsia="Times New Roman" w:cs="Times New Roman"/>
          <w:color w:val="auto"/>
          <w:spacing w:val="-3"/>
          <w:sz w:val="24"/>
          <w:szCs w:val="24"/>
          <w:highlight w:val="none"/>
        </w:rPr>
        <w:fldChar w:fldCharType="end"/>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发包人：</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eastAsia="zh-CN"/>
        </w:rPr>
        <w:t>绍兴滨海新区滨投农业开发有限公司</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p>
    <w:p w14:paraId="66DA1344">
      <w:pPr>
        <w:keepNext w:val="0"/>
        <w:keepLines w:val="0"/>
        <w:pageBreakBefore w:val="0"/>
        <w:widowControl w:val="0"/>
        <w:kinsoku w:val="0"/>
        <w:wordWrap/>
        <w:overflowPunct w:val="0"/>
        <w:topLinePunct w:val="0"/>
        <w:autoSpaceDE w:val="0"/>
        <w:autoSpaceDN w:val="0"/>
        <w:bidi w:val="0"/>
        <w:adjustRightInd w:val="0"/>
        <w:snapToGrid w:val="0"/>
        <w:spacing w:before="180" w:line="220" w:lineRule="auto"/>
        <w:ind w:left="502"/>
        <w:textAlignment w:val="baseline"/>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"1.1.2.3" </w:instrText>
      </w:r>
      <w:r>
        <w:rPr>
          <w:color w:val="auto"/>
          <w:highlight w:val="none"/>
        </w:rPr>
        <w:fldChar w:fldCharType="separate"/>
      </w:r>
      <w:r>
        <w:rPr>
          <w:rFonts w:ascii="Times New Roman" w:hAnsi="Times New Roman" w:eastAsia="Times New Roman" w:cs="Times New Roman"/>
          <w:color w:val="auto"/>
          <w:spacing w:val="-3"/>
          <w:sz w:val="24"/>
          <w:szCs w:val="24"/>
          <w:highlight w:val="none"/>
        </w:rPr>
        <w:t>1.1.2.3</w:t>
      </w:r>
      <w:r>
        <w:rPr>
          <w:rFonts w:ascii="Times New Roman" w:hAnsi="Times New Roman" w:eastAsia="Times New Roman" w:cs="Times New Roman"/>
          <w:color w:val="auto"/>
          <w:spacing w:val="-3"/>
          <w:sz w:val="24"/>
          <w:szCs w:val="24"/>
          <w:highlight w:val="none"/>
        </w:rPr>
        <w:fldChar w:fldCharType="end"/>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承包人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签约后填入）。</w:t>
      </w:r>
    </w:p>
    <w:p w14:paraId="2CF86F44">
      <w:pPr>
        <w:keepNext w:val="0"/>
        <w:keepLines w:val="0"/>
        <w:pageBreakBefore w:val="0"/>
        <w:widowControl w:val="0"/>
        <w:kinsoku w:val="0"/>
        <w:wordWrap/>
        <w:overflowPunct w:val="0"/>
        <w:topLinePunct w:val="0"/>
        <w:autoSpaceDE w:val="0"/>
        <w:autoSpaceDN w:val="0"/>
        <w:bidi w:val="0"/>
        <w:adjustRightInd w:val="0"/>
        <w:snapToGrid w:val="0"/>
        <w:spacing w:before="181" w:line="220" w:lineRule="auto"/>
        <w:ind w:left="502"/>
        <w:textAlignment w:val="baseline"/>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"1.1.2.5" </w:instrText>
      </w:r>
      <w:r>
        <w:rPr>
          <w:color w:val="auto"/>
          <w:highlight w:val="none"/>
        </w:rPr>
        <w:fldChar w:fldCharType="separate"/>
      </w:r>
      <w:r>
        <w:rPr>
          <w:rFonts w:ascii="Times New Roman" w:hAnsi="Times New Roman" w:eastAsia="Times New Roman" w:cs="Times New Roman"/>
          <w:color w:val="auto"/>
          <w:spacing w:val="-3"/>
          <w:sz w:val="24"/>
          <w:szCs w:val="24"/>
          <w:highlight w:val="none"/>
        </w:rPr>
        <w:t>1.1.2.5</w:t>
      </w:r>
      <w:r>
        <w:rPr>
          <w:rFonts w:ascii="Times New Roman" w:hAnsi="Times New Roman" w:eastAsia="Times New Roman" w:cs="Times New Roman"/>
          <w:color w:val="auto"/>
          <w:spacing w:val="-3"/>
          <w:sz w:val="24"/>
          <w:szCs w:val="24"/>
          <w:highlight w:val="none"/>
        </w:rPr>
        <w:fldChar w:fldCharType="end"/>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分包人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p>
    <w:p w14:paraId="23987A4D">
      <w:pPr>
        <w:keepNext w:val="0"/>
        <w:keepLines w:val="0"/>
        <w:pageBreakBefore w:val="0"/>
        <w:widowControl w:val="0"/>
        <w:kinsoku w:val="0"/>
        <w:wordWrap/>
        <w:overflowPunct w:val="0"/>
        <w:topLinePunct w:val="0"/>
        <w:autoSpaceDE w:val="0"/>
        <w:autoSpaceDN w:val="0"/>
        <w:bidi w:val="0"/>
        <w:adjustRightInd w:val="0"/>
        <w:snapToGrid w:val="0"/>
        <w:spacing w:before="181" w:line="222" w:lineRule="auto"/>
        <w:ind w:left="502"/>
        <w:textAlignment w:val="baseline"/>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"1.1.2.6" </w:instrText>
      </w:r>
      <w:r>
        <w:rPr>
          <w:color w:val="auto"/>
          <w:highlight w:val="none"/>
        </w:rPr>
        <w:fldChar w:fldCharType="separate"/>
      </w:r>
      <w:r>
        <w:rPr>
          <w:rFonts w:ascii="Times New Roman" w:hAnsi="Times New Roman" w:eastAsia="Times New Roman" w:cs="Times New Roman"/>
          <w:color w:val="auto"/>
          <w:spacing w:val="-3"/>
          <w:sz w:val="24"/>
          <w:szCs w:val="24"/>
          <w:highlight w:val="none"/>
        </w:rPr>
        <w:t>1.1.2.6</w:t>
      </w:r>
      <w:r>
        <w:rPr>
          <w:rFonts w:ascii="Times New Roman" w:hAnsi="Times New Roman" w:eastAsia="Times New Roman" w:cs="Times New Roman"/>
          <w:color w:val="auto"/>
          <w:spacing w:val="-3"/>
          <w:sz w:val="24"/>
          <w:szCs w:val="24"/>
          <w:highlight w:val="none"/>
        </w:rPr>
        <w:fldChar w:fldCharType="end"/>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监理人：</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p>
    <w:p w14:paraId="5044AAA9">
      <w:pPr>
        <w:keepNext w:val="0"/>
        <w:keepLines w:val="0"/>
        <w:pageBreakBefore w:val="0"/>
        <w:widowControl w:val="0"/>
        <w:kinsoku w:val="0"/>
        <w:wordWrap/>
        <w:overflowPunct w:val="0"/>
        <w:topLinePunct w:val="0"/>
        <w:autoSpaceDE w:val="0"/>
        <w:autoSpaceDN w:val="0"/>
        <w:bidi w:val="0"/>
        <w:adjustRightInd w:val="0"/>
        <w:snapToGrid w:val="0"/>
        <w:spacing w:before="178" w:line="220" w:lineRule="auto"/>
        <w:ind w:left="492"/>
        <w:textAlignment w:val="baseline"/>
        <w:rPr>
          <w:rFonts w:ascii="宋体" w:hAnsi="宋体" w:eastAsia="宋体" w:cs="宋体"/>
          <w:color w:val="auto"/>
          <w:sz w:val="24"/>
          <w:szCs w:val="24"/>
          <w:highlight w:val="none"/>
        </w:rPr>
      </w:pPr>
      <w:r>
        <w:rPr>
          <w:rFonts w:ascii="Times New Roman" w:hAnsi="Times New Roman" w:eastAsia="Times New Roman" w:cs="Times New Roman"/>
          <w:b/>
          <w:bCs/>
          <w:color w:val="auto"/>
          <w:spacing w:val="-6"/>
          <w:sz w:val="24"/>
          <w:szCs w:val="24"/>
          <w:highlight w:val="none"/>
        </w:rPr>
        <w:t>1.1.4</w:t>
      </w:r>
      <w:r>
        <w:rPr>
          <w:rFonts w:ascii="Times New Roman" w:hAnsi="Times New Roman" w:eastAsia="Times New Roman" w:cs="Times New Roman"/>
          <w:b/>
          <w:bCs/>
          <w:color w:val="auto"/>
          <w:spacing w:val="25"/>
          <w:sz w:val="24"/>
          <w:szCs w:val="24"/>
          <w:highlight w:val="none"/>
        </w:rPr>
        <w:t xml:space="preserve">  </w:t>
      </w:r>
      <w:r>
        <w:rPr>
          <w:rFonts w:ascii="宋体" w:hAnsi="宋体" w:eastAsia="宋体" w:cs="宋体"/>
          <w:color w:val="auto"/>
          <w:spacing w:val="-6"/>
          <w:sz w:val="24"/>
          <w:szCs w:val="24"/>
          <w:highlight w:val="none"/>
        </w:rPr>
        <w:t>日期</w:t>
      </w:r>
    </w:p>
    <w:p w14:paraId="77A8C307">
      <w:pPr>
        <w:keepNext w:val="0"/>
        <w:keepLines w:val="0"/>
        <w:pageBreakBefore w:val="0"/>
        <w:widowControl w:val="0"/>
        <w:kinsoku w:val="0"/>
        <w:wordWrap/>
        <w:overflowPunct w:val="0"/>
        <w:topLinePunct w:val="0"/>
        <w:autoSpaceDE w:val="0"/>
        <w:autoSpaceDN w:val="0"/>
        <w:bidi w:val="0"/>
        <w:adjustRightInd w:val="0"/>
        <w:snapToGrid w:val="0"/>
        <w:spacing w:before="180" w:line="220" w:lineRule="auto"/>
        <w:ind w:left="502"/>
        <w:textAlignment w:val="baseline"/>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"1.1.4.5" </w:instrText>
      </w:r>
      <w:r>
        <w:rPr>
          <w:color w:val="auto"/>
          <w:highlight w:val="none"/>
        </w:rPr>
        <w:fldChar w:fldCharType="separate"/>
      </w:r>
      <w:r>
        <w:rPr>
          <w:rFonts w:ascii="Times New Roman" w:hAnsi="Times New Roman" w:eastAsia="Times New Roman" w:cs="Times New Roman"/>
          <w:color w:val="auto"/>
          <w:spacing w:val="-2"/>
          <w:sz w:val="24"/>
          <w:szCs w:val="24"/>
          <w:highlight w:val="none"/>
        </w:rPr>
        <w:t>1.1.4.5</w:t>
      </w:r>
      <w:r>
        <w:rPr>
          <w:rFonts w:ascii="Times New Roman" w:hAnsi="Times New Roman" w:eastAsia="Times New Roman" w:cs="Times New Roman"/>
          <w:color w:val="auto"/>
          <w:spacing w:val="-2"/>
          <w:sz w:val="24"/>
          <w:szCs w:val="24"/>
          <w:highlight w:val="none"/>
        </w:rPr>
        <w:fldChar w:fldCharType="end"/>
      </w:r>
      <w:r>
        <w:rPr>
          <w:rFonts w:ascii="Times New Roman" w:hAnsi="Times New Roman" w:eastAsia="Times New Roman" w:cs="Times New Roman"/>
          <w:color w:val="auto"/>
          <w:spacing w:val="-2"/>
          <w:sz w:val="24"/>
          <w:szCs w:val="24"/>
          <w:highlight w:val="none"/>
        </w:rPr>
        <w:t xml:space="preserve">  </w:t>
      </w:r>
      <w:r>
        <w:rPr>
          <w:rFonts w:ascii="宋体" w:hAnsi="宋体" w:eastAsia="宋体" w:cs="宋体"/>
          <w:color w:val="auto"/>
          <w:spacing w:val="-2"/>
          <w:sz w:val="24"/>
          <w:szCs w:val="24"/>
          <w:highlight w:val="none"/>
        </w:rPr>
        <w:t>缺陷责任期（工程质量保修期</w:t>
      </w:r>
      <w:r>
        <w:rPr>
          <w:rFonts w:ascii="宋体" w:hAnsi="宋体" w:eastAsia="宋体" w:cs="宋体"/>
          <w:color w:val="auto"/>
          <w:spacing w:val="4"/>
          <w:sz w:val="24"/>
          <w:szCs w:val="24"/>
          <w:highlight w:val="none"/>
        </w:rPr>
        <w:t>）：</w:t>
      </w:r>
      <w:r>
        <w:rPr>
          <w:rFonts w:ascii="宋体" w:hAnsi="宋体" w:eastAsia="宋体" w:cs="宋体"/>
          <w:color w:val="auto"/>
          <w:spacing w:val="-2"/>
          <w:sz w:val="24"/>
          <w:szCs w:val="24"/>
          <w:highlight w:val="none"/>
        </w:rPr>
        <w:t>为</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2</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2"/>
          <w:sz w:val="24"/>
          <w:szCs w:val="24"/>
          <w:highlight w:val="none"/>
        </w:rPr>
        <w:t>年。</w:t>
      </w:r>
    </w:p>
    <w:p w14:paraId="44AABEB1">
      <w:pPr>
        <w:keepNext w:val="0"/>
        <w:keepLines w:val="0"/>
        <w:pageBreakBefore w:val="0"/>
        <w:widowControl w:val="0"/>
        <w:kinsoku w:val="0"/>
        <w:wordWrap/>
        <w:overflowPunct w:val="0"/>
        <w:topLinePunct w:val="0"/>
        <w:autoSpaceDE w:val="0"/>
        <w:autoSpaceDN w:val="0"/>
        <w:bidi w:val="0"/>
        <w:adjustRightInd w:val="0"/>
        <w:snapToGrid w:val="0"/>
        <w:spacing w:before="182" w:line="312" w:lineRule="auto"/>
        <w:ind w:left="10"/>
        <w:textAlignment w:val="baseline"/>
        <w:rPr>
          <w:rFonts w:ascii="楷体" w:hAnsi="楷体" w:eastAsia="楷体" w:cs="楷体"/>
          <w:b/>
          <w:bCs/>
          <w:color w:val="auto"/>
          <w:spacing w:val="-3"/>
          <w:sz w:val="24"/>
          <w:szCs w:val="24"/>
          <w:highlight w:val="none"/>
          <w:lang w:eastAsia="zh-CN"/>
        </w:rPr>
      </w:pPr>
      <w:bookmarkStart w:id="97" w:name="_Toc25056"/>
      <w:r>
        <w:rPr>
          <w:rFonts w:ascii="楷体" w:hAnsi="楷体" w:eastAsia="楷体" w:cs="楷体"/>
          <w:b/>
          <w:bCs/>
          <w:color w:val="auto"/>
          <w:spacing w:val="-3"/>
          <w:sz w:val="24"/>
          <w:szCs w:val="24"/>
          <w:highlight w:val="none"/>
          <w:lang w:eastAsia="zh-CN"/>
        </w:rPr>
        <w:t>1.3 法律</w:t>
      </w:r>
      <w:bookmarkEnd w:id="97"/>
    </w:p>
    <w:p w14:paraId="17ACCFEB">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 xml:space="preserve">适用于合同的法律包括中华人民共和国法律、行政法规、部门规章，以及工程所在地的地方法规、自治条例、单行条例和地方政府规章。不限于以下： </w:t>
      </w:r>
    </w:p>
    <w:p w14:paraId="289AD793">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1.3.1省市有关部门颁发的其他现行有效文件(包括但不仅限于以下文件)：</w:t>
      </w:r>
    </w:p>
    <w:p w14:paraId="0E1D63EE">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浙江省水利厅关于印发《浙江省水利建设市场主体信用信息管理办法试行》《浙江省水利建设市场主体信用评价管理办法试行》的通知（浙水建〔2020〕7号）；</w:t>
      </w:r>
    </w:p>
    <w:p w14:paraId="5EB8595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浙江省水利厅关于印发《浙江省水利建设项目稽察办法》的通知（浙水监督〔2020〕8号）；</w:t>
      </w:r>
    </w:p>
    <w:p w14:paraId="02DDD615">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浙江省水利厅关于印发《浙江省水利工程建设质量责任主体终身责任管理办法试行》的通知（浙水建〔2019〕8号）；</w:t>
      </w:r>
    </w:p>
    <w:p w14:paraId="763C7935">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浙江省水利厅关于印发《浙江省水利工程质量检测管理办法》的通知（浙水建〔2017〕23号）；</w:t>
      </w:r>
    </w:p>
    <w:p w14:paraId="495A8438">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strike/>
          <w:dstrike w:val="0"/>
          <w:color w:val="auto"/>
          <w:sz w:val="24"/>
          <w:szCs w:val="24"/>
          <w:highlight w:val="none"/>
          <w:lang w:eastAsia="zh-CN"/>
        </w:rPr>
      </w:pPr>
      <w:r>
        <w:rPr>
          <w:rFonts w:ascii="Times New Roman" w:hAnsi="Times New Roman" w:eastAsia="宋体" w:cs="Times New Roman"/>
          <w:strike/>
          <w:dstrike w:val="0"/>
          <w:color w:val="auto"/>
          <w:sz w:val="24"/>
          <w:szCs w:val="24"/>
          <w:highlight w:val="none"/>
          <w:lang w:eastAsia="zh-CN"/>
        </w:rPr>
        <w:t>浙江省水利厅关于在全省重大水利建设工程中试行视频监控系统建设的通知（浙水建〔2017〕26号）；</w:t>
      </w:r>
    </w:p>
    <w:p w14:paraId="61CDF956">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浙江省水利厅办公室关于转发《浙江省重点建设项目档案验收办法》的通知（浙水办发〔2016〕15号）。</w:t>
      </w:r>
    </w:p>
    <w:p w14:paraId="3F682AD3">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浙江省土地整治条例</w:t>
      </w:r>
      <w:r>
        <w:rPr>
          <w:rFonts w:hint="eastAsia" w:ascii="Times New Roman" w:hAnsi="Times New Roman" w:eastAsia="宋体" w:cs="Times New Roman"/>
          <w:color w:val="auto"/>
          <w:sz w:val="24"/>
          <w:szCs w:val="24"/>
          <w:highlight w:val="none"/>
          <w:lang w:eastAsia="zh-CN"/>
        </w:rPr>
        <w:t>》。</w:t>
      </w:r>
    </w:p>
    <w:p w14:paraId="5798073D">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12" w:lineRule="auto"/>
        <w:ind w:left="0" w:firstLine="480" w:firstLineChars="200"/>
        <w:jc w:val="both"/>
        <w:textAlignment w:val="baseline"/>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土地开发整理项目验收规程</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TD/T1013</w:t>
      </w:r>
      <w:r>
        <w:rPr>
          <w:rFonts w:hint="eastAsia" w:ascii="Times New Roman" w:hAnsi="Times New Roman" w:eastAsia="宋体" w:cs="Times New Roman"/>
          <w:color w:val="auto"/>
          <w:sz w:val="24"/>
          <w:szCs w:val="24"/>
          <w:highlight w:val="none"/>
          <w:lang w:eastAsia="zh-CN"/>
        </w:rPr>
        <w:t>）</w:t>
      </w:r>
    </w:p>
    <w:p w14:paraId="06FA429F">
      <w:pPr>
        <w:keepNext w:val="0"/>
        <w:keepLines w:val="0"/>
        <w:pageBreakBefore w:val="0"/>
        <w:widowControl w:val="0"/>
        <w:kinsoku w:val="0"/>
        <w:wordWrap/>
        <w:overflowPunct w:val="0"/>
        <w:topLinePunct w:val="0"/>
        <w:autoSpaceDE w:val="0"/>
        <w:autoSpaceDN w:val="0"/>
        <w:bidi w:val="0"/>
        <w:adjustRightInd w:val="0"/>
        <w:snapToGrid w:val="0"/>
        <w:spacing w:before="182" w:line="223" w:lineRule="auto"/>
        <w:ind w:left="10"/>
        <w:textAlignment w:val="baseline"/>
        <w:rPr>
          <w:rFonts w:ascii="Times New Roman" w:hAnsi="Times New Roman" w:eastAsia="Times New Roman" w:cs="Times New Roman"/>
          <w:b/>
          <w:bCs/>
          <w:color w:val="auto"/>
          <w:spacing w:val="-3"/>
          <w:sz w:val="24"/>
          <w:szCs w:val="24"/>
          <w:highlight w:val="none"/>
        </w:rPr>
      </w:pPr>
      <w:r>
        <w:rPr>
          <w:rFonts w:ascii="Times New Roman" w:hAnsi="Times New Roman" w:eastAsia="宋体" w:cs="Times New Roman"/>
          <w:color w:val="auto"/>
          <w:sz w:val="24"/>
          <w:szCs w:val="24"/>
          <w:highlight w:val="none"/>
          <w:lang w:eastAsia="zh-CN"/>
        </w:rPr>
        <w:t xml:space="preserve"> 注：相关部门有新文件按新文件执行。</w:t>
      </w:r>
    </w:p>
    <w:p w14:paraId="5E407DE0">
      <w:pPr>
        <w:keepNext w:val="0"/>
        <w:keepLines w:val="0"/>
        <w:pageBreakBefore w:val="0"/>
        <w:widowControl w:val="0"/>
        <w:kinsoku w:val="0"/>
        <w:wordWrap/>
        <w:overflowPunct w:val="0"/>
        <w:topLinePunct w:val="0"/>
        <w:autoSpaceDE w:val="0"/>
        <w:autoSpaceDN w:val="0"/>
        <w:bidi w:val="0"/>
        <w:adjustRightInd w:val="0"/>
        <w:snapToGrid w:val="0"/>
        <w:spacing w:before="182" w:line="223" w:lineRule="auto"/>
        <w:ind w:left="10"/>
        <w:textAlignment w:val="baseline"/>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1.4  </w:t>
      </w:r>
      <w:r>
        <w:rPr>
          <w:rFonts w:ascii="楷体" w:hAnsi="楷体" w:eastAsia="楷体" w:cs="楷体"/>
          <w:b/>
          <w:bCs/>
          <w:color w:val="auto"/>
          <w:spacing w:val="-3"/>
          <w:sz w:val="24"/>
          <w:szCs w:val="24"/>
          <w:highlight w:val="none"/>
        </w:rPr>
        <w:t>合同文件的优先顺序</w:t>
      </w:r>
    </w:p>
    <w:p w14:paraId="0466F4BA">
      <w:pPr>
        <w:keepNext w:val="0"/>
        <w:keepLines w:val="0"/>
        <w:pageBreakBefore w:val="0"/>
        <w:widowControl w:val="0"/>
        <w:kinsoku w:val="0"/>
        <w:wordWrap/>
        <w:overflowPunct w:val="0"/>
        <w:topLinePunct w:val="0"/>
        <w:autoSpaceDE w:val="0"/>
        <w:autoSpaceDN w:val="0"/>
        <w:bidi w:val="0"/>
        <w:adjustRightInd w:val="0"/>
        <w:snapToGrid w:val="0"/>
        <w:spacing w:before="176" w:line="220" w:lineRule="auto"/>
        <w:ind w:left="497"/>
        <w:textAlignment w:val="baseline"/>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除合同另有规定外，解释合同文件的优先顺序如下：</w:t>
      </w:r>
    </w:p>
    <w:p w14:paraId="6EA56B06">
      <w:pPr>
        <w:keepNext w:val="0"/>
        <w:keepLines w:val="0"/>
        <w:pageBreakBefore w:val="0"/>
        <w:widowControl w:val="0"/>
        <w:kinsoku w:val="0"/>
        <w:wordWrap/>
        <w:overflowPunct w:val="0"/>
        <w:topLinePunct w:val="0"/>
        <w:autoSpaceDE w:val="0"/>
        <w:autoSpaceDN w:val="0"/>
        <w:bidi w:val="0"/>
        <w:adjustRightInd w:val="0"/>
        <w:snapToGrid w:val="0"/>
        <w:spacing w:before="181" w:line="219"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）合同协议书（包括补充协议书）。</w:t>
      </w:r>
    </w:p>
    <w:p w14:paraId="3CBFC3A0">
      <w:pPr>
        <w:keepNext w:val="0"/>
        <w:keepLines w:val="0"/>
        <w:pageBreakBefore w:val="0"/>
        <w:widowControl w:val="0"/>
        <w:kinsoku w:val="0"/>
        <w:wordWrap/>
        <w:overflowPunct w:val="0"/>
        <w:topLinePunct w:val="0"/>
        <w:autoSpaceDE w:val="0"/>
        <w:autoSpaceDN w:val="0"/>
        <w:bidi w:val="0"/>
        <w:adjustRightInd w:val="0"/>
        <w:snapToGrid w:val="0"/>
        <w:spacing w:before="182" w:line="219"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2</w:t>
      </w:r>
      <w:r>
        <w:rPr>
          <w:rFonts w:ascii="宋体" w:hAnsi="宋体" w:eastAsia="宋体" w:cs="宋体"/>
          <w:color w:val="auto"/>
          <w:spacing w:val="-6"/>
          <w:sz w:val="24"/>
          <w:szCs w:val="24"/>
          <w:highlight w:val="none"/>
        </w:rPr>
        <w:t>）中标通知书。</w:t>
      </w:r>
    </w:p>
    <w:p w14:paraId="34ECCDD2">
      <w:pPr>
        <w:keepNext w:val="0"/>
        <w:keepLines w:val="0"/>
        <w:pageBreakBefore w:val="0"/>
        <w:widowControl w:val="0"/>
        <w:kinsoku w:val="0"/>
        <w:wordWrap/>
        <w:overflowPunct w:val="0"/>
        <w:topLinePunct w:val="0"/>
        <w:autoSpaceDE w:val="0"/>
        <w:autoSpaceDN w:val="0"/>
        <w:bidi w:val="0"/>
        <w:adjustRightInd w:val="0"/>
        <w:snapToGrid w:val="0"/>
        <w:spacing w:before="182" w:line="219"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）投标函及投标函附录。</w:t>
      </w:r>
    </w:p>
    <w:p w14:paraId="1019074C">
      <w:pPr>
        <w:keepNext w:val="0"/>
        <w:keepLines w:val="0"/>
        <w:pageBreakBefore w:val="0"/>
        <w:widowControl w:val="0"/>
        <w:kinsoku w:val="0"/>
        <w:wordWrap/>
        <w:overflowPunct w:val="0"/>
        <w:topLinePunct w:val="0"/>
        <w:autoSpaceDE w:val="0"/>
        <w:autoSpaceDN w:val="0"/>
        <w:bidi w:val="0"/>
        <w:adjustRightInd w:val="0"/>
        <w:snapToGrid w:val="0"/>
        <w:spacing w:before="182" w:line="220"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）招投标文件澄清问题、澄清问题的复函、补充通知等相关资料。</w:t>
      </w:r>
    </w:p>
    <w:p w14:paraId="22C641CC">
      <w:pPr>
        <w:keepNext w:val="0"/>
        <w:keepLines w:val="0"/>
        <w:pageBreakBefore w:val="0"/>
        <w:widowControl w:val="0"/>
        <w:kinsoku w:val="0"/>
        <w:wordWrap/>
        <w:overflowPunct w:val="0"/>
        <w:topLinePunct w:val="0"/>
        <w:autoSpaceDE w:val="0"/>
        <w:autoSpaceDN w:val="0"/>
        <w:bidi w:val="0"/>
        <w:adjustRightInd w:val="0"/>
        <w:snapToGrid w:val="0"/>
        <w:spacing w:before="182" w:line="220"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5</w:t>
      </w:r>
      <w:r>
        <w:rPr>
          <w:rFonts w:ascii="宋体" w:hAnsi="宋体" w:eastAsia="宋体" w:cs="宋体"/>
          <w:color w:val="auto"/>
          <w:spacing w:val="-5"/>
          <w:sz w:val="24"/>
          <w:szCs w:val="24"/>
          <w:highlight w:val="none"/>
        </w:rPr>
        <w:t>）专用合同条款。</w:t>
      </w:r>
    </w:p>
    <w:p w14:paraId="588D5BDB">
      <w:pPr>
        <w:keepNext w:val="0"/>
        <w:keepLines w:val="0"/>
        <w:pageBreakBefore w:val="0"/>
        <w:widowControl w:val="0"/>
        <w:kinsoku w:val="0"/>
        <w:wordWrap/>
        <w:overflowPunct w:val="0"/>
        <w:topLinePunct w:val="0"/>
        <w:autoSpaceDE w:val="0"/>
        <w:autoSpaceDN w:val="0"/>
        <w:bidi w:val="0"/>
        <w:adjustRightInd w:val="0"/>
        <w:snapToGrid w:val="0"/>
        <w:spacing w:before="181" w:line="220"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6</w:t>
      </w:r>
      <w:r>
        <w:rPr>
          <w:rFonts w:ascii="宋体" w:hAnsi="宋体" w:eastAsia="宋体" w:cs="宋体"/>
          <w:color w:val="auto"/>
          <w:spacing w:val="-5"/>
          <w:sz w:val="24"/>
          <w:szCs w:val="24"/>
          <w:highlight w:val="none"/>
        </w:rPr>
        <w:t>）通用合同条款。</w:t>
      </w:r>
    </w:p>
    <w:p w14:paraId="5C08133D">
      <w:pPr>
        <w:keepNext w:val="0"/>
        <w:keepLines w:val="0"/>
        <w:pageBreakBefore w:val="0"/>
        <w:widowControl w:val="0"/>
        <w:kinsoku w:val="0"/>
        <w:wordWrap/>
        <w:overflowPunct w:val="0"/>
        <w:topLinePunct w:val="0"/>
        <w:autoSpaceDE w:val="0"/>
        <w:autoSpaceDN w:val="0"/>
        <w:bidi w:val="0"/>
        <w:adjustRightInd w:val="0"/>
        <w:snapToGrid w:val="0"/>
        <w:spacing w:before="181" w:line="220"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7</w:t>
      </w:r>
      <w:r>
        <w:rPr>
          <w:rFonts w:ascii="宋体" w:hAnsi="宋体" w:eastAsia="宋体" w:cs="宋体"/>
          <w:color w:val="auto"/>
          <w:spacing w:val="-5"/>
          <w:sz w:val="24"/>
          <w:szCs w:val="24"/>
          <w:highlight w:val="none"/>
        </w:rPr>
        <w:t>）技术标准和要求。</w:t>
      </w:r>
    </w:p>
    <w:p w14:paraId="2F7B1336">
      <w:pPr>
        <w:keepNext w:val="0"/>
        <w:keepLines w:val="0"/>
        <w:pageBreakBefore w:val="0"/>
        <w:widowControl w:val="0"/>
        <w:kinsoku w:val="0"/>
        <w:wordWrap/>
        <w:overflowPunct w:val="0"/>
        <w:topLinePunct w:val="0"/>
        <w:autoSpaceDE w:val="0"/>
        <w:autoSpaceDN w:val="0"/>
        <w:bidi w:val="0"/>
        <w:adjustRightInd w:val="0"/>
        <w:snapToGrid w:val="0"/>
        <w:spacing w:before="181" w:line="221"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8</w:t>
      </w:r>
      <w:r>
        <w:rPr>
          <w:rFonts w:ascii="宋体" w:hAnsi="宋体" w:eastAsia="宋体" w:cs="宋体"/>
          <w:color w:val="auto"/>
          <w:spacing w:val="-7"/>
          <w:sz w:val="24"/>
          <w:szCs w:val="24"/>
          <w:highlight w:val="none"/>
        </w:rPr>
        <w:t>）图纸。</w:t>
      </w:r>
    </w:p>
    <w:p w14:paraId="744B07E6">
      <w:pPr>
        <w:keepNext w:val="0"/>
        <w:keepLines w:val="0"/>
        <w:pageBreakBefore w:val="0"/>
        <w:widowControl w:val="0"/>
        <w:kinsoku w:val="0"/>
        <w:wordWrap/>
        <w:overflowPunct w:val="0"/>
        <w:topLinePunct w:val="0"/>
        <w:autoSpaceDE w:val="0"/>
        <w:autoSpaceDN w:val="0"/>
        <w:bidi w:val="0"/>
        <w:adjustRightInd w:val="0"/>
        <w:snapToGrid w:val="0"/>
        <w:spacing w:before="180" w:line="218"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9</w:t>
      </w:r>
      <w:r>
        <w:rPr>
          <w:rFonts w:ascii="宋体" w:hAnsi="宋体" w:eastAsia="宋体" w:cs="宋体"/>
          <w:color w:val="auto"/>
          <w:spacing w:val="-4"/>
          <w:sz w:val="24"/>
          <w:szCs w:val="24"/>
          <w:highlight w:val="none"/>
        </w:rPr>
        <w:t>）已标价的工程量清单。</w:t>
      </w:r>
    </w:p>
    <w:p w14:paraId="06B9E0C1">
      <w:pPr>
        <w:keepNext w:val="0"/>
        <w:keepLines w:val="0"/>
        <w:pageBreakBefore w:val="0"/>
        <w:widowControl w:val="0"/>
        <w:kinsoku w:val="0"/>
        <w:wordWrap/>
        <w:overflowPunct w:val="0"/>
        <w:topLinePunct w:val="0"/>
        <w:autoSpaceDE w:val="0"/>
        <w:autoSpaceDN w:val="0"/>
        <w:bidi w:val="0"/>
        <w:adjustRightInd w:val="0"/>
        <w:snapToGrid w:val="0"/>
        <w:spacing w:before="182" w:line="220" w:lineRule="auto"/>
        <w:ind w:left="490"/>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10</w:t>
      </w:r>
      <w:r>
        <w:rPr>
          <w:rFonts w:ascii="宋体" w:hAnsi="宋体" w:eastAsia="宋体" w:cs="宋体"/>
          <w:color w:val="auto"/>
          <w:spacing w:val="-3"/>
          <w:sz w:val="24"/>
          <w:szCs w:val="24"/>
          <w:highlight w:val="none"/>
        </w:rPr>
        <w:t>）经双方确认进入合同的其他文件。</w:t>
      </w:r>
    </w:p>
    <w:p w14:paraId="30C07525">
      <w:pPr>
        <w:keepNext w:val="0"/>
        <w:keepLines w:val="0"/>
        <w:pageBreakBefore w:val="0"/>
        <w:widowControl w:val="0"/>
        <w:kinsoku w:val="0"/>
        <w:wordWrap/>
        <w:overflowPunct w:val="0"/>
        <w:topLinePunct w:val="0"/>
        <w:autoSpaceDE w:val="0"/>
        <w:autoSpaceDN w:val="0"/>
        <w:bidi w:val="0"/>
        <w:adjustRightInd w:val="0"/>
        <w:snapToGrid w:val="0"/>
        <w:spacing w:before="181" w:line="230" w:lineRule="auto"/>
        <w:ind w:left="10"/>
        <w:textAlignment w:val="baseline"/>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1.7</w:t>
      </w:r>
      <w:r>
        <w:rPr>
          <w:rFonts w:ascii="Times New Roman" w:hAnsi="Times New Roman" w:eastAsia="Times New Roman" w:cs="Times New Roman"/>
          <w:b/>
          <w:bCs/>
          <w:color w:val="auto"/>
          <w:spacing w:val="3"/>
          <w:sz w:val="24"/>
          <w:szCs w:val="24"/>
          <w:highlight w:val="none"/>
        </w:rPr>
        <w:t xml:space="preserve">  </w:t>
      </w:r>
      <w:r>
        <w:rPr>
          <w:rFonts w:ascii="楷体" w:hAnsi="楷体" w:eastAsia="楷体" w:cs="楷体"/>
          <w:b/>
          <w:bCs/>
          <w:color w:val="auto"/>
          <w:spacing w:val="-5"/>
          <w:sz w:val="24"/>
          <w:szCs w:val="24"/>
          <w:highlight w:val="none"/>
        </w:rPr>
        <w:t>联络</w:t>
      </w:r>
    </w:p>
    <w:p w14:paraId="27F7BDED">
      <w:pPr>
        <w:keepNext w:val="0"/>
        <w:keepLines w:val="0"/>
        <w:pageBreakBefore w:val="0"/>
        <w:widowControl w:val="0"/>
        <w:kinsoku w:val="0"/>
        <w:wordWrap/>
        <w:overflowPunct w:val="0"/>
        <w:topLinePunct w:val="0"/>
        <w:autoSpaceDE w:val="0"/>
        <w:autoSpaceDN w:val="0"/>
        <w:bidi w:val="0"/>
        <w:adjustRightInd w:val="0"/>
        <w:snapToGrid w:val="0"/>
        <w:spacing w:before="169" w:line="361" w:lineRule="auto"/>
        <w:ind w:left="10" w:right="10" w:firstLine="482"/>
        <w:textAlignment w:val="baseline"/>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1.7.2  </w:t>
      </w:r>
      <w:r>
        <w:rPr>
          <w:rFonts w:ascii="宋体" w:hAnsi="宋体" w:eastAsia="宋体" w:cs="宋体"/>
          <w:color w:val="auto"/>
          <w:spacing w:val="-2"/>
          <w:sz w:val="24"/>
          <w:szCs w:val="24"/>
          <w:highlight w:val="none"/>
        </w:rPr>
        <w:t>来往函件均应按技术标准和要求（合</w:t>
      </w:r>
      <w:r>
        <w:rPr>
          <w:rFonts w:ascii="宋体" w:hAnsi="宋体" w:eastAsia="宋体" w:cs="宋体"/>
          <w:color w:val="auto"/>
          <w:spacing w:val="-3"/>
          <w:sz w:val="24"/>
          <w:szCs w:val="24"/>
          <w:highlight w:val="none"/>
        </w:rPr>
        <w:t>同技术条款）约定的期限送达</w:t>
      </w:r>
      <w:r>
        <w:rPr>
          <w:rFonts w:ascii="宋体" w:hAnsi="宋体" w:eastAsia="宋体" w:cs="宋体"/>
          <w:color w:val="auto"/>
          <w:spacing w:val="44"/>
          <w:sz w:val="24"/>
          <w:szCs w:val="24"/>
          <w:highlight w:val="none"/>
          <w:u w:val="single" w:color="auto"/>
        </w:rPr>
        <w:t xml:space="preserve">  </w:t>
      </w:r>
      <w:r>
        <w:rPr>
          <w:rFonts w:hint="eastAsia" w:ascii="宋体" w:hAnsi="宋体" w:eastAsia="宋体" w:cs="宋体"/>
          <w:color w:val="auto"/>
          <w:sz w:val="24"/>
          <w:szCs w:val="24"/>
          <w:highlight w:val="none"/>
          <w:u w:val="single" w:color="auto"/>
          <w:lang w:eastAsia="zh-CN"/>
        </w:rPr>
        <w:t>绍兴滨海新区滨投农业开发有限公司</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01986384">
      <w:pPr>
        <w:keepNext w:val="0"/>
        <w:keepLines w:val="0"/>
        <w:pageBreakBefore w:val="0"/>
        <w:widowControl w:val="0"/>
        <w:kinsoku w:val="0"/>
        <w:wordWrap/>
        <w:overflowPunct w:val="0"/>
        <w:topLinePunct w:val="0"/>
        <w:autoSpaceDE w:val="0"/>
        <w:autoSpaceDN w:val="0"/>
        <w:bidi w:val="0"/>
        <w:adjustRightInd w:val="0"/>
        <w:snapToGrid w:val="0"/>
        <w:spacing w:before="122" w:line="226" w:lineRule="auto"/>
        <w:textAlignment w:val="baseline"/>
        <w:outlineLvl w:val="2"/>
        <w:rPr>
          <w:rFonts w:ascii="宋体" w:hAnsi="宋体" w:eastAsia="宋体" w:cs="宋体"/>
          <w:color w:val="auto"/>
          <w:sz w:val="27"/>
          <w:szCs w:val="27"/>
          <w:highlight w:val="none"/>
        </w:rPr>
      </w:pPr>
      <w:bookmarkStart w:id="98" w:name="bookmark74"/>
      <w:bookmarkEnd w:id="98"/>
      <w:bookmarkStart w:id="99" w:name="_Toc13375"/>
      <w:r>
        <w:rPr>
          <w:rFonts w:ascii="Times New Roman" w:hAnsi="Times New Roman" w:eastAsia="Times New Roman" w:cs="Times New Roman"/>
          <w:b/>
          <w:bCs/>
          <w:color w:val="auto"/>
          <w:spacing w:val="3"/>
          <w:sz w:val="27"/>
          <w:szCs w:val="27"/>
          <w:highlight w:val="none"/>
        </w:rPr>
        <w:t>2</w:t>
      </w:r>
      <w:r>
        <w:rPr>
          <w:rFonts w:ascii="Times New Roman" w:hAnsi="Times New Roman" w:eastAsia="Times New Roman" w:cs="Times New Roman"/>
          <w:b/>
          <w:bCs/>
          <w:color w:val="auto"/>
          <w:spacing w:val="11"/>
          <w:sz w:val="27"/>
          <w:szCs w:val="27"/>
          <w:highlight w:val="none"/>
        </w:rPr>
        <w:t xml:space="preserve">  </w:t>
      </w:r>
      <w:r>
        <w:rPr>
          <w:rFonts w:ascii="宋体" w:hAnsi="宋体" w:eastAsia="宋体" w:cs="宋体"/>
          <w:b/>
          <w:bCs/>
          <w:color w:val="auto"/>
          <w:spacing w:val="3"/>
          <w:sz w:val="27"/>
          <w:szCs w:val="27"/>
          <w:highlight w:val="none"/>
        </w:rPr>
        <w:t>发包人义务</w:t>
      </w:r>
      <w:bookmarkEnd w:id="99"/>
    </w:p>
    <w:p w14:paraId="14C596A4">
      <w:pPr>
        <w:pStyle w:val="8"/>
        <w:keepNext w:val="0"/>
        <w:keepLines w:val="0"/>
        <w:pageBreakBefore w:val="0"/>
        <w:widowControl w:val="0"/>
        <w:kinsoku w:val="0"/>
        <w:wordWrap/>
        <w:overflowPunct w:val="0"/>
        <w:topLinePunct w:val="0"/>
        <w:autoSpaceDE w:val="0"/>
        <w:autoSpaceDN w:val="0"/>
        <w:bidi w:val="0"/>
        <w:adjustRightInd w:val="0"/>
        <w:snapToGrid w:val="0"/>
        <w:spacing w:line="248" w:lineRule="auto"/>
        <w:textAlignment w:val="baseline"/>
        <w:rPr>
          <w:color w:val="auto"/>
          <w:highlight w:val="none"/>
        </w:rPr>
      </w:pPr>
    </w:p>
    <w:p w14:paraId="02923FD8">
      <w:pPr>
        <w:keepNext w:val="0"/>
        <w:keepLines w:val="0"/>
        <w:pageBreakBefore w:val="0"/>
        <w:widowControl w:val="0"/>
        <w:kinsoku w:val="0"/>
        <w:wordWrap/>
        <w:overflowPunct w:val="0"/>
        <w:topLinePunct w:val="0"/>
        <w:autoSpaceDE w:val="0"/>
        <w:autoSpaceDN w:val="0"/>
        <w:bidi w:val="0"/>
        <w:adjustRightInd w:val="0"/>
        <w:snapToGrid w:val="0"/>
        <w:spacing w:before="78" w:line="360" w:lineRule="auto"/>
        <w:textAlignment w:val="baseline"/>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2.3  </w:t>
      </w:r>
      <w:r>
        <w:rPr>
          <w:rFonts w:ascii="楷体" w:hAnsi="楷体" w:eastAsia="楷体" w:cs="楷体"/>
          <w:b/>
          <w:bCs/>
          <w:color w:val="auto"/>
          <w:spacing w:val="-2"/>
          <w:sz w:val="24"/>
          <w:szCs w:val="24"/>
          <w:highlight w:val="none"/>
        </w:rPr>
        <w:t>提供施工场地</w:t>
      </w:r>
    </w:p>
    <w:p w14:paraId="39E8ED8B">
      <w:pPr>
        <w:pStyle w:val="8"/>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baseline"/>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2.3.2  </w:t>
      </w:r>
      <w:r>
        <w:rPr>
          <w:rFonts w:ascii="宋体" w:hAnsi="宋体" w:eastAsia="宋体" w:cs="宋体"/>
          <w:color w:val="auto"/>
          <w:sz w:val="24"/>
          <w:szCs w:val="24"/>
          <w:highlight w:val="none"/>
        </w:rPr>
        <w:t>发包人提供的用地范围为：</w:t>
      </w:r>
      <w:r>
        <w:rPr>
          <w:rFonts w:ascii="宋体" w:hAnsi="宋体" w:eastAsia="宋体" w:cs="宋体"/>
          <w:color w:val="auto"/>
          <w:sz w:val="24"/>
          <w:szCs w:val="24"/>
          <w:highlight w:val="none"/>
          <w:u w:val="single" w:color="auto"/>
        </w:rPr>
        <w:t xml:space="preserve">  </w:t>
      </w:r>
      <w:r>
        <w:rPr>
          <w:rFonts w:ascii="Times New Roman" w:hAnsi="Times New Roman" w:eastAsia="宋体" w:cs="Times New Roman"/>
          <w:color w:val="auto"/>
          <w:spacing w:val="-7"/>
          <w:sz w:val="24"/>
          <w:szCs w:val="24"/>
          <w:highlight w:val="none"/>
          <w:u w:val="single"/>
          <w:lang w:eastAsia="zh-CN"/>
        </w:rPr>
        <w:t>征地红线范围图内</w:t>
      </w:r>
      <w:r>
        <w:rPr>
          <w:rFonts w:hint="eastAsia" w:ascii="Times New Roman" w:hAnsi="Times New Roman" w:eastAsia="宋体" w:cs="Times New Roman"/>
          <w:color w:val="auto"/>
          <w:spacing w:val="-7"/>
          <w:sz w:val="24"/>
          <w:szCs w:val="24"/>
          <w:highlight w:val="none"/>
          <w:u w:val="single"/>
          <w:lang w:eastAsia="zh-CN"/>
        </w:rPr>
        <w:t>，</w:t>
      </w:r>
      <w:r>
        <w:rPr>
          <w:rFonts w:ascii="Times New Roman" w:hAnsi="Times New Roman" w:eastAsia="宋体" w:cs="Times New Roman"/>
          <w:color w:val="auto"/>
          <w:spacing w:val="-7"/>
          <w:sz w:val="24"/>
          <w:szCs w:val="24"/>
          <w:highlight w:val="none"/>
          <w:u w:val="single"/>
          <w:lang w:eastAsia="zh-CN"/>
        </w:rPr>
        <w:t>承包人应无条件接受现场条件。超出上述范围需要使用的场地，均由承包人自行解决，并自行办妥一切需要办理的手续，由此引起的一切纠纷、事故和赔偿责任，均由承包人承担</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87"/>
          <w:sz w:val="24"/>
          <w:szCs w:val="24"/>
          <w:highlight w:val="none"/>
        </w:rPr>
        <w:t xml:space="preserve"> </w:t>
      </w:r>
      <w:r>
        <w:rPr>
          <w:rFonts w:ascii="宋体" w:hAnsi="宋体" w:eastAsia="宋体" w:cs="宋体"/>
          <w:color w:val="auto"/>
          <w:spacing w:val="-1"/>
          <w:sz w:val="24"/>
          <w:szCs w:val="24"/>
          <w:highlight w:val="none"/>
        </w:rPr>
        <w:t>。承包人自行勘察的施工场地范围为：</w:t>
      </w:r>
      <w:r>
        <w:rPr>
          <w:rFonts w:ascii="Times New Roman" w:hAnsi="Times New Roman" w:eastAsia="宋体" w:cs="Times New Roman"/>
          <w:color w:val="auto"/>
          <w:spacing w:val="-27"/>
          <w:sz w:val="24"/>
          <w:szCs w:val="24"/>
          <w:highlight w:val="none"/>
          <w:u w:val="single"/>
          <w:lang w:eastAsia="zh-CN"/>
        </w:rPr>
        <w:t>承包人认为满足自身施工所需的全部场地</w:t>
      </w:r>
      <w:r>
        <w:rPr>
          <w:rFonts w:ascii="宋体" w:hAnsi="宋体" w:eastAsia="宋体" w:cs="宋体"/>
          <w:color w:val="auto"/>
          <w:spacing w:val="-1"/>
          <w:sz w:val="24"/>
          <w:szCs w:val="24"/>
          <w:highlight w:val="none"/>
        </w:rPr>
        <w:t>。</w:t>
      </w:r>
    </w:p>
    <w:p w14:paraId="546790BF">
      <w:pPr>
        <w:spacing w:before="180" w:line="225" w:lineRule="auto"/>
        <w:ind w:left="1"/>
        <w:rPr>
          <w:rFonts w:ascii="楷体" w:hAnsi="楷体" w:eastAsia="楷体" w:cs="楷体"/>
          <w:color w:val="auto"/>
          <w:sz w:val="24"/>
          <w:szCs w:val="24"/>
          <w:highlight w:val="none"/>
        </w:rPr>
      </w:pPr>
      <w:bookmarkStart w:id="100" w:name="bookmark409"/>
      <w:bookmarkEnd w:id="100"/>
      <w:r>
        <w:rPr>
          <w:rFonts w:ascii="Times New Roman" w:hAnsi="Times New Roman" w:eastAsia="Times New Roman" w:cs="Times New Roman"/>
          <w:b/>
          <w:bCs/>
          <w:color w:val="auto"/>
          <w:spacing w:val="-4"/>
          <w:sz w:val="24"/>
          <w:szCs w:val="24"/>
          <w:highlight w:val="none"/>
        </w:rPr>
        <w:t>2.8</w:t>
      </w:r>
      <w:r>
        <w:rPr>
          <w:rFonts w:ascii="Times New Roman" w:hAnsi="Times New Roman" w:eastAsia="Times New Roman" w:cs="Times New Roman"/>
          <w:b/>
          <w:bCs/>
          <w:color w:val="auto"/>
          <w:spacing w:val="8"/>
          <w:sz w:val="24"/>
          <w:szCs w:val="24"/>
          <w:highlight w:val="none"/>
        </w:rPr>
        <w:t xml:space="preserve">  </w:t>
      </w:r>
      <w:r>
        <w:rPr>
          <w:rFonts w:ascii="楷体" w:hAnsi="楷体" w:eastAsia="楷体" w:cs="楷体"/>
          <w:b/>
          <w:bCs/>
          <w:color w:val="auto"/>
          <w:spacing w:val="-4"/>
          <w:sz w:val="24"/>
          <w:szCs w:val="24"/>
          <w:highlight w:val="none"/>
        </w:rPr>
        <w:t>其他义务</w:t>
      </w:r>
    </w:p>
    <w:p w14:paraId="51E45A2F">
      <w:pPr>
        <w:spacing w:before="173" w:line="220" w:lineRule="auto"/>
        <w:ind w:left="49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（根据发包人合同管理的要求补充）</w:t>
      </w:r>
    </w:p>
    <w:p w14:paraId="11D2BFDA">
      <w:pPr>
        <w:spacing w:before="181" w:line="232" w:lineRule="auto"/>
        <w:ind w:left="491"/>
        <w:rPr>
          <w:rFonts w:hint="eastAsia" w:ascii="Times New Roman" w:hAnsi="Times New Roman" w:eastAsia="宋体" w:cs="Times New Roman"/>
          <w:color w:val="auto"/>
          <w:sz w:val="24"/>
          <w:szCs w:val="24"/>
          <w:highlight w:val="none"/>
          <w:lang w:eastAsia="zh-CN"/>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1</w:t>
      </w:r>
      <w:r>
        <w:rPr>
          <w:rFonts w:ascii="宋体" w:hAnsi="宋体" w:eastAsia="宋体" w:cs="宋体"/>
          <w:color w:val="auto"/>
          <w:spacing w:val="-1"/>
          <w:sz w:val="24"/>
          <w:szCs w:val="24"/>
          <w:highlight w:val="none"/>
        </w:rPr>
        <w:t>）</w:t>
      </w:r>
      <w:r>
        <w:rPr>
          <w:rFonts w:hint="eastAsia" w:ascii="Times New Roman" w:hAnsi="Times New Roman" w:eastAsia="宋体" w:cs="Times New Roman"/>
          <w:color w:val="auto"/>
          <w:spacing w:val="-1"/>
          <w:sz w:val="24"/>
          <w:szCs w:val="24"/>
          <w:highlight w:val="none"/>
          <w:lang w:val="en-US" w:eastAsia="zh-CN"/>
        </w:rPr>
        <w:t>/</w:t>
      </w:r>
    </w:p>
    <w:p w14:paraId="1623152F">
      <w:pPr>
        <w:spacing w:before="165" w:line="232" w:lineRule="auto"/>
        <w:ind w:left="491"/>
        <w:rPr>
          <w:rFonts w:hint="eastAsia" w:ascii="Times New Roman" w:hAnsi="Times New Roman" w:eastAsia="宋体" w:cs="Times New Roman"/>
          <w:color w:val="auto"/>
          <w:sz w:val="24"/>
          <w:szCs w:val="24"/>
          <w:highlight w:val="none"/>
          <w:lang w:eastAsia="zh-CN"/>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w:t>
      </w:r>
      <w:r>
        <w:rPr>
          <w:rFonts w:hint="eastAsia" w:ascii="Times New Roman" w:hAnsi="Times New Roman" w:eastAsia="宋体" w:cs="Times New Roman"/>
          <w:color w:val="auto"/>
          <w:spacing w:val="-1"/>
          <w:sz w:val="24"/>
          <w:szCs w:val="24"/>
          <w:highlight w:val="none"/>
          <w:lang w:val="en-US" w:eastAsia="zh-CN"/>
        </w:rPr>
        <w:t>/</w:t>
      </w:r>
    </w:p>
    <w:p w14:paraId="6DB89020">
      <w:pPr>
        <w:spacing w:before="292" w:line="229" w:lineRule="auto"/>
        <w:outlineLvl w:val="2"/>
        <w:rPr>
          <w:rFonts w:ascii="宋体" w:hAnsi="宋体" w:eastAsia="宋体" w:cs="宋体"/>
          <w:color w:val="auto"/>
          <w:sz w:val="27"/>
          <w:szCs w:val="27"/>
          <w:highlight w:val="none"/>
        </w:rPr>
      </w:pPr>
      <w:bookmarkStart w:id="101" w:name="bookmark75"/>
      <w:bookmarkEnd w:id="101"/>
      <w:bookmarkStart w:id="102" w:name="_Toc30764"/>
      <w:r>
        <w:rPr>
          <w:rFonts w:ascii="Times New Roman" w:hAnsi="Times New Roman" w:eastAsia="Times New Roman" w:cs="Times New Roman"/>
          <w:b/>
          <w:bCs/>
          <w:color w:val="auto"/>
          <w:spacing w:val="2"/>
          <w:sz w:val="27"/>
          <w:szCs w:val="27"/>
          <w:highlight w:val="none"/>
        </w:rPr>
        <w:t>3</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2"/>
          <w:sz w:val="27"/>
          <w:szCs w:val="27"/>
          <w:highlight w:val="none"/>
        </w:rPr>
        <w:t>监理人</w:t>
      </w:r>
      <w:bookmarkEnd w:id="102"/>
    </w:p>
    <w:p w14:paraId="79A8AE6C">
      <w:pPr>
        <w:pStyle w:val="8"/>
        <w:spacing w:line="243" w:lineRule="auto"/>
        <w:rPr>
          <w:color w:val="auto"/>
          <w:highlight w:val="none"/>
        </w:rPr>
      </w:pPr>
    </w:p>
    <w:p w14:paraId="18733809">
      <w:pPr>
        <w:spacing w:before="78" w:line="225"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3.1  </w:t>
      </w:r>
      <w:r>
        <w:rPr>
          <w:rFonts w:ascii="楷体" w:hAnsi="楷体" w:eastAsia="楷体" w:cs="楷体"/>
          <w:b/>
          <w:bCs/>
          <w:color w:val="auto"/>
          <w:spacing w:val="-2"/>
          <w:sz w:val="24"/>
          <w:szCs w:val="24"/>
          <w:highlight w:val="none"/>
        </w:rPr>
        <w:t>监理人的职责和权力</w:t>
      </w:r>
    </w:p>
    <w:p w14:paraId="40FC9D87">
      <w:pPr>
        <w:spacing w:before="175" w:line="359" w:lineRule="auto"/>
        <w:ind w:left="27" w:firstLine="455"/>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3.1.1  </w:t>
      </w:r>
      <w:r>
        <w:rPr>
          <w:rFonts w:ascii="宋体" w:hAnsi="宋体" w:eastAsia="宋体" w:cs="宋体"/>
          <w:color w:val="auto"/>
          <w:spacing w:val="1"/>
          <w:sz w:val="24"/>
          <w:szCs w:val="24"/>
          <w:highlight w:val="none"/>
        </w:rPr>
        <w:t>监理人须根据发包人事先批准</w:t>
      </w:r>
      <w:r>
        <w:rPr>
          <w:rFonts w:ascii="宋体" w:hAnsi="宋体" w:eastAsia="宋体" w:cs="宋体"/>
          <w:color w:val="auto"/>
          <w:sz w:val="24"/>
          <w:szCs w:val="24"/>
          <w:highlight w:val="none"/>
        </w:rPr>
        <w:t xml:space="preserve">的权力范围行使权力，发包人批准的权利范 </w:t>
      </w:r>
      <w:r>
        <w:rPr>
          <w:rFonts w:ascii="宋体" w:hAnsi="宋体" w:eastAsia="宋体" w:cs="宋体"/>
          <w:color w:val="auto"/>
          <w:spacing w:val="-2"/>
          <w:sz w:val="24"/>
          <w:szCs w:val="24"/>
          <w:highlight w:val="none"/>
        </w:rPr>
        <w:t>围</w:t>
      </w:r>
      <w:r>
        <w:rPr>
          <w:rFonts w:ascii="宋体" w:hAnsi="宋体" w:eastAsia="宋体" w:cs="宋体"/>
          <w:color w:val="auto"/>
          <w:spacing w:val="6"/>
          <w:sz w:val="24"/>
          <w:szCs w:val="24"/>
          <w:highlight w:val="none"/>
        </w:rPr>
        <w:t>：</w:t>
      </w:r>
    </w:p>
    <w:p w14:paraId="78F1DDFF">
      <w:pPr>
        <w:spacing w:line="219" w:lineRule="auto"/>
        <w:ind w:left="491"/>
        <w:rPr>
          <w:rFonts w:ascii="宋体" w:hAnsi="宋体" w:eastAsia="宋体" w:cs="宋体"/>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1</w:t>
      </w:r>
      <w:r>
        <w:rPr>
          <w:rFonts w:ascii="宋体" w:hAnsi="宋体" w:eastAsia="宋体" w:cs="宋体"/>
          <w:strike/>
          <w:dstrike w:val="0"/>
          <w:color w:val="auto"/>
          <w:spacing w:val="-3"/>
          <w:sz w:val="24"/>
          <w:szCs w:val="24"/>
          <w:highlight w:val="none"/>
        </w:rPr>
        <w:t>）按第</w:t>
      </w:r>
      <w:r>
        <w:rPr>
          <w:rFonts w:ascii="Times New Roman" w:hAnsi="Times New Roman" w:eastAsia="Times New Roman" w:cs="Times New Roman"/>
          <w:strike/>
          <w:dstrike w:val="0"/>
          <w:color w:val="auto"/>
          <w:spacing w:val="-3"/>
          <w:sz w:val="24"/>
          <w:szCs w:val="24"/>
          <w:highlight w:val="none"/>
        </w:rPr>
        <w:t>4.3</w:t>
      </w:r>
      <w:r>
        <w:rPr>
          <w:rFonts w:ascii="宋体" w:hAnsi="宋体" w:eastAsia="宋体" w:cs="宋体"/>
          <w:strike/>
          <w:dstrike w:val="0"/>
          <w:color w:val="auto"/>
          <w:spacing w:val="-3"/>
          <w:sz w:val="24"/>
          <w:szCs w:val="24"/>
          <w:highlight w:val="none"/>
        </w:rPr>
        <w:t>条规定，批准工程分包。</w:t>
      </w:r>
    </w:p>
    <w:p w14:paraId="473BC378">
      <w:pPr>
        <w:spacing w:before="181" w:line="220" w:lineRule="auto"/>
        <w:ind w:left="491"/>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（2）按第11.3款规定，确定延长完工期限。</w:t>
      </w:r>
    </w:p>
    <w:p w14:paraId="781E77B3">
      <w:pPr>
        <w:spacing w:before="181" w:line="220" w:lineRule="auto"/>
        <w:ind w:left="491"/>
        <w:rPr>
          <w:rFonts w:ascii="宋体" w:hAnsi="宋体" w:eastAsia="宋体" w:cs="宋体"/>
          <w:strike/>
          <w:dstrike w:val="0"/>
          <w:color w:val="auto"/>
          <w:spacing w:val="-3"/>
          <w:sz w:val="24"/>
          <w:szCs w:val="24"/>
          <w:highlight w:val="none"/>
        </w:rPr>
      </w:pPr>
      <w:r>
        <w:rPr>
          <w:rFonts w:ascii="宋体" w:hAnsi="宋体" w:eastAsia="宋体" w:cs="宋体"/>
          <w:strike/>
          <w:dstrike w:val="0"/>
          <w:color w:val="auto"/>
          <w:spacing w:val="-3"/>
          <w:sz w:val="24"/>
          <w:szCs w:val="24"/>
          <w:highlight w:val="none"/>
        </w:rPr>
        <w:t>（3）按第15.6条规定，批准预留金的使用。</w:t>
      </w:r>
    </w:p>
    <w:p w14:paraId="4F092838">
      <w:pPr>
        <w:spacing w:before="181" w:line="220" w:lineRule="auto"/>
        <w:ind w:left="491"/>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rPr>
        <w:t>（4）</w:t>
      </w:r>
      <w:r>
        <w:rPr>
          <w:rFonts w:ascii="宋体" w:hAnsi="宋体" w:eastAsia="宋体" w:cs="宋体"/>
          <w:color w:val="auto"/>
          <w:spacing w:val="-3"/>
          <w:sz w:val="24"/>
          <w:szCs w:val="24"/>
          <w:highlight w:val="none"/>
          <w:lang w:eastAsia="zh-CN"/>
        </w:rPr>
        <w:t>按第15条规定，当变更引起的合同价格增减时作出变更决定。</w:t>
      </w:r>
    </w:p>
    <w:p w14:paraId="10B05A3F">
      <w:pPr>
        <w:spacing w:before="181" w:line="220" w:lineRule="auto"/>
        <w:ind w:left="491"/>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5</w:t>
      </w:r>
      <w:r>
        <w:rPr>
          <w:rFonts w:ascii="宋体" w:hAnsi="宋体" w:eastAsia="宋体" w:cs="宋体"/>
          <w:color w:val="auto"/>
          <w:spacing w:val="-3"/>
          <w:sz w:val="24"/>
          <w:szCs w:val="24"/>
          <w:highlight w:val="none"/>
        </w:rPr>
        <w:t>）</w:t>
      </w:r>
      <w:r>
        <w:rPr>
          <w:rFonts w:ascii="宋体" w:hAnsi="宋体" w:eastAsia="宋体" w:cs="宋体"/>
          <w:color w:val="auto"/>
          <w:spacing w:val="-3"/>
          <w:sz w:val="24"/>
          <w:szCs w:val="24"/>
          <w:highlight w:val="none"/>
          <w:lang w:eastAsia="zh-CN"/>
        </w:rPr>
        <w:t>按第15.4条规定，因变更而变动的单价和合价；</w:t>
      </w:r>
    </w:p>
    <w:p w14:paraId="6CA1C221">
      <w:pPr>
        <w:spacing w:before="181" w:line="220" w:lineRule="auto"/>
        <w:ind w:left="491"/>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6</w:t>
      </w:r>
      <w:r>
        <w:rPr>
          <w:rFonts w:ascii="宋体" w:hAnsi="宋体" w:eastAsia="宋体" w:cs="宋体"/>
          <w:color w:val="auto"/>
          <w:spacing w:val="-3"/>
          <w:sz w:val="24"/>
          <w:szCs w:val="24"/>
          <w:highlight w:val="none"/>
        </w:rPr>
        <w:t>）</w:t>
      </w:r>
      <w:r>
        <w:rPr>
          <w:rFonts w:ascii="宋体" w:hAnsi="宋体" w:eastAsia="宋体" w:cs="宋体"/>
          <w:color w:val="auto"/>
          <w:spacing w:val="-3"/>
          <w:sz w:val="24"/>
          <w:szCs w:val="24"/>
          <w:highlight w:val="none"/>
          <w:lang w:eastAsia="zh-CN"/>
        </w:rPr>
        <w:t>按第23款约定，索赔的处理。</w:t>
      </w:r>
    </w:p>
    <w:p w14:paraId="059B0048">
      <w:pPr>
        <w:numPr>
          <w:ilvl w:val="0"/>
          <w:numId w:val="0"/>
        </w:numPr>
        <w:spacing w:line="420" w:lineRule="exact"/>
        <w:ind w:left="220" w:leftChars="0" w:firstLine="230" w:firstLineChars="10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监理人应按第15条的规定增加相应的费用，并通知承包人。</w:t>
      </w:r>
    </w:p>
    <w:p w14:paraId="38B3B0AA">
      <w:pPr>
        <w:spacing w:before="293" w:line="226" w:lineRule="auto"/>
        <w:ind w:left="3"/>
        <w:outlineLvl w:val="2"/>
        <w:rPr>
          <w:rFonts w:ascii="宋体" w:hAnsi="宋体" w:eastAsia="宋体" w:cs="宋体"/>
          <w:color w:val="auto"/>
          <w:sz w:val="27"/>
          <w:szCs w:val="27"/>
          <w:highlight w:val="none"/>
        </w:rPr>
      </w:pPr>
      <w:bookmarkStart w:id="103" w:name="bookmark76"/>
      <w:bookmarkEnd w:id="103"/>
      <w:bookmarkStart w:id="104" w:name="_Toc20071"/>
      <w:r>
        <w:rPr>
          <w:rFonts w:ascii="Times New Roman" w:hAnsi="Times New Roman" w:eastAsia="Times New Roman" w:cs="Times New Roman"/>
          <w:b/>
          <w:bCs/>
          <w:color w:val="auto"/>
          <w:spacing w:val="2"/>
          <w:sz w:val="27"/>
          <w:szCs w:val="27"/>
          <w:highlight w:val="none"/>
        </w:rPr>
        <w:t>4</w:t>
      </w:r>
      <w:r>
        <w:rPr>
          <w:rFonts w:ascii="Times New Roman" w:hAnsi="Times New Roman" w:eastAsia="Times New Roman" w:cs="Times New Roman"/>
          <w:b/>
          <w:bCs/>
          <w:color w:val="auto"/>
          <w:spacing w:val="8"/>
          <w:sz w:val="27"/>
          <w:szCs w:val="27"/>
          <w:highlight w:val="none"/>
        </w:rPr>
        <w:t xml:space="preserve">  </w:t>
      </w:r>
      <w:r>
        <w:rPr>
          <w:rFonts w:ascii="宋体" w:hAnsi="宋体" w:eastAsia="宋体" w:cs="宋体"/>
          <w:b/>
          <w:bCs/>
          <w:color w:val="auto"/>
          <w:spacing w:val="2"/>
          <w:sz w:val="27"/>
          <w:szCs w:val="27"/>
          <w:highlight w:val="none"/>
        </w:rPr>
        <w:t>承包人</w:t>
      </w:r>
      <w:bookmarkEnd w:id="104"/>
    </w:p>
    <w:p w14:paraId="0671675F">
      <w:pPr>
        <w:pStyle w:val="8"/>
        <w:spacing w:line="248" w:lineRule="auto"/>
        <w:rPr>
          <w:color w:val="auto"/>
          <w:highlight w:val="none"/>
        </w:rPr>
      </w:pPr>
    </w:p>
    <w:p w14:paraId="38F6684D">
      <w:pPr>
        <w:spacing w:before="78" w:line="225" w:lineRule="auto"/>
        <w:ind w:left="2"/>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4.1  </w:t>
      </w:r>
      <w:r>
        <w:rPr>
          <w:rFonts w:ascii="楷体" w:hAnsi="楷体" w:eastAsia="楷体" w:cs="楷体"/>
          <w:b/>
          <w:bCs/>
          <w:color w:val="auto"/>
          <w:spacing w:val="-2"/>
          <w:sz w:val="24"/>
          <w:szCs w:val="24"/>
          <w:highlight w:val="none"/>
        </w:rPr>
        <w:t>承包人一般义务</w:t>
      </w:r>
    </w:p>
    <w:p w14:paraId="2E781FED">
      <w:pPr>
        <w:spacing w:before="173" w:line="220"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4.1.11  </w:t>
      </w:r>
      <w:r>
        <w:rPr>
          <w:rFonts w:ascii="宋体" w:hAnsi="宋体" w:eastAsia="宋体" w:cs="宋体"/>
          <w:color w:val="auto"/>
          <w:spacing w:val="-1"/>
          <w:sz w:val="24"/>
          <w:szCs w:val="24"/>
          <w:highlight w:val="none"/>
        </w:rPr>
        <w:t>其它义务</w:t>
      </w:r>
    </w:p>
    <w:p w14:paraId="487CF1C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1）</w:t>
      </w:r>
      <w:r>
        <w:rPr>
          <w:rFonts w:hint="eastAsia" w:ascii="Times New Roman" w:hAnsi="Times New Roman" w:eastAsia="宋体" w:cs="Times New Roman"/>
          <w:color w:val="auto"/>
          <w:spacing w:val="-5"/>
          <w:sz w:val="24"/>
          <w:szCs w:val="24"/>
          <w:highlight w:val="none"/>
          <w:u w:val="single"/>
          <w:lang w:eastAsia="zh-CN"/>
        </w:rPr>
        <w:t>承包人应按照水利部等相关文件资料归档要求及时整理施工过程中的相关资料，做好资料归档工作，并根据发包人的要求按时提供，该项工作作为合同履约的组成部分</w:t>
      </w:r>
      <w:r>
        <w:rPr>
          <w:rFonts w:ascii="Times New Roman" w:hAnsi="Times New Roman" w:eastAsia="宋体" w:cs="Times New Roman"/>
          <w:color w:val="auto"/>
          <w:spacing w:val="-5"/>
          <w:sz w:val="24"/>
          <w:szCs w:val="24"/>
          <w:highlight w:val="none"/>
          <w:u w:val="single"/>
          <w:lang w:eastAsia="zh-CN"/>
        </w:rPr>
        <w:t>。</w:t>
      </w:r>
    </w:p>
    <w:p w14:paraId="3CB7EA8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2）</w:t>
      </w:r>
      <w:r>
        <w:rPr>
          <w:rFonts w:hint="eastAsia" w:ascii="Times New Roman" w:hAnsi="Times New Roman" w:eastAsia="宋体" w:cs="Times New Roman"/>
          <w:color w:val="auto"/>
          <w:spacing w:val="-5"/>
          <w:sz w:val="24"/>
          <w:szCs w:val="24"/>
          <w:highlight w:val="none"/>
          <w:u w:val="single"/>
          <w:lang w:eastAsia="zh-CN"/>
        </w:rPr>
        <w:t>承担施工安全保卫工作及施工照明的责任和要求：根据工程需要，提供和维修施工使用的照明、围栏设施，并负责安全保卫</w:t>
      </w:r>
      <w:r>
        <w:rPr>
          <w:rFonts w:ascii="Times New Roman" w:hAnsi="Times New Roman" w:eastAsia="宋体" w:cs="Times New Roman"/>
          <w:color w:val="auto"/>
          <w:spacing w:val="-5"/>
          <w:sz w:val="24"/>
          <w:szCs w:val="24"/>
          <w:highlight w:val="none"/>
          <w:u w:val="single"/>
          <w:lang w:eastAsia="zh-CN"/>
        </w:rPr>
        <w:t>。</w:t>
      </w:r>
    </w:p>
    <w:p w14:paraId="2BAE47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3）</w:t>
      </w:r>
      <w:r>
        <w:rPr>
          <w:rFonts w:hint="eastAsia" w:ascii="Times New Roman" w:hAnsi="Times New Roman" w:eastAsia="宋体" w:cs="Times New Roman"/>
          <w:color w:val="auto"/>
          <w:spacing w:val="-5"/>
          <w:sz w:val="24"/>
          <w:szCs w:val="24"/>
          <w:highlight w:val="none"/>
          <w:u w:val="single"/>
          <w:lang w:eastAsia="zh-CN"/>
        </w:rPr>
        <w:t>需承包人负责办理有关施工场地交通、环卫和施工噪音管理等手续：遵守政府有关主管部门对施工场地交通、施工噪音以及环境保护和安全生产等的管理规定，办理相关手续、并以书面形式通知发包人；施工过程中由承包人负责处理自身原因涉及市政、环保、卫生、交通、污水处理和自身原因引起的一切纠纷、事故赔偿责任和社会治安等关系。其中施工期间生产的泥浆等废排水，承包人应根据施工组织设计并结合现场情况考虑制定处理措施方案。承包人在使用地方道路过程中，必须采取一切措施确保车辆正常通行，做到施工、通车两不误。承包人应针对通车路段的施工特点，提出通车路段的施工维护方案，满足交通主管部门的要求，报监理人批准，并认真组织实施。由于承包人措施不力，导致阻车和事故频发或损坏地方道路，影响交通安全和正常运行，并造成重大影响，引起索赔，赔偿、诉讼费用及工程拖延或施工费用增加时，应由承包人承担一切责任和费用</w:t>
      </w:r>
      <w:r>
        <w:rPr>
          <w:rFonts w:ascii="Times New Roman" w:hAnsi="Times New Roman" w:eastAsia="宋体" w:cs="Times New Roman"/>
          <w:color w:val="auto"/>
          <w:spacing w:val="-5"/>
          <w:sz w:val="24"/>
          <w:szCs w:val="24"/>
          <w:highlight w:val="none"/>
          <w:u w:val="single"/>
          <w:lang w:eastAsia="zh-CN"/>
        </w:rPr>
        <w:t>。</w:t>
      </w:r>
    </w:p>
    <w:p w14:paraId="0A2C44A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4）</w:t>
      </w:r>
      <w:r>
        <w:rPr>
          <w:rFonts w:hint="eastAsia" w:ascii="Times New Roman" w:hAnsi="Times New Roman" w:eastAsia="宋体" w:cs="Times New Roman"/>
          <w:color w:val="auto"/>
          <w:spacing w:val="-5"/>
          <w:sz w:val="24"/>
          <w:szCs w:val="24"/>
          <w:highlight w:val="none"/>
          <w:u w:val="single"/>
          <w:lang w:eastAsia="zh-CN"/>
        </w:rPr>
        <w:t>完工工程成品保护的特殊要求及费用承担：已竣工工程未交付发包人之前，由承包人负责已完工程的保护工作，保护期间发生损坏，承包人自费予以修复。需要采取特殊保护措施的工程部位，承包人应制定特殊保护措施，报发包人（和监理人）同意后实施</w:t>
      </w:r>
      <w:r>
        <w:rPr>
          <w:rFonts w:ascii="Times New Roman" w:hAnsi="Times New Roman" w:eastAsia="宋体" w:cs="Times New Roman"/>
          <w:color w:val="auto"/>
          <w:spacing w:val="-5"/>
          <w:sz w:val="24"/>
          <w:szCs w:val="24"/>
          <w:highlight w:val="none"/>
          <w:u w:val="single"/>
          <w:lang w:eastAsia="zh-CN"/>
        </w:rPr>
        <w:t>。</w:t>
      </w:r>
    </w:p>
    <w:p w14:paraId="5E362C1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5）</w:t>
      </w:r>
      <w:r>
        <w:rPr>
          <w:rFonts w:hint="eastAsia" w:ascii="Times New Roman" w:hAnsi="Times New Roman" w:eastAsia="宋体" w:cs="Times New Roman"/>
          <w:color w:val="auto"/>
          <w:spacing w:val="-5"/>
          <w:sz w:val="24"/>
          <w:szCs w:val="24"/>
          <w:highlight w:val="none"/>
          <w:u w:val="single"/>
          <w:lang w:eastAsia="zh-CN"/>
        </w:rPr>
        <w:t>施工现场清洁卫生的要求：保证施工场地清洁符合环境卫生管理的有关规定，完工验收通过后30天内工完场清，并承担因自身原因违反有关规定造成的损失和罚款</w:t>
      </w:r>
      <w:r>
        <w:rPr>
          <w:rFonts w:ascii="Times New Roman" w:hAnsi="Times New Roman" w:eastAsia="宋体" w:cs="Times New Roman"/>
          <w:color w:val="auto"/>
          <w:spacing w:val="-5"/>
          <w:sz w:val="24"/>
          <w:szCs w:val="24"/>
          <w:highlight w:val="none"/>
          <w:u w:val="single"/>
          <w:lang w:eastAsia="zh-CN"/>
        </w:rPr>
        <w:t>。</w:t>
      </w:r>
    </w:p>
    <w:p w14:paraId="6F34225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6）</w:t>
      </w:r>
      <w:r>
        <w:rPr>
          <w:rFonts w:hint="eastAsia" w:ascii="Times New Roman" w:hAnsi="Times New Roman" w:eastAsia="宋体" w:cs="Times New Roman"/>
          <w:color w:val="auto"/>
          <w:spacing w:val="-5"/>
          <w:sz w:val="24"/>
          <w:szCs w:val="24"/>
          <w:highlight w:val="none"/>
          <w:u w:val="single"/>
          <w:lang w:eastAsia="zh-CN"/>
        </w:rPr>
        <w:t>文明施工按绍兴市政府有关部门颁发的文明施工要求及招标文件中技术条款执行。施工区域范围内搞好市容环境卫生，并接受有关主管部门和发包人、监理人的检查；环境保护按招标文件及有关部门的要求执行。因承包人原因造成工程损失或人身伤害等，由承包人承担全部责任及费用</w:t>
      </w:r>
      <w:r>
        <w:rPr>
          <w:rFonts w:ascii="Times New Roman" w:hAnsi="Times New Roman" w:eastAsia="宋体" w:cs="Times New Roman"/>
          <w:color w:val="auto"/>
          <w:spacing w:val="-5"/>
          <w:sz w:val="24"/>
          <w:szCs w:val="24"/>
          <w:highlight w:val="none"/>
          <w:u w:val="single"/>
          <w:lang w:eastAsia="zh-CN"/>
        </w:rPr>
        <w:t>。</w:t>
      </w:r>
    </w:p>
    <w:p w14:paraId="3E48A5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7）</w:t>
      </w:r>
      <w:r>
        <w:rPr>
          <w:rFonts w:hint="eastAsia" w:ascii="Times New Roman" w:hAnsi="Times New Roman" w:eastAsia="宋体" w:cs="Times New Roman"/>
          <w:color w:val="auto"/>
          <w:spacing w:val="-5"/>
          <w:sz w:val="24"/>
          <w:szCs w:val="24"/>
          <w:highlight w:val="none"/>
          <w:u w:val="single"/>
          <w:lang w:eastAsia="zh-CN"/>
        </w:rPr>
        <w:t>必须接受发包人的管理或其委托的监理单位及业主委托的第三方相关检测单位的监督管理，并为其开展工作提供方便，按照要求提供完整真实的原始记录、检测记录等技术资料及各种报表。承包人应执行发包人对工程管理所制定的各项管理制度</w:t>
      </w:r>
      <w:r>
        <w:rPr>
          <w:rFonts w:ascii="Times New Roman" w:hAnsi="Times New Roman" w:eastAsia="宋体" w:cs="Times New Roman"/>
          <w:color w:val="auto"/>
          <w:spacing w:val="-5"/>
          <w:sz w:val="24"/>
          <w:szCs w:val="24"/>
          <w:highlight w:val="none"/>
          <w:u w:val="single"/>
          <w:lang w:eastAsia="zh-CN"/>
        </w:rPr>
        <w:t>。</w:t>
      </w:r>
    </w:p>
    <w:p w14:paraId="71CAC3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8）</w:t>
      </w:r>
      <w:r>
        <w:rPr>
          <w:rFonts w:hint="eastAsia" w:ascii="Times New Roman" w:hAnsi="Times New Roman" w:eastAsia="宋体" w:cs="Times New Roman"/>
          <w:color w:val="auto"/>
          <w:spacing w:val="-5"/>
          <w:sz w:val="24"/>
          <w:szCs w:val="24"/>
          <w:highlight w:val="none"/>
          <w:u w:val="single"/>
          <w:lang w:eastAsia="zh-CN"/>
        </w:rPr>
        <w:t>发生工程质量事故或工伤事故后，必须迅速有效地实施先期处置，防止事故进一步扩大，并须按水利行政主管、绍兴市有关规定及时电话联系发包人和监理，按规定上报事故书面报告，同时按政府有关部门要求采取措施</w:t>
      </w:r>
      <w:r>
        <w:rPr>
          <w:rFonts w:ascii="Times New Roman" w:hAnsi="Times New Roman" w:eastAsia="宋体" w:cs="Times New Roman"/>
          <w:color w:val="auto"/>
          <w:spacing w:val="-5"/>
          <w:sz w:val="24"/>
          <w:szCs w:val="24"/>
          <w:highlight w:val="none"/>
          <w:u w:val="single"/>
          <w:lang w:eastAsia="zh-CN"/>
        </w:rPr>
        <w:t>。</w:t>
      </w:r>
    </w:p>
    <w:p w14:paraId="64B2D0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9）</w:t>
      </w:r>
      <w:r>
        <w:rPr>
          <w:rFonts w:hint="eastAsia" w:ascii="Times New Roman" w:hAnsi="Times New Roman" w:eastAsia="宋体" w:cs="Times New Roman"/>
          <w:color w:val="auto"/>
          <w:spacing w:val="-5"/>
          <w:sz w:val="24"/>
          <w:szCs w:val="24"/>
          <w:highlight w:val="none"/>
          <w:u w:val="single"/>
          <w:lang w:eastAsia="zh-CN"/>
        </w:rPr>
        <w:t>参加发包人召开的与本工程相关的会议，并作好会前有关资料的准备。在保修期内要及时做好回访工作，属保修责任范围的事项应及时按质检标准修好</w:t>
      </w:r>
      <w:r>
        <w:rPr>
          <w:rFonts w:ascii="Times New Roman" w:hAnsi="Times New Roman" w:eastAsia="宋体" w:cs="Times New Roman"/>
          <w:color w:val="auto"/>
          <w:spacing w:val="-5"/>
          <w:sz w:val="24"/>
          <w:szCs w:val="24"/>
          <w:highlight w:val="none"/>
          <w:u w:val="single"/>
          <w:lang w:eastAsia="zh-CN"/>
        </w:rPr>
        <w:t>。</w:t>
      </w:r>
    </w:p>
    <w:p w14:paraId="0CC932C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10）</w:t>
      </w:r>
      <w:r>
        <w:rPr>
          <w:rFonts w:hint="eastAsia" w:ascii="Times New Roman" w:hAnsi="Times New Roman" w:eastAsia="宋体" w:cs="Times New Roman"/>
          <w:color w:val="auto"/>
          <w:spacing w:val="-5"/>
          <w:sz w:val="24"/>
          <w:szCs w:val="24"/>
          <w:highlight w:val="none"/>
          <w:u w:val="single"/>
          <w:lang w:eastAsia="zh-CN"/>
        </w:rPr>
        <w:t>承包人在实施和完成承包合同工程及处理缺陷过程中的一切作业应保证发包人免于承担因承包人借用、占用或进出其他标段工区或影响作业等所引起的索赔、诉讼费、损害赔偿费及其他开支。承包人有义务提供与本工程施工项目相关的其他承包人的配合与协调，包括（但不限于）：</w:t>
      </w:r>
    </w:p>
    <w:p w14:paraId="3BB6A7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1）工作面的安全和施工质量影响。</w:t>
      </w:r>
    </w:p>
    <w:p w14:paraId="7AE887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2） 施工进度的协调。</w:t>
      </w:r>
    </w:p>
    <w:p w14:paraId="714CA2D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3）及时提供或移交工作面。</w:t>
      </w:r>
    </w:p>
    <w:p w14:paraId="768D3D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4） 保持相邻界面附近的结构质量。</w:t>
      </w:r>
    </w:p>
    <w:p w14:paraId="4733BC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5）为其他标段的承包人提供交通道路、交叉工作面的作业场地。</w:t>
      </w:r>
    </w:p>
    <w:p w14:paraId="5392D40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6）应积极配合观测承包人的工作，为其观测设备的埋设进行相应的土建施工，并为观测数据的采集提供方便。</w:t>
      </w:r>
    </w:p>
    <w:p w14:paraId="10418D3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val="en-US" w:eastAsia="zh-CN"/>
        </w:rPr>
        <w:t>7）</w:t>
      </w:r>
      <w:r>
        <w:rPr>
          <w:rFonts w:hint="eastAsia" w:ascii="Times New Roman" w:hAnsi="Times New Roman" w:eastAsia="宋体" w:cs="Times New Roman"/>
          <w:color w:val="auto"/>
          <w:spacing w:val="-5"/>
          <w:sz w:val="24"/>
          <w:szCs w:val="24"/>
          <w:highlight w:val="none"/>
          <w:u w:val="single"/>
          <w:lang w:eastAsia="zh-CN"/>
        </w:rPr>
        <w:t>承包人应充分考虑到其他承包人吊装、安装、场地占用等因素对施工现场的干扰与影响，承包人应服从监理人的协调或决定，并按监理人规定的时间和要求，向其他承包人提供配合条件。</w:t>
      </w:r>
    </w:p>
    <w:p w14:paraId="153E5D4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8）专项和阶段验收配合工作。</w:t>
      </w:r>
    </w:p>
    <w:p w14:paraId="146F15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9）承包人应按照合同要求向其他承包人移交工作面，具体时间见技术标准和要求（合同技术条款）的相关规定。有关以上配合工作，承包人在工程进度与报价中已充分考虑，它不成为承包人索赔的理由或条件。</w:t>
      </w:r>
    </w:p>
    <w:p w14:paraId="724134C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11）</w:t>
      </w:r>
      <w:r>
        <w:rPr>
          <w:rFonts w:hint="eastAsia" w:ascii="Times New Roman" w:hAnsi="Times New Roman" w:eastAsia="宋体" w:cs="Times New Roman"/>
          <w:color w:val="auto"/>
          <w:spacing w:val="-5"/>
          <w:sz w:val="24"/>
          <w:szCs w:val="24"/>
          <w:highlight w:val="none"/>
          <w:u w:val="single"/>
          <w:lang w:eastAsia="zh-CN"/>
        </w:rPr>
        <w:t>工程完工后，承包人所在标段的遗留问题，如（不限于）：道路恢复处理、防洪堤恢复处理、河道清理、渣土清运、赔偿等，承包人应积极主动进行处理和解决，并承担所有费用。如果上述问题在发包人规定的期限内不能解决，发包人有权单独或委托其他单位进行处理，发生的全部费用从承包人保留金中抵扣，承包人应无条件接受</w:t>
      </w:r>
      <w:r>
        <w:rPr>
          <w:rFonts w:ascii="Times New Roman" w:hAnsi="Times New Roman" w:eastAsia="宋体" w:cs="Times New Roman"/>
          <w:color w:val="auto"/>
          <w:spacing w:val="-5"/>
          <w:sz w:val="24"/>
          <w:szCs w:val="24"/>
          <w:highlight w:val="none"/>
          <w:u w:val="single"/>
          <w:lang w:eastAsia="zh-CN"/>
        </w:rPr>
        <w:t>。</w:t>
      </w:r>
    </w:p>
    <w:p w14:paraId="72775C2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12）</w:t>
      </w:r>
      <w:r>
        <w:rPr>
          <w:rFonts w:hint="eastAsia" w:ascii="Times New Roman" w:hAnsi="Times New Roman" w:eastAsia="宋体" w:cs="Times New Roman"/>
          <w:color w:val="auto"/>
          <w:spacing w:val="-5"/>
          <w:sz w:val="24"/>
          <w:szCs w:val="24"/>
          <w:highlight w:val="none"/>
          <w:u w:val="single"/>
          <w:lang w:eastAsia="zh-CN"/>
        </w:rPr>
        <w:t>发包人将委托第三方试验室承担第三方质量检测工作，承包人应按照约定提供试验所需的试件等工作</w:t>
      </w:r>
      <w:r>
        <w:rPr>
          <w:rFonts w:ascii="Times New Roman" w:hAnsi="Times New Roman" w:eastAsia="宋体" w:cs="Times New Roman"/>
          <w:color w:val="auto"/>
          <w:spacing w:val="-5"/>
          <w:sz w:val="24"/>
          <w:szCs w:val="24"/>
          <w:highlight w:val="none"/>
          <w:u w:val="single"/>
          <w:lang w:eastAsia="zh-CN"/>
        </w:rPr>
        <w:t>。</w:t>
      </w:r>
    </w:p>
    <w:p w14:paraId="11C3E7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13）</w:t>
      </w:r>
      <w:r>
        <w:rPr>
          <w:rFonts w:hint="eastAsia" w:ascii="Times New Roman" w:hAnsi="Times New Roman" w:eastAsia="宋体" w:cs="Times New Roman"/>
          <w:color w:val="auto"/>
          <w:spacing w:val="-5"/>
          <w:sz w:val="24"/>
          <w:szCs w:val="24"/>
          <w:highlight w:val="none"/>
          <w:u w:val="single"/>
          <w:lang w:eastAsia="zh-CN"/>
        </w:rPr>
        <w:t>本标段施工期间涉及台汛期，承包人应服从发包人或水利局等相关单位的调度，考虑台汛期因排涝所需施工导流等费用，发包人不另行支付</w:t>
      </w:r>
      <w:r>
        <w:rPr>
          <w:rFonts w:ascii="Times New Roman" w:hAnsi="Times New Roman" w:eastAsia="宋体" w:cs="Times New Roman"/>
          <w:color w:val="auto"/>
          <w:spacing w:val="-5"/>
          <w:sz w:val="24"/>
          <w:szCs w:val="24"/>
          <w:highlight w:val="none"/>
          <w:u w:val="single"/>
          <w:lang w:eastAsia="zh-CN"/>
        </w:rPr>
        <w:t>。</w:t>
      </w:r>
    </w:p>
    <w:p w14:paraId="3204CC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14）</w:t>
      </w:r>
      <w:r>
        <w:rPr>
          <w:rFonts w:hint="eastAsia" w:ascii="Times New Roman" w:hAnsi="Times New Roman" w:eastAsia="宋体" w:cs="Times New Roman"/>
          <w:color w:val="auto"/>
          <w:spacing w:val="-5"/>
          <w:sz w:val="24"/>
          <w:szCs w:val="24"/>
          <w:highlight w:val="none"/>
          <w:u w:val="single"/>
          <w:lang w:eastAsia="zh-CN"/>
        </w:rPr>
        <w:t>做好疏浚处理，尾水排放应符合环保要求</w:t>
      </w:r>
      <w:r>
        <w:rPr>
          <w:rFonts w:ascii="Times New Roman" w:hAnsi="Times New Roman" w:eastAsia="宋体" w:cs="Times New Roman"/>
          <w:color w:val="auto"/>
          <w:spacing w:val="-5"/>
          <w:sz w:val="24"/>
          <w:szCs w:val="24"/>
          <w:highlight w:val="none"/>
          <w:u w:val="single"/>
          <w:lang w:eastAsia="zh-CN"/>
        </w:rPr>
        <w:t>。</w:t>
      </w:r>
    </w:p>
    <w:p w14:paraId="06AD91D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220" w:leftChars="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15</w:t>
      </w:r>
      <w:r>
        <w:rPr>
          <w:rFonts w:hint="eastAsia" w:ascii="Times New Roman" w:hAnsi="Times New Roman" w:eastAsia="宋体" w:cs="Times New Roman"/>
          <w:color w:val="auto"/>
          <w:spacing w:val="-5"/>
          <w:sz w:val="24"/>
          <w:szCs w:val="24"/>
          <w:highlight w:val="none"/>
          <w:u w:val="single"/>
          <w:lang w:eastAsia="zh-CN"/>
        </w:rPr>
        <w:t>）根据滨海新区相关文件规定，本项目范围内的土方</w:t>
      </w:r>
      <w:r>
        <w:rPr>
          <w:rFonts w:hint="eastAsia" w:ascii="Times New Roman" w:hAnsi="Times New Roman" w:eastAsia="宋体" w:cs="Times New Roman"/>
          <w:color w:val="auto"/>
          <w:spacing w:val="-5"/>
          <w:sz w:val="24"/>
          <w:szCs w:val="24"/>
          <w:highlight w:val="none"/>
          <w:u w:val="single"/>
          <w:lang w:val="en-US" w:eastAsia="zh-CN"/>
        </w:rPr>
        <w:t>在承包人进场前</w:t>
      </w:r>
      <w:r>
        <w:rPr>
          <w:rFonts w:hint="eastAsia" w:ascii="Times New Roman" w:hAnsi="Times New Roman" w:eastAsia="宋体" w:cs="Times New Roman"/>
          <w:color w:val="auto"/>
          <w:spacing w:val="-5"/>
          <w:sz w:val="24"/>
          <w:szCs w:val="24"/>
          <w:highlight w:val="none"/>
          <w:u w:val="single"/>
          <w:lang w:eastAsia="zh-CN"/>
        </w:rPr>
        <w:t>统一填筑至设计标高</w:t>
      </w:r>
      <w:r>
        <w:rPr>
          <w:rFonts w:hint="eastAsia" w:ascii="Times New Roman" w:hAnsi="Times New Roman" w:eastAsia="宋体" w:cs="Times New Roman"/>
          <w:color w:val="auto"/>
          <w:spacing w:val="-5"/>
          <w:sz w:val="24"/>
          <w:szCs w:val="24"/>
          <w:highlight w:val="none"/>
          <w:u w:val="single"/>
          <w:lang w:val="en-US" w:eastAsia="zh-CN"/>
        </w:rPr>
        <w:t>后</w:t>
      </w:r>
      <w:r>
        <w:rPr>
          <w:rFonts w:hint="eastAsia" w:ascii="Times New Roman" w:hAnsi="Times New Roman" w:eastAsia="宋体" w:cs="Times New Roman"/>
          <w:color w:val="auto"/>
          <w:spacing w:val="-5"/>
          <w:sz w:val="24"/>
          <w:szCs w:val="24"/>
          <w:highlight w:val="none"/>
          <w:u w:val="single"/>
          <w:lang w:eastAsia="zh-CN"/>
        </w:rPr>
        <w:t>进行场地移交，如施工期间出现土方偷倒现象，承包人需承担处置责任。</w:t>
      </w:r>
    </w:p>
    <w:p w14:paraId="22B5826D">
      <w:pPr>
        <w:spacing w:before="166" w:line="232" w:lineRule="auto"/>
        <w:ind w:firstLine="230" w:firstLineChars="100"/>
        <w:rPr>
          <w:rFonts w:ascii="Times New Roman" w:hAnsi="Times New Roman" w:eastAsia="宋体" w:cs="Times New Roman"/>
          <w:color w:val="auto"/>
          <w:spacing w:val="-5"/>
          <w:sz w:val="24"/>
          <w:szCs w:val="24"/>
          <w:highlight w:val="none"/>
          <w:u w:val="single"/>
          <w:lang w:eastAsia="zh-CN"/>
        </w:rPr>
      </w:pPr>
      <w:r>
        <w:rPr>
          <w:rFonts w:hint="eastAsia" w:ascii="Times New Roman" w:hAnsi="Times New Roman" w:eastAsia="宋体" w:cs="Times New Roman"/>
          <w:color w:val="auto"/>
          <w:spacing w:val="-5"/>
          <w:sz w:val="24"/>
          <w:szCs w:val="24"/>
          <w:highlight w:val="none"/>
          <w:u w:val="single"/>
          <w:lang w:eastAsia="zh-CN"/>
        </w:rPr>
        <w:t>（</w:t>
      </w:r>
      <w:r>
        <w:rPr>
          <w:rFonts w:hint="eastAsia" w:ascii="Times New Roman" w:hAnsi="Times New Roman" w:eastAsia="宋体" w:cs="Times New Roman"/>
          <w:color w:val="auto"/>
          <w:spacing w:val="-5"/>
          <w:sz w:val="24"/>
          <w:szCs w:val="24"/>
          <w:highlight w:val="none"/>
          <w:u w:val="single"/>
          <w:lang w:val="en-US" w:eastAsia="zh-CN"/>
        </w:rPr>
        <w:t>16</w:t>
      </w:r>
      <w:r>
        <w:rPr>
          <w:rFonts w:hint="eastAsia" w:ascii="Times New Roman" w:hAnsi="Times New Roman" w:eastAsia="宋体" w:cs="Times New Roman"/>
          <w:color w:val="auto"/>
          <w:spacing w:val="-5"/>
          <w:sz w:val="24"/>
          <w:szCs w:val="24"/>
          <w:highlight w:val="none"/>
          <w:u w:val="single"/>
          <w:lang w:eastAsia="zh-CN"/>
        </w:rPr>
        <w:t>）承包人应提供发包人代表驻现场所必需的办公设施及设备</w:t>
      </w:r>
      <w:r>
        <w:rPr>
          <w:rFonts w:ascii="Times New Roman" w:hAnsi="Times New Roman" w:eastAsia="宋体" w:cs="Times New Roman"/>
          <w:color w:val="auto"/>
          <w:spacing w:val="-5"/>
          <w:sz w:val="24"/>
          <w:szCs w:val="24"/>
          <w:highlight w:val="none"/>
          <w:u w:val="single"/>
          <w:lang w:eastAsia="zh-CN"/>
        </w:rPr>
        <w:t>。</w:t>
      </w:r>
    </w:p>
    <w:p w14:paraId="749E1271">
      <w:pPr>
        <w:keepNext w:val="0"/>
        <w:keepLines w:val="0"/>
        <w:pageBreakBefore w:val="0"/>
        <w:widowControl/>
        <w:kinsoku w:val="0"/>
        <w:wordWrap/>
        <w:overflowPunct/>
        <w:topLinePunct w:val="0"/>
        <w:autoSpaceDE w:val="0"/>
        <w:autoSpaceDN w:val="0"/>
        <w:bidi w:val="0"/>
        <w:adjustRightInd w:val="0"/>
        <w:snapToGrid w:val="0"/>
        <w:spacing w:before="166" w:line="420" w:lineRule="exact"/>
        <w:ind w:firstLine="240" w:firstLineChars="100"/>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w:t>
      </w:r>
      <w:r>
        <w:rPr>
          <w:rFonts w:hint="default" w:ascii="Times New Roman" w:hAnsi="Times New Roman" w:eastAsia="宋体" w:cs="Times New Roman"/>
          <w:snapToGrid w:val="0"/>
          <w:color w:val="auto"/>
          <w:kern w:val="0"/>
          <w:sz w:val="24"/>
          <w:szCs w:val="24"/>
          <w:highlight w:val="none"/>
          <w:u w:val="single"/>
          <w:lang w:val="en-US" w:eastAsia="zh-CN" w:bidi="ar"/>
        </w:rPr>
        <w:t>17</w:t>
      </w:r>
      <w:r>
        <w:rPr>
          <w:rFonts w:ascii="宋体" w:hAnsi="宋体" w:eastAsia="宋体" w:cs="宋体"/>
          <w:snapToGrid w:val="0"/>
          <w:color w:val="auto"/>
          <w:kern w:val="0"/>
          <w:sz w:val="24"/>
          <w:szCs w:val="24"/>
          <w:highlight w:val="none"/>
          <w:u w:val="single"/>
          <w:lang w:val="en-US" w:eastAsia="zh-CN" w:bidi="ar"/>
        </w:rPr>
        <w:t xml:space="preserve">）本工程质量要求及施工中须遵循的技术规范。施工、产品材料规格、品牌 质量技术要求，各类参数等必须符合设计技术要求（附设计说明及图纸）。除非发包人另有要求，承包人必须按发包人提供的施工图和相关国家规范和标准施工，未 提到的其他规范和标准，只要与本工程相关，承包人都必须遵照执行。 </w:t>
      </w:r>
    </w:p>
    <w:p w14:paraId="128CC9B0">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ind w:firstLine="480" w:firstLineChars="200"/>
        <w:jc w:val="left"/>
        <w:textAlignment w:val="baseline"/>
        <w:rPr>
          <w:color w:val="auto"/>
          <w:highlight w:val="none"/>
          <w:u w:val="single"/>
        </w:rPr>
      </w:pPr>
      <w:r>
        <w:rPr>
          <w:rFonts w:hint="default" w:ascii="Times New Roman" w:hAnsi="Times New Roman" w:eastAsia="宋体" w:cs="Times New Roman"/>
          <w:snapToGrid w:val="0"/>
          <w:color w:val="auto"/>
          <w:kern w:val="0"/>
          <w:sz w:val="24"/>
          <w:szCs w:val="24"/>
          <w:highlight w:val="none"/>
          <w:u w:val="single"/>
          <w:lang w:val="en-US" w:eastAsia="zh-CN" w:bidi="ar"/>
        </w:rPr>
        <w:t>1</w:t>
      </w:r>
      <w:r>
        <w:rPr>
          <w:rFonts w:ascii="宋体" w:hAnsi="宋体" w:eastAsia="宋体" w:cs="宋体"/>
          <w:snapToGrid w:val="0"/>
          <w:color w:val="auto"/>
          <w:kern w:val="0"/>
          <w:sz w:val="24"/>
          <w:szCs w:val="24"/>
          <w:highlight w:val="none"/>
          <w:u w:val="single"/>
          <w:lang w:val="en-US" w:eastAsia="zh-CN" w:bidi="ar"/>
        </w:rPr>
        <w:t xml:space="preserve">）承包人采购的材料必须严格按照招投标文件中明确的品牌、规格、质量等 </w:t>
      </w:r>
    </w:p>
    <w:p w14:paraId="214CAC9A">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要求进行采购，采购的材料设备的质量、品牌、型号等不符合招标文件、投标文件 </w:t>
      </w:r>
    </w:p>
    <w:p w14:paraId="7B665B87">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规定的要求，承包人必须无条件更换并承担相关费用。采购的材料必须经监理和发 </w:t>
      </w:r>
    </w:p>
    <w:p w14:paraId="14825CCB">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包人代表验收后方能用于本工程，且必须符合施工图纸设计要求及国家有关质量标 </w:t>
      </w:r>
    </w:p>
    <w:p w14:paraId="6AFCF424">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准。 </w:t>
      </w:r>
    </w:p>
    <w:p w14:paraId="3C2ED71D">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ind w:firstLine="480" w:firstLineChars="200"/>
        <w:jc w:val="left"/>
        <w:textAlignment w:val="baseline"/>
        <w:rPr>
          <w:color w:val="auto"/>
          <w:highlight w:val="none"/>
          <w:u w:val="single"/>
        </w:rPr>
      </w:pPr>
      <w:r>
        <w:rPr>
          <w:rFonts w:hint="default" w:ascii="Times New Roman" w:hAnsi="Times New Roman" w:eastAsia="宋体" w:cs="Times New Roman"/>
          <w:snapToGrid w:val="0"/>
          <w:color w:val="auto"/>
          <w:kern w:val="0"/>
          <w:sz w:val="24"/>
          <w:szCs w:val="24"/>
          <w:highlight w:val="none"/>
          <w:u w:val="single"/>
          <w:lang w:val="en-US" w:eastAsia="zh-CN" w:bidi="ar"/>
        </w:rPr>
        <w:t>2</w:t>
      </w:r>
      <w:r>
        <w:rPr>
          <w:rFonts w:ascii="宋体" w:hAnsi="宋体" w:eastAsia="宋体" w:cs="宋体"/>
          <w:snapToGrid w:val="0"/>
          <w:color w:val="auto"/>
          <w:kern w:val="0"/>
          <w:sz w:val="24"/>
          <w:szCs w:val="24"/>
          <w:highlight w:val="none"/>
          <w:u w:val="single"/>
          <w:lang w:val="en-US" w:eastAsia="zh-CN" w:bidi="ar"/>
        </w:rPr>
        <w:t>）工程主要材料、设备</w:t>
      </w:r>
      <w:r>
        <w:rPr>
          <w:rFonts w:hint="default" w:ascii="Times New Roman" w:hAnsi="Times New Roman" w:eastAsia="宋体" w:cs="Times New Roman"/>
          <w:snapToGrid w:val="0"/>
          <w:color w:val="auto"/>
          <w:kern w:val="0"/>
          <w:sz w:val="24"/>
          <w:szCs w:val="24"/>
          <w:highlight w:val="none"/>
          <w:u w:val="single"/>
          <w:lang w:val="en-US" w:eastAsia="zh-CN" w:bidi="ar"/>
        </w:rPr>
        <w:t>(</w:t>
      </w:r>
      <w:r>
        <w:rPr>
          <w:rFonts w:ascii="宋体" w:hAnsi="宋体" w:eastAsia="宋体" w:cs="宋体"/>
          <w:snapToGrid w:val="0"/>
          <w:color w:val="auto"/>
          <w:kern w:val="0"/>
          <w:sz w:val="24"/>
          <w:szCs w:val="24"/>
          <w:highlight w:val="none"/>
          <w:u w:val="single"/>
          <w:lang w:val="en-US" w:eastAsia="zh-CN" w:bidi="ar"/>
        </w:rPr>
        <w:t>工器具</w:t>
      </w:r>
      <w:r>
        <w:rPr>
          <w:rFonts w:hint="default" w:ascii="Times New Roman" w:hAnsi="Times New Roman" w:eastAsia="宋体" w:cs="Times New Roman"/>
          <w:snapToGrid w:val="0"/>
          <w:color w:val="auto"/>
          <w:kern w:val="0"/>
          <w:sz w:val="24"/>
          <w:szCs w:val="24"/>
          <w:highlight w:val="none"/>
          <w:u w:val="single"/>
          <w:lang w:val="en-US" w:eastAsia="zh-CN" w:bidi="ar"/>
        </w:rPr>
        <w:t>)</w:t>
      </w:r>
      <w:r>
        <w:rPr>
          <w:rFonts w:ascii="宋体" w:hAnsi="宋体" w:eastAsia="宋体" w:cs="宋体"/>
          <w:snapToGrid w:val="0"/>
          <w:color w:val="auto"/>
          <w:kern w:val="0"/>
          <w:sz w:val="24"/>
          <w:szCs w:val="24"/>
          <w:highlight w:val="none"/>
          <w:u w:val="single"/>
          <w:lang w:val="en-US" w:eastAsia="zh-CN" w:bidi="ar"/>
        </w:rPr>
        <w:t xml:space="preserve">品牌，招标文件及招标控制价中有品牌型号要 </w:t>
      </w:r>
    </w:p>
    <w:p w14:paraId="317ECD36">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求的，承包人从中任选一个品牌采购施工，允许承包人所选品牌的型号、标准档次 </w:t>
      </w:r>
    </w:p>
    <w:p w14:paraId="4F454384">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不低于招标文件及标底中的要求采购施工。所选品牌采购前须经发包人确认，发包 </w:t>
      </w:r>
    </w:p>
    <w:p w14:paraId="7B9FA3A9">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人对主要材料和设备的品牌及品牌内各产品系列、规格型号、性能等有最终决定权，承包人在主要材料和设备采购前，须将拟采购品牌、产品系列、规格型号、性能等 </w:t>
      </w:r>
    </w:p>
    <w:p w14:paraId="16B9DF55">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报发包人审核，经发包人审核确定后方可采购。经发包人审核拟采购品牌、产品系 </w:t>
      </w:r>
    </w:p>
    <w:p w14:paraId="7D4B5121">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列、规格型号、性能等不满足招标文件及项目使用要求的，发包人有权对品牌、产 </w:t>
      </w:r>
    </w:p>
    <w:p w14:paraId="47E9828E">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品系列、规格型号、性能等进行调整，投标价格不作调整。如产品涉及到功能要求 </w:t>
      </w:r>
    </w:p>
    <w:p w14:paraId="677AC8CA">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的，须经设计单位同意。 </w:t>
      </w:r>
    </w:p>
    <w:p w14:paraId="30F14EAB">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ind w:firstLine="480" w:firstLineChars="200"/>
        <w:jc w:val="left"/>
        <w:textAlignment w:val="baseline"/>
        <w:rPr>
          <w:color w:val="auto"/>
          <w:highlight w:val="none"/>
          <w:u w:val="single"/>
        </w:rPr>
      </w:pPr>
      <w:r>
        <w:rPr>
          <w:rFonts w:hint="default" w:ascii="Times New Roman" w:hAnsi="Times New Roman" w:eastAsia="宋体" w:cs="Times New Roman"/>
          <w:snapToGrid w:val="0"/>
          <w:color w:val="auto"/>
          <w:kern w:val="0"/>
          <w:sz w:val="24"/>
          <w:szCs w:val="24"/>
          <w:highlight w:val="none"/>
          <w:u w:val="single"/>
          <w:lang w:val="en-US" w:eastAsia="zh-CN" w:bidi="ar"/>
        </w:rPr>
        <w:t>3</w:t>
      </w:r>
      <w:r>
        <w:rPr>
          <w:rFonts w:ascii="宋体" w:hAnsi="宋体" w:eastAsia="宋体" w:cs="宋体"/>
          <w:snapToGrid w:val="0"/>
          <w:color w:val="auto"/>
          <w:kern w:val="0"/>
          <w:sz w:val="24"/>
          <w:szCs w:val="24"/>
          <w:highlight w:val="none"/>
          <w:u w:val="single"/>
          <w:lang w:val="en-US" w:eastAsia="zh-CN" w:bidi="ar"/>
        </w:rPr>
        <w:t xml:space="preserve">）本工程所采用的主要材料及设备等到货时，应由承包人、全过程咨询单位 </w:t>
      </w:r>
    </w:p>
    <w:p w14:paraId="218786C4">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（含监理）、发包人就材料设备规定的种类、产地、品牌、数量、规格等，按投标 </w:t>
      </w:r>
    </w:p>
    <w:p w14:paraId="497D27BE">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文件中的品牌和国家制定的有关质量标准规范要求进行验收或抽查试验，承包人并 </w:t>
      </w:r>
    </w:p>
    <w:p w14:paraId="05432436">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应向验收人员提供有关产品合格证、许可证、准用证等证明和出厂日期等以供核对。 </w:t>
      </w:r>
    </w:p>
    <w:p w14:paraId="319B49FF">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ind w:firstLine="480" w:firstLineChars="200"/>
        <w:jc w:val="left"/>
        <w:textAlignment w:val="baseline"/>
        <w:rPr>
          <w:color w:val="auto"/>
          <w:highlight w:val="none"/>
          <w:u w:val="single"/>
        </w:rPr>
      </w:pPr>
      <w:r>
        <w:rPr>
          <w:rFonts w:hint="default" w:ascii="Times New Roman" w:hAnsi="Times New Roman" w:eastAsia="宋体" w:cs="Times New Roman"/>
          <w:snapToGrid w:val="0"/>
          <w:color w:val="auto"/>
          <w:kern w:val="0"/>
          <w:sz w:val="24"/>
          <w:szCs w:val="24"/>
          <w:highlight w:val="none"/>
          <w:u w:val="single"/>
          <w:lang w:val="en-US" w:eastAsia="zh-CN" w:bidi="ar"/>
        </w:rPr>
        <w:t>4</w:t>
      </w:r>
      <w:r>
        <w:rPr>
          <w:rFonts w:ascii="宋体" w:hAnsi="宋体" w:eastAsia="宋体" w:cs="宋体"/>
          <w:snapToGrid w:val="0"/>
          <w:color w:val="auto"/>
          <w:kern w:val="0"/>
          <w:sz w:val="24"/>
          <w:szCs w:val="24"/>
          <w:highlight w:val="none"/>
          <w:u w:val="single"/>
          <w:lang w:val="en-US" w:eastAsia="zh-CN" w:bidi="ar"/>
        </w:rPr>
        <w:t xml:space="preserve">）若承包人使用假冒、劣质材料施工或施工中途偷换材料，一经发现，发包 </w:t>
      </w:r>
    </w:p>
    <w:p w14:paraId="4CB27A7C">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人或全过程咨询单位（含监理）有权制止使用，有权要求停工、返工或终止合同。 </w:t>
      </w:r>
    </w:p>
    <w:p w14:paraId="22918BA4">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无论发包人及全过程咨询单位（含监理）是否发现和制止，由于使用假冒劣质材料 </w:t>
      </w:r>
    </w:p>
    <w:p w14:paraId="05532C8F">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施工后所引起的一切损失、费用、责任均由承包人自负，发包人有权对承包人处以 </w:t>
      </w:r>
    </w:p>
    <w:p w14:paraId="3D5F5C89">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违约金，不论使用假冒劣质材料的金额大小和材料种类，本项违约金额一律以涉及 </w:t>
      </w:r>
    </w:p>
    <w:p w14:paraId="0087B801">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的假冒劣质材料总金额和签约合同价（不含暂列金额）的</w:t>
      </w:r>
      <w:r>
        <w:rPr>
          <w:rFonts w:hint="default" w:ascii="Times New Roman" w:hAnsi="Times New Roman" w:eastAsia="宋体" w:cs="Times New Roman"/>
          <w:snapToGrid w:val="0"/>
          <w:color w:val="auto"/>
          <w:kern w:val="0"/>
          <w:sz w:val="24"/>
          <w:szCs w:val="24"/>
          <w:highlight w:val="none"/>
          <w:u w:val="single"/>
          <w:lang w:val="en-US" w:eastAsia="zh-CN" w:bidi="ar"/>
        </w:rPr>
        <w:t>2%</w:t>
      </w:r>
      <w:r>
        <w:rPr>
          <w:rFonts w:ascii="宋体" w:hAnsi="宋体" w:eastAsia="宋体" w:cs="宋体"/>
          <w:snapToGrid w:val="0"/>
          <w:color w:val="auto"/>
          <w:kern w:val="0"/>
          <w:sz w:val="24"/>
          <w:szCs w:val="24"/>
          <w:highlight w:val="none"/>
          <w:u w:val="single"/>
          <w:lang w:val="en-US" w:eastAsia="zh-CN" w:bidi="ar"/>
        </w:rPr>
        <w:t xml:space="preserve">的二者中的最大金额为 </w:t>
      </w:r>
    </w:p>
    <w:p w14:paraId="0884581F">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准，造成人身伤害的，违约金额不受此限制。 </w:t>
      </w:r>
    </w:p>
    <w:p w14:paraId="18F33B42">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ind w:firstLine="480" w:firstLineChars="200"/>
        <w:jc w:val="left"/>
        <w:textAlignment w:val="baseline"/>
        <w:rPr>
          <w:color w:val="auto"/>
          <w:highlight w:val="none"/>
          <w:u w:val="single"/>
        </w:rPr>
      </w:pPr>
      <w:r>
        <w:rPr>
          <w:rFonts w:hint="default" w:ascii="Times New Roman" w:hAnsi="Times New Roman" w:eastAsia="宋体" w:cs="Times New Roman"/>
          <w:snapToGrid w:val="0"/>
          <w:color w:val="auto"/>
          <w:kern w:val="0"/>
          <w:sz w:val="24"/>
          <w:szCs w:val="24"/>
          <w:highlight w:val="none"/>
          <w:u w:val="single"/>
          <w:lang w:val="en-US" w:eastAsia="zh-CN" w:bidi="ar"/>
        </w:rPr>
        <w:t>5</w:t>
      </w:r>
      <w:r>
        <w:rPr>
          <w:rFonts w:ascii="宋体" w:hAnsi="宋体" w:eastAsia="宋体" w:cs="宋体"/>
          <w:snapToGrid w:val="0"/>
          <w:color w:val="auto"/>
          <w:kern w:val="0"/>
          <w:sz w:val="24"/>
          <w:szCs w:val="24"/>
          <w:highlight w:val="none"/>
          <w:u w:val="single"/>
          <w:lang w:val="en-US" w:eastAsia="zh-CN" w:bidi="ar"/>
        </w:rPr>
        <w:t xml:space="preserve">）未作特别要求的材料都必须采用中档及以上品牌或国内知名厂家生产，在 </w:t>
      </w:r>
    </w:p>
    <w:p w14:paraId="57258DB8">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采购前报全过程咨询单位（含监理）及发包人确认。 </w:t>
      </w:r>
    </w:p>
    <w:p w14:paraId="1EBB0601">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ind w:firstLine="480" w:firstLineChars="200"/>
        <w:jc w:val="left"/>
        <w:textAlignment w:val="baseline"/>
        <w:rPr>
          <w:color w:val="auto"/>
          <w:highlight w:val="none"/>
          <w:u w:val="single"/>
        </w:rPr>
      </w:pPr>
      <w:r>
        <w:rPr>
          <w:rFonts w:hint="default" w:ascii="Times New Roman" w:hAnsi="Times New Roman" w:eastAsia="宋体" w:cs="Times New Roman"/>
          <w:snapToGrid w:val="0"/>
          <w:color w:val="auto"/>
          <w:kern w:val="0"/>
          <w:sz w:val="24"/>
          <w:szCs w:val="24"/>
          <w:highlight w:val="none"/>
          <w:u w:val="single"/>
          <w:lang w:val="en-US" w:eastAsia="zh-CN" w:bidi="ar"/>
        </w:rPr>
        <w:t>6</w:t>
      </w:r>
      <w:r>
        <w:rPr>
          <w:rFonts w:ascii="宋体" w:hAnsi="宋体" w:eastAsia="宋体" w:cs="宋体"/>
          <w:snapToGrid w:val="0"/>
          <w:color w:val="auto"/>
          <w:kern w:val="0"/>
          <w:sz w:val="24"/>
          <w:szCs w:val="24"/>
          <w:highlight w:val="none"/>
          <w:u w:val="single"/>
          <w:lang w:val="en-US" w:eastAsia="zh-CN" w:bidi="ar"/>
        </w:rPr>
        <w:t xml:space="preserve">）如投标文件中列明的材料设备因原厂停产、发包人紧急要求工期提前原因 </w:t>
      </w:r>
    </w:p>
    <w:p w14:paraId="2245C4AA">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而无法及时采购到货的，则承包人可以提出变更申请，经发包人书面审核确认后可 </w:t>
      </w:r>
    </w:p>
    <w:p w14:paraId="217A96E7">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另行确定，但材料设备价格不调整。 </w:t>
      </w:r>
    </w:p>
    <w:p w14:paraId="66BFC99E">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ind w:firstLine="480" w:firstLineChars="200"/>
        <w:jc w:val="left"/>
        <w:textAlignment w:val="baseline"/>
        <w:rPr>
          <w:color w:val="auto"/>
          <w:highlight w:val="none"/>
          <w:u w:val="single"/>
        </w:rPr>
      </w:pPr>
      <w:r>
        <w:rPr>
          <w:rFonts w:hint="default" w:ascii="Times New Roman" w:hAnsi="Times New Roman" w:eastAsia="宋体" w:cs="Times New Roman"/>
          <w:snapToGrid w:val="0"/>
          <w:color w:val="auto"/>
          <w:kern w:val="0"/>
          <w:sz w:val="24"/>
          <w:szCs w:val="24"/>
          <w:highlight w:val="none"/>
          <w:u w:val="single"/>
          <w:lang w:val="en-US" w:eastAsia="zh-CN" w:bidi="ar"/>
        </w:rPr>
        <w:t>7</w:t>
      </w:r>
      <w:r>
        <w:rPr>
          <w:rFonts w:ascii="宋体" w:hAnsi="宋体" w:eastAsia="宋体" w:cs="宋体"/>
          <w:snapToGrid w:val="0"/>
          <w:color w:val="auto"/>
          <w:kern w:val="0"/>
          <w:sz w:val="24"/>
          <w:szCs w:val="24"/>
          <w:highlight w:val="none"/>
          <w:u w:val="single"/>
          <w:lang w:val="en-US" w:eastAsia="zh-CN" w:bidi="ar"/>
        </w:rPr>
        <w:t xml:space="preserve">）承包人在投标报价中应考虑施工期间（包括工程延期）内本工程原中标的 </w:t>
      </w:r>
    </w:p>
    <w:p w14:paraId="210B6113">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u w:val="single"/>
        </w:rPr>
      </w:pPr>
      <w:r>
        <w:rPr>
          <w:rFonts w:ascii="宋体" w:hAnsi="宋体" w:eastAsia="宋体" w:cs="宋体"/>
          <w:snapToGrid w:val="0"/>
          <w:color w:val="auto"/>
          <w:kern w:val="0"/>
          <w:sz w:val="24"/>
          <w:szCs w:val="24"/>
          <w:highlight w:val="none"/>
          <w:u w:val="single"/>
          <w:lang w:val="en-US" w:eastAsia="zh-CN" w:bidi="ar"/>
        </w:rPr>
        <w:t xml:space="preserve">设备更新、换代、停产、升级等风险。如发生上述情形，承包人必须按制造商公布 </w:t>
      </w:r>
    </w:p>
    <w:p w14:paraId="1C312375">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ascii="宋体" w:hAnsi="宋体" w:eastAsia="宋体" w:cs="宋体"/>
          <w:snapToGrid w:val="0"/>
          <w:color w:val="auto"/>
          <w:kern w:val="0"/>
          <w:sz w:val="24"/>
          <w:szCs w:val="24"/>
          <w:highlight w:val="none"/>
          <w:u w:val="single"/>
          <w:lang w:val="en-US" w:eastAsia="zh-CN" w:bidi="ar"/>
        </w:rPr>
        <w:t>的新一代（型号更新、换代、升级后的产品）设备采购供货，不另行增加费用。</w:t>
      </w:r>
    </w:p>
    <w:p w14:paraId="2AD71C29">
      <w:pPr>
        <w:spacing w:before="166" w:line="231" w:lineRule="auto"/>
        <w:rPr>
          <w:rFonts w:ascii="Times New Roman" w:hAnsi="Times New Roman" w:eastAsia="Times New Roman" w:cs="Times New Roman"/>
          <w:b/>
          <w:bCs/>
          <w:color w:val="auto"/>
          <w:spacing w:val="-4"/>
          <w:sz w:val="24"/>
          <w:szCs w:val="24"/>
          <w:highlight w:val="none"/>
          <w:lang w:eastAsia="zh-CN"/>
        </w:rPr>
      </w:pPr>
      <w:bookmarkStart w:id="105" w:name="_Toc20181"/>
      <w:r>
        <w:rPr>
          <w:rFonts w:ascii="Times New Roman" w:hAnsi="Times New Roman" w:eastAsia="Times New Roman" w:cs="Times New Roman"/>
          <w:b/>
          <w:bCs/>
          <w:color w:val="auto"/>
          <w:spacing w:val="-4"/>
          <w:sz w:val="24"/>
          <w:szCs w:val="24"/>
          <w:highlight w:val="none"/>
          <w:lang w:eastAsia="zh-CN"/>
        </w:rPr>
        <w:t>4.2 履约担保</w:t>
      </w:r>
      <w:bookmarkEnd w:id="105"/>
    </w:p>
    <w:p w14:paraId="44F1B6A6">
      <w:pPr>
        <w:spacing w:line="420" w:lineRule="exact"/>
        <w:ind w:left="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承包人应保证其履约担保在合同工程通过完工验收前一直有效。发包人应在合同工程完工验收合格后 10 天内将履约担保（无息）退还给承包人。</w:t>
      </w:r>
    </w:p>
    <w:p w14:paraId="20B9367A">
      <w:pPr>
        <w:spacing w:line="420" w:lineRule="exact"/>
        <w:ind w:left="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履约担保的形式：</w:t>
      </w:r>
      <w:r>
        <w:rPr>
          <w:rFonts w:hint="eastAsia" w:ascii="Times New Roman" w:hAnsi="Times New Roman" w:eastAsia="宋体" w:cs="Times New Roman"/>
          <w:color w:val="auto"/>
          <w:spacing w:val="-5"/>
          <w:sz w:val="24"/>
          <w:szCs w:val="24"/>
          <w:highlight w:val="none"/>
          <w:lang w:eastAsia="zh-CN"/>
        </w:rPr>
        <w:t>现金或银行保函或保险机构保证保险保单或 融资担保公司保函。</w:t>
      </w:r>
    </w:p>
    <w:p w14:paraId="2D6F7F02">
      <w:pPr>
        <w:spacing w:line="420" w:lineRule="exact"/>
        <w:ind w:left="220"/>
        <w:jc w:val="both"/>
        <w:rPr>
          <w:rFonts w:ascii="Times New Roman" w:hAnsi="Times New Roman" w:eastAsia="宋体" w:cs="Times New Roman"/>
          <w:color w:val="auto"/>
          <w:spacing w:val="-5"/>
          <w:sz w:val="24"/>
          <w:szCs w:val="24"/>
          <w:highlight w:val="none"/>
          <w:lang w:eastAsia="zh-CN"/>
        </w:rPr>
      </w:pPr>
      <w:r>
        <w:rPr>
          <w:rFonts w:ascii="Times New Roman" w:hAnsi="Times New Roman" w:eastAsia="宋体" w:cs="Times New Roman"/>
          <w:color w:val="auto"/>
          <w:spacing w:val="-5"/>
          <w:sz w:val="24"/>
          <w:szCs w:val="24"/>
          <w:highlight w:val="none"/>
          <w:lang w:eastAsia="zh-CN"/>
        </w:rPr>
        <w:t>履约担保的金额（不含民工工资支付担保）：合同价格（扣除预留金后）的2%。</w:t>
      </w:r>
    </w:p>
    <w:p w14:paraId="1209C14B">
      <w:pPr>
        <w:spacing w:before="166" w:line="230" w:lineRule="auto"/>
        <w:ind w:left="2" w:firstLine="234" w:firstLineChars="100"/>
        <w:rPr>
          <w:rFonts w:ascii="Times New Roman" w:hAnsi="Times New Roman" w:eastAsia="Times New Roman" w:cs="Times New Roman"/>
          <w:b/>
          <w:bCs/>
          <w:color w:val="auto"/>
          <w:spacing w:val="-4"/>
          <w:sz w:val="24"/>
          <w:szCs w:val="24"/>
          <w:highlight w:val="none"/>
        </w:rPr>
      </w:pPr>
      <w:r>
        <w:rPr>
          <w:rFonts w:ascii="Times New Roman" w:hAnsi="Times New Roman" w:eastAsia="宋体" w:cs="Times New Roman"/>
          <w:color w:val="auto"/>
          <w:spacing w:val="-3"/>
          <w:position w:val="17"/>
          <w:sz w:val="24"/>
          <w:szCs w:val="24"/>
          <w:highlight w:val="none"/>
          <w:lang w:eastAsia="zh-CN"/>
        </w:rPr>
        <w:t>民工工资支付担保的相关约定：必须符合绍兴市最新文件要求。</w:t>
      </w:r>
    </w:p>
    <w:p w14:paraId="53346D8B">
      <w:pPr>
        <w:spacing w:before="166" w:line="230" w:lineRule="auto"/>
        <w:ind w:left="2"/>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4.3</w:t>
      </w:r>
      <w:r>
        <w:rPr>
          <w:rFonts w:ascii="Times New Roman" w:hAnsi="Times New Roman" w:eastAsia="Times New Roman" w:cs="Times New Roman"/>
          <w:b/>
          <w:bCs/>
          <w:color w:val="auto"/>
          <w:spacing w:val="7"/>
          <w:sz w:val="24"/>
          <w:szCs w:val="24"/>
          <w:highlight w:val="none"/>
        </w:rPr>
        <w:t xml:space="preserve">  </w:t>
      </w:r>
      <w:r>
        <w:rPr>
          <w:rFonts w:ascii="楷体" w:hAnsi="楷体" w:eastAsia="楷体" w:cs="楷体"/>
          <w:b/>
          <w:bCs/>
          <w:color w:val="auto"/>
          <w:spacing w:val="-4"/>
          <w:sz w:val="24"/>
          <w:szCs w:val="24"/>
          <w:highlight w:val="none"/>
        </w:rPr>
        <w:t>分包</w:t>
      </w:r>
    </w:p>
    <w:p w14:paraId="7B81B152">
      <w:pPr>
        <w:spacing w:before="166" w:line="220"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4.3.2  </w:t>
      </w:r>
      <w:r>
        <w:rPr>
          <w:rFonts w:ascii="宋体" w:hAnsi="宋体" w:eastAsia="宋体" w:cs="宋体"/>
          <w:color w:val="auto"/>
          <w:spacing w:val="-2"/>
          <w:sz w:val="24"/>
          <w:szCs w:val="24"/>
          <w:highlight w:val="none"/>
        </w:rPr>
        <w:t>允许承包人分包的工程项目、工作内容与分包金额为：</w:t>
      </w:r>
    </w:p>
    <w:p w14:paraId="72F61833">
      <w:pPr>
        <w:spacing w:before="182" w:line="220" w:lineRule="auto"/>
        <w:ind w:left="49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1</w:t>
      </w:r>
      <w:r>
        <w:rPr>
          <w:rFonts w:ascii="宋体" w:hAnsi="宋体" w:eastAsia="宋体" w:cs="宋体"/>
          <w:color w:val="auto"/>
          <w:spacing w:val="-1"/>
          <w:sz w:val="24"/>
          <w:szCs w:val="24"/>
          <w:highlight w:val="none"/>
        </w:rPr>
        <w:t>）工程项目：</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7D2B41B6">
      <w:pPr>
        <w:spacing w:before="180" w:line="220" w:lineRule="auto"/>
        <w:ind w:left="49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）工作内容：</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42B7CF7C">
      <w:pPr>
        <w:spacing w:before="181" w:line="220" w:lineRule="auto"/>
        <w:ind w:left="49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）分包金额限额：</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E75D6EA">
      <w:pPr>
        <w:spacing w:before="181"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4.3.10  </w:t>
      </w:r>
      <w:r>
        <w:rPr>
          <w:rFonts w:ascii="宋体" w:hAnsi="宋体" w:eastAsia="宋体" w:cs="宋体"/>
          <w:color w:val="auto"/>
          <w:sz w:val="24"/>
          <w:szCs w:val="24"/>
          <w:highlight w:val="none"/>
        </w:rPr>
        <w:t>分包人项目管理机构的设立：</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1CFF79E">
      <w:pPr>
        <w:spacing w:before="182" w:line="225" w:lineRule="auto"/>
        <w:ind w:left="2"/>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4.5  </w:t>
      </w:r>
      <w:r>
        <w:rPr>
          <w:rFonts w:ascii="楷体" w:hAnsi="楷体" w:eastAsia="楷体" w:cs="楷体"/>
          <w:b/>
          <w:bCs/>
          <w:color w:val="auto"/>
          <w:spacing w:val="-2"/>
          <w:sz w:val="24"/>
          <w:szCs w:val="24"/>
          <w:highlight w:val="none"/>
        </w:rPr>
        <w:t>承包人项目负责人</w:t>
      </w:r>
    </w:p>
    <w:p w14:paraId="3C570B73">
      <w:pPr>
        <w:keepNext w:val="0"/>
        <w:pageBreakBefore w:val="0"/>
        <w:kinsoku w:val="0"/>
        <w:wordWrap/>
        <w:topLinePunct w:val="0"/>
        <w:autoSpaceDE w:val="0"/>
        <w:autoSpaceDN w:val="0"/>
        <w:bidi w:val="0"/>
        <w:adjustRightInd w:val="0"/>
        <w:snapToGrid w:val="0"/>
        <w:spacing w:before="174" w:line="360" w:lineRule="auto"/>
        <w:ind w:left="486"/>
        <w:textAlignment w:val="baseline"/>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本章</w:t>
      </w:r>
      <w:r>
        <w:rPr>
          <w:rFonts w:ascii="Times New Roman" w:hAnsi="Times New Roman" w:eastAsia="Times New Roman" w:cs="Times New Roman"/>
          <w:color w:val="auto"/>
          <w:spacing w:val="-5"/>
          <w:sz w:val="24"/>
          <w:szCs w:val="24"/>
          <w:highlight w:val="none"/>
        </w:rPr>
        <w:t>4.5.5</w:t>
      </w:r>
      <w:r>
        <w:rPr>
          <w:rFonts w:ascii="宋体" w:hAnsi="宋体" w:eastAsia="宋体" w:cs="宋体"/>
          <w:color w:val="auto"/>
          <w:spacing w:val="-5"/>
          <w:sz w:val="24"/>
          <w:szCs w:val="24"/>
          <w:highlight w:val="none"/>
        </w:rPr>
        <w:t>款补充：</w:t>
      </w:r>
    </w:p>
    <w:p w14:paraId="1A87ADCC">
      <w:pPr>
        <w:keepNext w:val="0"/>
        <w:keepLines/>
        <w:pageBreakBefore w:val="0"/>
        <w:widowControl w:val="0"/>
        <w:kinsoku w:val="0"/>
        <w:wordWrap/>
        <w:overflowPunct w:val="0"/>
        <w:topLinePunct w:val="0"/>
        <w:autoSpaceDE w:val="0"/>
        <w:autoSpaceDN w:val="0"/>
        <w:bidi w:val="0"/>
        <w:adjustRightInd w:val="0"/>
        <w:snapToGrid w:val="0"/>
        <w:spacing w:line="360" w:lineRule="auto"/>
        <w:ind w:left="0" w:right="0" w:firstLine="0"/>
        <w:textAlignment w:val="baseline"/>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项目负责人每月驻工地的天数不少于</w:t>
      </w:r>
      <w:r>
        <w:rPr>
          <w:rFonts w:ascii="Times New Roman" w:hAnsi="Times New Roman" w:eastAsia="Times New Roman" w:cs="Times New Roman"/>
          <w:color w:val="auto"/>
          <w:spacing w:val="-2"/>
          <w:sz w:val="24"/>
          <w:szCs w:val="24"/>
          <w:highlight w:val="none"/>
        </w:rPr>
        <w:t>22</w:t>
      </w:r>
      <w:r>
        <w:rPr>
          <w:rFonts w:ascii="宋体" w:hAnsi="宋体" w:eastAsia="宋体" w:cs="宋体"/>
          <w:color w:val="auto"/>
          <w:spacing w:val="-2"/>
          <w:sz w:val="24"/>
          <w:szCs w:val="24"/>
          <w:highlight w:val="none"/>
        </w:rPr>
        <w:t>天（遇法定节假日可扣减</w:t>
      </w:r>
      <w:r>
        <w:rPr>
          <w:rFonts w:ascii="宋体" w:hAnsi="宋体" w:eastAsia="宋体" w:cs="宋体"/>
          <w:color w:val="auto"/>
          <w:spacing w:val="-20"/>
          <w:sz w:val="24"/>
          <w:szCs w:val="24"/>
          <w:highlight w:val="none"/>
        </w:rPr>
        <w:t>），</w:t>
      </w:r>
      <w:r>
        <w:rPr>
          <w:rFonts w:ascii="宋体" w:hAnsi="宋体" w:eastAsia="宋体" w:cs="宋体"/>
          <w:color w:val="auto"/>
          <w:spacing w:val="-2"/>
          <w:sz w:val="24"/>
          <w:szCs w:val="24"/>
          <w:highlight w:val="none"/>
        </w:rPr>
        <w:t>每少一天支</w:t>
      </w:r>
      <w:r>
        <w:rPr>
          <w:rFonts w:ascii="宋体" w:hAnsi="宋体" w:eastAsia="宋体" w:cs="宋体"/>
          <w:color w:val="auto"/>
          <w:spacing w:val="1"/>
          <w:sz w:val="24"/>
          <w:szCs w:val="24"/>
          <w:highlight w:val="none"/>
        </w:rPr>
        <w:t xml:space="preserve"> </w:t>
      </w:r>
      <w:r>
        <w:rPr>
          <w:rFonts w:ascii="宋体" w:hAnsi="宋体" w:eastAsia="宋体" w:cs="宋体"/>
          <w:color w:val="auto"/>
          <w:spacing w:val="-1"/>
          <w:sz w:val="24"/>
          <w:szCs w:val="24"/>
          <w:highlight w:val="none"/>
        </w:rPr>
        <w:t>付违约金</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2000</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1"/>
          <w:sz w:val="24"/>
          <w:szCs w:val="24"/>
          <w:highlight w:val="none"/>
        </w:rPr>
        <w:t>元，但扣款最终的累计总金</w:t>
      </w:r>
      <w:r>
        <w:rPr>
          <w:rFonts w:ascii="宋体" w:hAnsi="宋体" w:eastAsia="宋体" w:cs="宋体"/>
          <w:color w:val="auto"/>
          <w:spacing w:val="-2"/>
          <w:sz w:val="24"/>
          <w:szCs w:val="24"/>
          <w:highlight w:val="none"/>
        </w:rPr>
        <w:t>额不应超过</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20</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
          <w:sz w:val="24"/>
          <w:szCs w:val="24"/>
          <w:highlight w:val="none"/>
        </w:rPr>
        <w:t>万元。</w:t>
      </w:r>
      <w:bookmarkStart w:id="106" w:name="bookmark410"/>
      <w:bookmarkEnd w:id="106"/>
    </w:p>
    <w:p w14:paraId="1495AA18">
      <w:pPr>
        <w:keepNext w:val="0"/>
        <w:keepLines/>
        <w:pageBreakBefore w:val="0"/>
        <w:widowControl w:val="0"/>
        <w:kinsoku w:val="0"/>
        <w:wordWrap/>
        <w:overflowPunct w:val="0"/>
        <w:topLinePunct w:val="0"/>
        <w:autoSpaceDE w:val="0"/>
        <w:autoSpaceDN w:val="0"/>
        <w:bidi w:val="0"/>
        <w:adjustRightInd w:val="0"/>
        <w:snapToGrid w:val="0"/>
        <w:spacing w:line="361" w:lineRule="auto"/>
        <w:ind w:left="0" w:right="0" w:firstLine="472" w:firstLineChars="200"/>
        <w:textAlignment w:val="baseline"/>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上述违约金在当月工程进度款中直接扣除，在工地工作天数按监理人实际考勤记 录为准。</w:t>
      </w:r>
    </w:p>
    <w:p w14:paraId="791FBDAA">
      <w:pPr>
        <w:keepNext w:val="0"/>
        <w:keepLines/>
        <w:pageBreakBefore w:val="0"/>
        <w:widowControl w:val="0"/>
        <w:kinsoku w:val="0"/>
        <w:wordWrap/>
        <w:overflowPunct w:val="0"/>
        <w:topLinePunct w:val="0"/>
        <w:autoSpaceDE w:val="0"/>
        <w:autoSpaceDN w:val="0"/>
        <w:bidi w:val="0"/>
        <w:adjustRightInd w:val="0"/>
        <w:snapToGrid w:val="0"/>
        <w:spacing w:line="359" w:lineRule="auto"/>
        <w:ind w:left="0" w:right="0" w:firstLine="468" w:firstLineChars="200"/>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承包人的项目负责人连续</w:t>
      </w:r>
      <w:r>
        <w:rPr>
          <w:rFonts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val="en-US" w:eastAsia="zh-CN"/>
        </w:rPr>
        <w:t>2</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3"/>
          <w:sz w:val="24"/>
          <w:szCs w:val="24"/>
          <w:highlight w:val="none"/>
        </w:rPr>
        <w:t>个月及以上每月驻工地的天数少于</w:t>
      </w:r>
      <w:r>
        <w:rPr>
          <w:rFonts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val="en-US" w:eastAsia="zh-CN"/>
        </w:rPr>
        <w:t>22</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4"/>
          <w:sz w:val="24"/>
          <w:szCs w:val="24"/>
          <w:highlight w:val="none"/>
        </w:rPr>
        <w:t>天，发包</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人有权解除合同。</w:t>
      </w:r>
    </w:p>
    <w:p w14:paraId="1915663C">
      <w:pPr>
        <w:spacing w:line="223"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4.6  </w:t>
      </w:r>
      <w:r>
        <w:rPr>
          <w:rFonts w:ascii="楷体" w:hAnsi="楷体" w:eastAsia="楷体" w:cs="楷体"/>
          <w:b/>
          <w:bCs/>
          <w:color w:val="auto"/>
          <w:spacing w:val="-2"/>
          <w:sz w:val="24"/>
          <w:szCs w:val="24"/>
          <w:highlight w:val="none"/>
        </w:rPr>
        <w:t>承包人人员的管理</w:t>
      </w:r>
    </w:p>
    <w:p w14:paraId="3822FFCC">
      <w:pPr>
        <w:spacing w:before="176" w:line="219"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本章</w:t>
      </w:r>
      <w:r>
        <w:rPr>
          <w:rFonts w:ascii="Times New Roman" w:hAnsi="Times New Roman" w:eastAsia="Times New Roman" w:cs="Times New Roman"/>
          <w:color w:val="auto"/>
          <w:spacing w:val="-5"/>
          <w:sz w:val="24"/>
          <w:szCs w:val="24"/>
          <w:highlight w:val="none"/>
        </w:rPr>
        <w:t>4.6.3</w:t>
      </w:r>
      <w:r>
        <w:rPr>
          <w:rFonts w:ascii="宋体" w:hAnsi="宋体" w:eastAsia="宋体" w:cs="宋体"/>
          <w:color w:val="auto"/>
          <w:spacing w:val="-5"/>
          <w:sz w:val="24"/>
          <w:szCs w:val="24"/>
          <w:highlight w:val="none"/>
        </w:rPr>
        <w:t>款补充：</w:t>
      </w:r>
    </w:p>
    <w:p w14:paraId="13940BD5">
      <w:pPr>
        <w:spacing w:before="181" w:line="360" w:lineRule="auto"/>
        <w:ind w:left="13" w:right="68" w:firstLine="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项目技术负责人每月驻工地时间不得少于</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22</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2"/>
          <w:sz w:val="24"/>
          <w:szCs w:val="24"/>
          <w:highlight w:val="none"/>
        </w:rPr>
        <w:t>天（遇法定节假日可扣减</w:t>
      </w:r>
      <w:r>
        <w:rPr>
          <w:rFonts w:ascii="宋体" w:hAnsi="宋体" w:eastAsia="宋体" w:cs="宋体"/>
          <w:color w:val="auto"/>
          <w:spacing w:val="-26"/>
          <w:sz w:val="24"/>
          <w:szCs w:val="24"/>
          <w:highlight w:val="none"/>
        </w:rPr>
        <w:t>），</w:t>
      </w:r>
      <w:r>
        <w:rPr>
          <w:rFonts w:ascii="宋体" w:hAnsi="宋体" w:eastAsia="宋体" w:cs="宋体"/>
          <w:color w:val="auto"/>
          <w:spacing w:val="-2"/>
          <w:sz w:val="24"/>
          <w:szCs w:val="24"/>
          <w:highlight w:val="none"/>
        </w:rPr>
        <w:t>每少</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一天支付违约金</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2000</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98"/>
          <w:sz w:val="24"/>
          <w:szCs w:val="24"/>
          <w:highlight w:val="none"/>
        </w:rPr>
        <w:t xml:space="preserve"> </w:t>
      </w:r>
      <w:r>
        <w:rPr>
          <w:rFonts w:ascii="宋体" w:hAnsi="宋体" w:eastAsia="宋体" w:cs="宋体"/>
          <w:color w:val="auto"/>
          <w:spacing w:val="-2"/>
          <w:sz w:val="24"/>
          <w:szCs w:val="24"/>
          <w:highlight w:val="none"/>
        </w:rPr>
        <w:t>元，但扣款最终的累计总金额不应超过</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20</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
          <w:sz w:val="24"/>
          <w:szCs w:val="24"/>
          <w:highlight w:val="none"/>
        </w:rPr>
        <w:t>万元。</w:t>
      </w:r>
    </w:p>
    <w:p w14:paraId="7237958D">
      <w:pPr>
        <w:spacing w:line="359" w:lineRule="auto"/>
        <w:ind w:left="9" w:firstLine="48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专职安全生产管理人员每月驻工地时间不得少于</w:t>
      </w:r>
      <w:r>
        <w:rPr>
          <w:rFonts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5"/>
          <w:sz w:val="24"/>
          <w:szCs w:val="24"/>
          <w:highlight w:val="none"/>
          <w:u w:val="single" w:color="auto"/>
          <w:lang w:val="en-US" w:eastAsia="zh-CN"/>
        </w:rPr>
        <w:t>22</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6"/>
          <w:sz w:val="24"/>
          <w:szCs w:val="24"/>
          <w:highlight w:val="none"/>
        </w:rPr>
        <w:t>天（遇法定节假日可扣减</w:t>
      </w:r>
      <w:r>
        <w:rPr>
          <w:rFonts w:ascii="宋体" w:hAnsi="宋体" w:eastAsia="宋体" w:cs="宋体"/>
          <w:color w:val="auto"/>
          <w:spacing w:val="-50"/>
          <w:sz w:val="24"/>
          <w:szCs w:val="24"/>
          <w:highlight w:val="none"/>
        </w:rPr>
        <w:t>）</w:t>
      </w:r>
      <w:r>
        <w:rPr>
          <w:rFonts w:hint="eastAsia" w:ascii="宋体" w:hAnsi="宋体" w:eastAsia="宋体" w:cs="宋体"/>
          <w:color w:val="auto"/>
          <w:spacing w:val="-50"/>
          <w:sz w:val="24"/>
          <w:szCs w:val="24"/>
          <w:highlight w:val="none"/>
          <w:lang w:eastAsia="zh-CN"/>
        </w:rPr>
        <w:t>，</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每人每少一天支付违约金</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1000</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1"/>
          <w:sz w:val="24"/>
          <w:szCs w:val="24"/>
          <w:highlight w:val="none"/>
        </w:rPr>
        <w:t>元，但扣款最终的</w:t>
      </w:r>
      <w:r>
        <w:rPr>
          <w:rFonts w:ascii="宋体" w:hAnsi="宋体" w:eastAsia="宋体" w:cs="宋体"/>
          <w:color w:val="auto"/>
          <w:spacing w:val="-2"/>
          <w:sz w:val="24"/>
          <w:szCs w:val="24"/>
          <w:highlight w:val="none"/>
        </w:rPr>
        <w:t>累计总金额不应超过</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20</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
          <w:sz w:val="24"/>
          <w:szCs w:val="24"/>
          <w:highlight w:val="none"/>
        </w:rPr>
        <w:t>万元。</w:t>
      </w:r>
    </w:p>
    <w:p w14:paraId="6E323198">
      <w:pPr>
        <w:spacing w:line="359" w:lineRule="auto"/>
        <w:ind w:left="10" w:right="67" w:firstLine="480"/>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eastAsia="zh-CN"/>
        </w:rPr>
        <w:t>本项目对项目管理班子其他人员实行现场考勤，每月考勤出勤率低于当月实际施工天数80%的，以缺勤天数每天500元人民币标准扣除。</w:t>
      </w:r>
    </w:p>
    <w:p w14:paraId="31D9999A">
      <w:pPr>
        <w:spacing w:line="359" w:lineRule="auto"/>
        <w:ind w:left="10" w:right="67" w:firstLine="48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上述违约金在当月工程进度款中直接扣除，在工地工作天数按监理人实际考勤记</w:t>
      </w:r>
      <w:r>
        <w:rPr>
          <w:rFonts w:ascii="宋体" w:hAnsi="宋体" w:eastAsia="宋体" w:cs="宋体"/>
          <w:color w:val="auto"/>
          <w:spacing w:val="-9"/>
          <w:sz w:val="24"/>
          <w:szCs w:val="24"/>
          <w:highlight w:val="none"/>
        </w:rPr>
        <w:t>录为准。</w:t>
      </w:r>
    </w:p>
    <w:p w14:paraId="77F8ADC6">
      <w:pPr>
        <w:spacing w:line="224"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4.7  </w:t>
      </w:r>
      <w:r>
        <w:rPr>
          <w:rFonts w:ascii="楷体" w:hAnsi="楷体" w:eastAsia="楷体" w:cs="楷体"/>
          <w:b/>
          <w:bCs/>
          <w:color w:val="auto"/>
          <w:spacing w:val="-2"/>
          <w:sz w:val="24"/>
          <w:szCs w:val="24"/>
          <w:highlight w:val="none"/>
        </w:rPr>
        <w:t>撤换承包人项目负责人和其他人员</w:t>
      </w:r>
    </w:p>
    <w:p w14:paraId="7F1908AE">
      <w:pPr>
        <w:spacing w:before="175" w:line="219" w:lineRule="auto"/>
        <w:ind w:left="490"/>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本款补充：</w:t>
      </w:r>
    </w:p>
    <w:p w14:paraId="04FA851F">
      <w:pPr>
        <w:tabs>
          <w:tab w:val="left" w:pos="480"/>
        </w:tabs>
        <w:spacing w:before="182" w:line="359" w:lineRule="auto"/>
        <w:ind w:right="66" w:firstLine="493"/>
        <w:jc w:val="both"/>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项目负责人、技术负责人不得擅自更换。若承包人擅自</w:t>
      </w:r>
      <w:r>
        <w:rPr>
          <w:rFonts w:ascii="宋体" w:hAnsi="宋体" w:eastAsia="宋体" w:cs="宋体"/>
          <w:color w:val="auto"/>
          <w:spacing w:val="-7"/>
          <w:sz w:val="24"/>
          <w:szCs w:val="24"/>
          <w:highlight w:val="none"/>
        </w:rPr>
        <w:t>更换的，除每人次需支付</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color="auto"/>
          <w:lang w:val="en-US" w:eastAsia="zh-CN"/>
        </w:rPr>
        <w:t>20</w:t>
      </w:r>
      <w:r>
        <w:rPr>
          <w:rFonts w:ascii="宋体" w:hAnsi="宋体" w:eastAsia="宋体" w:cs="宋体"/>
          <w:color w:val="auto"/>
          <w:spacing w:val="-105"/>
          <w:sz w:val="24"/>
          <w:szCs w:val="24"/>
          <w:highlight w:val="none"/>
        </w:rPr>
        <w:t xml:space="preserve"> </w:t>
      </w:r>
      <w:r>
        <w:rPr>
          <w:rFonts w:ascii="宋体" w:hAnsi="宋体" w:eastAsia="宋体" w:cs="宋体"/>
          <w:color w:val="auto"/>
          <w:spacing w:val="-3"/>
          <w:sz w:val="24"/>
          <w:szCs w:val="24"/>
          <w:highlight w:val="none"/>
        </w:rPr>
        <w:t>万元的违约金外，发包人有权将其作为不良行为记录上报水行政主管部门</w:t>
      </w:r>
      <w:r>
        <w:rPr>
          <w:rFonts w:ascii="宋体" w:hAnsi="宋体" w:eastAsia="宋体" w:cs="宋体"/>
          <w:color w:val="auto"/>
          <w:spacing w:val="-4"/>
          <w:sz w:val="24"/>
          <w:szCs w:val="24"/>
          <w:highlight w:val="none"/>
        </w:rPr>
        <w:t>；情节</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特别严重的，发包人有权中止合同。在合同工程未通过完工验收或合同解除前，项目</w:t>
      </w:r>
      <w:r>
        <w:rPr>
          <w:rFonts w:ascii="宋体" w:hAnsi="宋体" w:eastAsia="宋体" w:cs="宋体"/>
          <w:color w:val="auto"/>
          <w:spacing w:val="13"/>
          <w:sz w:val="24"/>
          <w:szCs w:val="24"/>
          <w:highlight w:val="none"/>
        </w:rPr>
        <w:t xml:space="preserve"> </w:t>
      </w:r>
      <w:r>
        <w:rPr>
          <w:rFonts w:ascii="宋体" w:hAnsi="宋体" w:eastAsia="宋体" w:cs="宋体"/>
          <w:color w:val="auto"/>
          <w:spacing w:val="-6"/>
          <w:sz w:val="24"/>
          <w:szCs w:val="24"/>
          <w:highlight w:val="none"/>
        </w:rPr>
        <w:t>负责人、技术负责人确需更换的</w:t>
      </w:r>
      <w:r>
        <w:rPr>
          <w:rFonts w:hint="eastAsia" w:ascii="宋体" w:hAnsi="宋体" w:eastAsia="宋体" w:cs="宋体"/>
          <w:color w:val="auto"/>
          <w:spacing w:val="-5"/>
          <w:sz w:val="24"/>
          <w:szCs w:val="24"/>
          <w:highlight w:val="none"/>
          <w:lang w:eastAsia="zh-CN"/>
        </w:rPr>
        <w:t>，除每人次需支付15万元的违约金外，</w:t>
      </w:r>
      <w:r>
        <w:rPr>
          <w:rFonts w:ascii="宋体" w:hAnsi="宋体" w:eastAsia="宋体" w:cs="宋体"/>
          <w:color w:val="auto"/>
          <w:spacing w:val="-6"/>
          <w:sz w:val="24"/>
          <w:szCs w:val="24"/>
          <w:highlight w:val="none"/>
        </w:rPr>
        <w:t>应征得发包人同意，并经原项目负责人备案主管部</w:t>
      </w:r>
      <w:r>
        <w:rPr>
          <w:rFonts w:ascii="宋体" w:hAnsi="宋体" w:eastAsia="宋体" w:cs="宋体"/>
          <w:color w:val="auto"/>
          <w:spacing w:val="13"/>
          <w:sz w:val="24"/>
          <w:szCs w:val="24"/>
          <w:highlight w:val="none"/>
        </w:rPr>
        <w:t xml:space="preserve"> </w:t>
      </w:r>
      <w:r>
        <w:rPr>
          <w:rFonts w:ascii="宋体" w:hAnsi="宋体" w:eastAsia="宋体" w:cs="宋体"/>
          <w:color w:val="auto"/>
          <w:spacing w:val="-1"/>
          <w:sz w:val="24"/>
          <w:szCs w:val="24"/>
          <w:highlight w:val="none"/>
        </w:rPr>
        <w:t>门备案，且更换后的人员不得低于原投标承诺人员所具有的资格和业绩条件。</w:t>
      </w:r>
    </w:p>
    <w:p w14:paraId="144F7F7B">
      <w:pPr>
        <w:spacing w:before="1" w:line="359" w:lineRule="auto"/>
        <w:ind w:left="15" w:right="68" w:firstLine="538"/>
        <w:rPr>
          <w:rFonts w:ascii="宋体" w:hAnsi="宋体" w:eastAsia="宋体" w:cs="宋体"/>
          <w:color w:val="auto"/>
          <w:spacing w:val="-3"/>
          <w:sz w:val="24"/>
          <w:szCs w:val="24"/>
          <w:highlight w:val="none"/>
        </w:rPr>
      </w:pPr>
      <w:r>
        <w:rPr>
          <w:rFonts w:ascii="宋体" w:hAnsi="宋体" w:eastAsia="宋体" w:cs="宋体"/>
          <w:color w:val="auto"/>
          <w:spacing w:val="-5"/>
          <w:sz w:val="24"/>
          <w:szCs w:val="24"/>
          <w:highlight w:val="none"/>
        </w:rPr>
        <w:t>承包人的安全员、质量员、施工员、专职安全生产管理人员等人员擅自调换每人</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次需支付违约金</w:t>
      </w:r>
      <w:r>
        <w:rPr>
          <w:rFonts w:ascii="宋体" w:hAnsi="宋体" w:eastAsia="宋体" w:cs="宋体"/>
          <w:color w:val="auto"/>
          <w:spacing w:val="-112"/>
          <w:sz w:val="24"/>
          <w:szCs w:val="24"/>
          <w:highlight w:val="none"/>
        </w:rPr>
        <w:t xml:space="preserve"> </w:t>
      </w:r>
      <w:r>
        <w:rPr>
          <w:rFonts w:hint="eastAsia" w:ascii="宋体" w:hAnsi="宋体" w:eastAsia="宋体" w:cs="宋体"/>
          <w:color w:val="auto"/>
          <w:sz w:val="24"/>
          <w:szCs w:val="24"/>
          <w:highlight w:val="none"/>
          <w:u w:val="single" w:color="auto"/>
          <w:lang w:val="en-US" w:eastAsia="zh-CN"/>
        </w:rPr>
        <w:t>10</w:t>
      </w:r>
      <w:r>
        <w:rPr>
          <w:rFonts w:ascii="宋体" w:hAnsi="宋体" w:eastAsia="宋体" w:cs="宋体"/>
          <w:color w:val="auto"/>
          <w:spacing w:val="-105"/>
          <w:sz w:val="24"/>
          <w:szCs w:val="24"/>
          <w:highlight w:val="none"/>
        </w:rPr>
        <w:t xml:space="preserve"> </w:t>
      </w:r>
      <w:r>
        <w:rPr>
          <w:rFonts w:ascii="宋体" w:hAnsi="宋体" w:eastAsia="宋体" w:cs="宋体"/>
          <w:color w:val="auto"/>
          <w:spacing w:val="-3"/>
          <w:sz w:val="24"/>
          <w:szCs w:val="24"/>
          <w:highlight w:val="none"/>
        </w:rPr>
        <w:t>万元。</w:t>
      </w:r>
      <w:r>
        <w:rPr>
          <w:rFonts w:hint="eastAsia" w:ascii="宋体" w:hAnsi="宋体" w:eastAsia="宋体" w:cs="宋体"/>
          <w:color w:val="auto"/>
          <w:spacing w:val="-5"/>
          <w:sz w:val="24"/>
          <w:szCs w:val="24"/>
          <w:highlight w:val="none"/>
          <w:lang w:eastAsia="zh-CN"/>
        </w:rPr>
        <w:t>发包人有权将其作为不良行为记录上报</w:t>
      </w:r>
      <w:r>
        <w:rPr>
          <w:rFonts w:hint="eastAsia" w:ascii="宋体" w:hAnsi="宋体" w:eastAsia="宋体" w:cs="宋体"/>
          <w:strike/>
          <w:dstrike w:val="0"/>
          <w:color w:val="auto"/>
          <w:spacing w:val="-5"/>
          <w:sz w:val="24"/>
          <w:szCs w:val="24"/>
          <w:highlight w:val="none"/>
          <w:lang w:eastAsia="zh-CN"/>
        </w:rPr>
        <w:t>水利</w:t>
      </w:r>
      <w:r>
        <w:rPr>
          <w:rFonts w:hint="eastAsia" w:ascii="宋体" w:hAnsi="宋体" w:eastAsia="宋体" w:cs="宋体"/>
          <w:color w:val="auto"/>
          <w:spacing w:val="-5"/>
          <w:sz w:val="24"/>
          <w:szCs w:val="24"/>
          <w:highlight w:val="none"/>
          <w:lang w:eastAsia="zh-CN"/>
        </w:rPr>
        <w:t>行政主管部门；情节特别严重的，发包人有权中止合同。确需更换的，除每人次需支付3万元的违约金外，应征得发包人同意、原项目负责人备案且经主管部门同意，且更换后的人员不得低于原投标承诺人员所具有的资格和业绩条件。</w:t>
      </w:r>
      <w:r>
        <w:rPr>
          <w:rFonts w:ascii="宋体" w:hAnsi="宋体" w:eastAsia="宋体" w:cs="宋体"/>
          <w:color w:val="auto"/>
          <w:spacing w:val="-3"/>
          <w:sz w:val="24"/>
          <w:szCs w:val="24"/>
          <w:highlight w:val="none"/>
        </w:rPr>
        <w:t>违约金在工程进度付款中扣除。</w:t>
      </w:r>
    </w:p>
    <w:p w14:paraId="4865B485">
      <w:pPr>
        <w:spacing w:before="1" w:line="359" w:lineRule="auto"/>
        <w:ind w:left="15" w:right="68" w:firstLine="538"/>
        <w:rPr>
          <w:rFonts w:ascii="宋体" w:hAnsi="宋体" w:eastAsia="宋体" w:cs="宋体"/>
          <w:color w:val="auto"/>
          <w:spacing w:val="-3"/>
          <w:sz w:val="24"/>
          <w:szCs w:val="24"/>
          <w:highlight w:val="none"/>
        </w:rPr>
      </w:pPr>
      <w:r>
        <w:rPr>
          <w:rFonts w:hint="eastAsia" w:ascii="Times New Roman" w:hAnsi="Times New Roman" w:eastAsia="宋体" w:cs="Times New Roman"/>
          <w:color w:val="auto"/>
          <w:spacing w:val="-6"/>
          <w:position w:val="17"/>
          <w:sz w:val="24"/>
          <w:szCs w:val="24"/>
          <w:highlight w:val="none"/>
          <w:lang w:eastAsia="zh-CN"/>
        </w:rPr>
        <w:t>除每人次需支付违约金外，发包人有权将其不良行为记录上报</w:t>
      </w:r>
      <w:r>
        <w:rPr>
          <w:rFonts w:hint="eastAsia" w:ascii="Times New Roman" w:hAnsi="Times New Roman" w:eastAsia="宋体" w:cs="Times New Roman"/>
          <w:strike/>
          <w:dstrike w:val="0"/>
          <w:color w:val="auto"/>
          <w:spacing w:val="-6"/>
          <w:position w:val="17"/>
          <w:sz w:val="24"/>
          <w:szCs w:val="24"/>
          <w:highlight w:val="none"/>
          <w:lang w:eastAsia="zh-CN"/>
        </w:rPr>
        <w:t>水利</w:t>
      </w:r>
      <w:r>
        <w:rPr>
          <w:rFonts w:hint="eastAsia" w:ascii="Times New Roman" w:hAnsi="Times New Roman" w:eastAsia="宋体" w:cs="Times New Roman"/>
          <w:color w:val="auto"/>
          <w:spacing w:val="-6"/>
          <w:position w:val="17"/>
          <w:sz w:val="24"/>
          <w:szCs w:val="24"/>
          <w:highlight w:val="none"/>
          <w:lang w:eastAsia="zh-CN"/>
        </w:rPr>
        <w:t>行政主管部门；情节特别严重的，发包人有权中止合同。</w:t>
      </w:r>
    </w:p>
    <w:p w14:paraId="68071360">
      <w:pPr>
        <w:spacing w:line="224"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4.11  </w:t>
      </w:r>
      <w:r>
        <w:rPr>
          <w:rFonts w:ascii="楷体" w:hAnsi="楷体" w:eastAsia="楷体" w:cs="楷体"/>
          <w:b/>
          <w:bCs/>
          <w:color w:val="auto"/>
          <w:spacing w:val="-2"/>
          <w:sz w:val="24"/>
          <w:szCs w:val="24"/>
          <w:highlight w:val="none"/>
        </w:rPr>
        <w:t>不利物质条件</w:t>
      </w:r>
    </w:p>
    <w:p w14:paraId="58463E63">
      <w:pPr>
        <w:spacing w:before="175" w:line="220"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4.11.1  </w:t>
      </w:r>
      <w:r>
        <w:rPr>
          <w:rFonts w:ascii="宋体" w:hAnsi="宋体" w:eastAsia="宋体" w:cs="宋体"/>
          <w:color w:val="auto"/>
          <w:sz w:val="24"/>
          <w:szCs w:val="24"/>
          <w:highlight w:val="none"/>
        </w:rPr>
        <w:t>不利物质条件的范围：</w:t>
      </w:r>
      <w:r>
        <w:rPr>
          <w:rFonts w:ascii="宋体" w:hAnsi="宋体" w:eastAsia="宋体" w:cs="宋体"/>
          <w:color w:val="auto"/>
          <w:sz w:val="24"/>
          <w:szCs w:val="24"/>
          <w:highlight w:val="none"/>
          <w:u w:val="single" w:color="auto"/>
        </w:rPr>
        <w:t xml:space="preserve">  </w:t>
      </w:r>
      <w:r>
        <w:rPr>
          <w:rFonts w:ascii="Times New Roman" w:hAnsi="Times New Roman" w:eastAsia="宋体" w:cs="Times New Roman"/>
          <w:color w:val="auto"/>
          <w:spacing w:val="-8"/>
          <w:sz w:val="24"/>
          <w:szCs w:val="24"/>
          <w:highlight w:val="none"/>
          <w:u w:val="single"/>
          <w:lang w:eastAsia="zh-CN"/>
        </w:rPr>
        <w:t>文物、古迹等</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2BA1206F">
      <w:pPr>
        <w:spacing w:before="308" w:line="225" w:lineRule="auto"/>
        <w:ind w:left="9"/>
        <w:outlineLvl w:val="2"/>
        <w:rPr>
          <w:rFonts w:ascii="宋体" w:hAnsi="宋体" w:eastAsia="宋体" w:cs="宋体"/>
          <w:color w:val="auto"/>
          <w:sz w:val="27"/>
          <w:szCs w:val="27"/>
          <w:highlight w:val="none"/>
        </w:rPr>
      </w:pPr>
      <w:bookmarkStart w:id="107" w:name="bookmark77"/>
      <w:bookmarkEnd w:id="107"/>
      <w:bookmarkStart w:id="108" w:name="_Toc30053"/>
      <w:r>
        <w:rPr>
          <w:rFonts w:ascii="Times New Roman" w:hAnsi="Times New Roman" w:eastAsia="Times New Roman" w:cs="Times New Roman"/>
          <w:b/>
          <w:bCs/>
          <w:color w:val="auto"/>
          <w:spacing w:val="5"/>
          <w:sz w:val="27"/>
          <w:szCs w:val="27"/>
          <w:highlight w:val="none"/>
        </w:rPr>
        <w:t xml:space="preserve">5  </w:t>
      </w:r>
      <w:r>
        <w:rPr>
          <w:rFonts w:ascii="宋体" w:hAnsi="宋体" w:eastAsia="宋体" w:cs="宋体"/>
          <w:b/>
          <w:bCs/>
          <w:color w:val="auto"/>
          <w:spacing w:val="5"/>
          <w:sz w:val="27"/>
          <w:szCs w:val="27"/>
          <w:highlight w:val="none"/>
        </w:rPr>
        <w:t>材料和工程设备</w:t>
      </w:r>
      <w:bookmarkEnd w:id="108"/>
    </w:p>
    <w:p w14:paraId="4148BE8F">
      <w:pPr>
        <w:pStyle w:val="8"/>
        <w:spacing w:line="248" w:lineRule="auto"/>
        <w:rPr>
          <w:color w:val="auto"/>
          <w:highlight w:val="none"/>
        </w:rPr>
      </w:pPr>
    </w:p>
    <w:p w14:paraId="33B5160E">
      <w:pPr>
        <w:spacing w:before="79" w:line="227"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5.2  </w:t>
      </w:r>
      <w:r>
        <w:rPr>
          <w:rFonts w:ascii="楷体" w:hAnsi="楷体" w:eastAsia="楷体" w:cs="楷体"/>
          <w:b/>
          <w:bCs/>
          <w:color w:val="auto"/>
          <w:spacing w:val="-2"/>
          <w:sz w:val="24"/>
          <w:szCs w:val="24"/>
          <w:highlight w:val="none"/>
        </w:rPr>
        <w:t>发包人提供的材料和工程设备</w:t>
      </w:r>
    </w:p>
    <w:p w14:paraId="52CD9CA7">
      <w:pPr>
        <w:spacing w:before="172" w:line="219" w:lineRule="auto"/>
        <w:ind w:left="491"/>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 xml:space="preserve">5.2.1  </w:t>
      </w:r>
      <w:r>
        <w:rPr>
          <w:rFonts w:ascii="宋体" w:hAnsi="宋体" w:eastAsia="宋体" w:cs="宋体"/>
          <w:color w:val="auto"/>
          <w:spacing w:val="-2"/>
          <w:sz w:val="24"/>
          <w:szCs w:val="24"/>
          <w:highlight w:val="none"/>
        </w:rPr>
        <w:t>发包人提供的材料和设备见下表。</w:t>
      </w:r>
    </w:p>
    <w:p w14:paraId="5EE7114D">
      <w:pPr>
        <w:pStyle w:val="8"/>
        <w:spacing w:line="249" w:lineRule="auto"/>
        <w:rPr>
          <w:color w:val="auto"/>
          <w:highlight w:val="none"/>
        </w:rPr>
      </w:pPr>
    </w:p>
    <w:p w14:paraId="56FA6D8E">
      <w:pPr>
        <w:pStyle w:val="8"/>
        <w:spacing w:line="249" w:lineRule="auto"/>
        <w:rPr>
          <w:color w:val="auto"/>
          <w:highlight w:val="none"/>
        </w:rPr>
      </w:pPr>
    </w:p>
    <w:p w14:paraId="1F7F49EF">
      <w:pPr>
        <w:spacing w:before="68" w:line="219" w:lineRule="auto"/>
        <w:jc w:val="center"/>
        <w:rPr>
          <w:rFonts w:ascii="宋体" w:hAnsi="宋体" w:eastAsia="宋体" w:cs="宋体"/>
          <w:strike/>
          <w:dstrike w:val="0"/>
          <w:color w:val="auto"/>
          <w:sz w:val="21"/>
          <w:szCs w:val="21"/>
          <w:highlight w:val="none"/>
        </w:rPr>
      </w:pPr>
      <w:bookmarkStart w:id="109" w:name="bookmark411"/>
      <w:bookmarkEnd w:id="109"/>
      <w:r>
        <w:rPr>
          <w:rFonts w:ascii="宋体" w:hAnsi="宋体" w:eastAsia="宋体" w:cs="宋体"/>
          <w:b/>
          <w:bCs/>
          <w:strike/>
          <w:dstrike w:val="0"/>
          <w:color w:val="auto"/>
          <w:spacing w:val="-3"/>
          <w:sz w:val="21"/>
          <w:szCs w:val="21"/>
          <w:highlight w:val="none"/>
        </w:rPr>
        <w:t>发包人提供的材料表（参考格式）</w:t>
      </w:r>
    </w:p>
    <w:p w14:paraId="3466D0AC">
      <w:pPr>
        <w:spacing w:line="128" w:lineRule="exact"/>
        <w:rPr>
          <w:color w:val="auto"/>
          <w:highlight w:val="none"/>
        </w:rPr>
      </w:pPr>
    </w:p>
    <w:tbl>
      <w:tblPr>
        <w:tblStyle w:val="16"/>
        <w:tblW w:w="89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8"/>
        <w:gridCol w:w="1598"/>
        <w:gridCol w:w="1229"/>
        <w:gridCol w:w="807"/>
        <w:gridCol w:w="1111"/>
        <w:gridCol w:w="1112"/>
        <w:gridCol w:w="1555"/>
        <w:gridCol w:w="677"/>
      </w:tblGrid>
      <w:tr w14:paraId="4699B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18" w:type="dxa"/>
            <w:tcBorders>
              <w:top w:val="single" w:color="000000" w:sz="6" w:space="0"/>
              <w:left w:val="single" w:color="000000" w:sz="6" w:space="0"/>
            </w:tcBorders>
            <w:vAlign w:val="top"/>
          </w:tcPr>
          <w:p w14:paraId="5EBD199B">
            <w:pPr>
              <w:pStyle w:val="17"/>
              <w:spacing w:before="127" w:line="221" w:lineRule="auto"/>
              <w:ind w:left="197"/>
              <w:rPr>
                <w:strike/>
                <w:dstrike w:val="0"/>
                <w:color w:val="auto"/>
                <w:sz w:val="21"/>
                <w:szCs w:val="21"/>
                <w:highlight w:val="none"/>
              </w:rPr>
            </w:pPr>
            <w:r>
              <w:rPr>
                <w:strike/>
                <w:dstrike w:val="0"/>
                <w:color w:val="auto"/>
                <w:spacing w:val="-2"/>
                <w:sz w:val="21"/>
                <w:szCs w:val="21"/>
                <w:highlight w:val="none"/>
              </w:rPr>
              <w:t>序号</w:t>
            </w:r>
          </w:p>
        </w:tc>
        <w:tc>
          <w:tcPr>
            <w:tcW w:w="1598" w:type="dxa"/>
            <w:tcBorders>
              <w:top w:val="single" w:color="000000" w:sz="6" w:space="0"/>
            </w:tcBorders>
            <w:vAlign w:val="top"/>
          </w:tcPr>
          <w:p w14:paraId="23553AAD">
            <w:pPr>
              <w:pStyle w:val="17"/>
              <w:spacing w:before="127" w:line="219" w:lineRule="auto"/>
              <w:ind w:left="380"/>
              <w:rPr>
                <w:strike/>
                <w:dstrike w:val="0"/>
                <w:color w:val="auto"/>
                <w:sz w:val="21"/>
                <w:szCs w:val="21"/>
                <w:highlight w:val="none"/>
              </w:rPr>
            </w:pPr>
            <w:r>
              <w:rPr>
                <w:strike/>
                <w:dstrike w:val="0"/>
                <w:color w:val="auto"/>
                <w:spacing w:val="-2"/>
                <w:sz w:val="21"/>
                <w:szCs w:val="21"/>
                <w:highlight w:val="none"/>
              </w:rPr>
              <w:t>材料名称</w:t>
            </w:r>
          </w:p>
        </w:tc>
        <w:tc>
          <w:tcPr>
            <w:tcW w:w="1229" w:type="dxa"/>
            <w:tcBorders>
              <w:top w:val="single" w:color="000000" w:sz="6" w:space="0"/>
            </w:tcBorders>
            <w:vAlign w:val="top"/>
          </w:tcPr>
          <w:p w14:paraId="424A7B1C">
            <w:pPr>
              <w:pStyle w:val="17"/>
              <w:spacing w:before="127" w:line="219" w:lineRule="auto"/>
              <w:ind w:left="198"/>
              <w:rPr>
                <w:strike/>
                <w:dstrike w:val="0"/>
                <w:color w:val="auto"/>
                <w:sz w:val="21"/>
                <w:szCs w:val="21"/>
                <w:highlight w:val="none"/>
              </w:rPr>
            </w:pPr>
            <w:r>
              <w:rPr>
                <w:strike/>
                <w:dstrike w:val="0"/>
                <w:color w:val="auto"/>
                <w:spacing w:val="-2"/>
                <w:sz w:val="21"/>
                <w:szCs w:val="21"/>
                <w:highlight w:val="none"/>
              </w:rPr>
              <w:t>材料规格</w:t>
            </w:r>
          </w:p>
        </w:tc>
        <w:tc>
          <w:tcPr>
            <w:tcW w:w="807" w:type="dxa"/>
            <w:tcBorders>
              <w:top w:val="single" w:color="000000" w:sz="6" w:space="0"/>
            </w:tcBorders>
            <w:vAlign w:val="top"/>
          </w:tcPr>
          <w:p w14:paraId="39DE978E">
            <w:pPr>
              <w:pStyle w:val="17"/>
              <w:spacing w:before="126" w:line="220" w:lineRule="auto"/>
              <w:ind w:left="199"/>
              <w:rPr>
                <w:strike/>
                <w:dstrike w:val="0"/>
                <w:color w:val="auto"/>
                <w:sz w:val="21"/>
                <w:szCs w:val="21"/>
                <w:highlight w:val="none"/>
              </w:rPr>
            </w:pPr>
            <w:r>
              <w:rPr>
                <w:strike/>
                <w:dstrike w:val="0"/>
                <w:color w:val="auto"/>
                <w:spacing w:val="-3"/>
                <w:sz w:val="21"/>
                <w:szCs w:val="21"/>
                <w:highlight w:val="none"/>
              </w:rPr>
              <w:t>数量</w:t>
            </w:r>
          </w:p>
        </w:tc>
        <w:tc>
          <w:tcPr>
            <w:tcW w:w="1111" w:type="dxa"/>
            <w:tcBorders>
              <w:top w:val="single" w:color="000000" w:sz="6" w:space="0"/>
            </w:tcBorders>
            <w:vAlign w:val="top"/>
          </w:tcPr>
          <w:p w14:paraId="65822227">
            <w:pPr>
              <w:pStyle w:val="17"/>
              <w:spacing w:before="127" w:line="219" w:lineRule="auto"/>
              <w:ind w:left="147"/>
              <w:rPr>
                <w:strike/>
                <w:dstrike w:val="0"/>
                <w:color w:val="auto"/>
                <w:sz w:val="21"/>
                <w:szCs w:val="21"/>
                <w:highlight w:val="none"/>
              </w:rPr>
            </w:pPr>
            <w:r>
              <w:rPr>
                <w:strike/>
                <w:dstrike w:val="0"/>
                <w:color w:val="auto"/>
                <w:spacing w:val="-3"/>
                <w:sz w:val="21"/>
                <w:szCs w:val="21"/>
                <w:highlight w:val="none"/>
              </w:rPr>
              <w:t>交货地点</w:t>
            </w:r>
          </w:p>
        </w:tc>
        <w:tc>
          <w:tcPr>
            <w:tcW w:w="1112" w:type="dxa"/>
            <w:tcBorders>
              <w:top w:val="single" w:color="000000" w:sz="6" w:space="0"/>
            </w:tcBorders>
            <w:vAlign w:val="top"/>
          </w:tcPr>
          <w:p w14:paraId="1592E8BA">
            <w:pPr>
              <w:pStyle w:val="17"/>
              <w:spacing w:before="127" w:line="219" w:lineRule="auto"/>
              <w:ind w:left="148"/>
              <w:rPr>
                <w:strike/>
                <w:dstrike w:val="0"/>
                <w:color w:val="auto"/>
                <w:sz w:val="21"/>
                <w:szCs w:val="21"/>
                <w:highlight w:val="none"/>
              </w:rPr>
            </w:pPr>
            <w:r>
              <w:rPr>
                <w:strike/>
                <w:dstrike w:val="0"/>
                <w:color w:val="auto"/>
                <w:spacing w:val="-3"/>
                <w:sz w:val="21"/>
                <w:szCs w:val="21"/>
                <w:highlight w:val="none"/>
              </w:rPr>
              <w:t>交货方式</w:t>
            </w:r>
          </w:p>
        </w:tc>
        <w:tc>
          <w:tcPr>
            <w:tcW w:w="1555" w:type="dxa"/>
            <w:tcBorders>
              <w:top w:val="single" w:color="000000" w:sz="6" w:space="0"/>
            </w:tcBorders>
            <w:vAlign w:val="top"/>
          </w:tcPr>
          <w:p w14:paraId="5BEFEDF9">
            <w:pPr>
              <w:pStyle w:val="17"/>
              <w:spacing w:before="127" w:line="219" w:lineRule="auto"/>
              <w:ind w:left="158"/>
              <w:rPr>
                <w:strike/>
                <w:dstrike w:val="0"/>
                <w:color w:val="auto"/>
                <w:sz w:val="21"/>
                <w:szCs w:val="21"/>
                <w:highlight w:val="none"/>
              </w:rPr>
            </w:pPr>
            <w:r>
              <w:rPr>
                <w:strike/>
                <w:dstrike w:val="0"/>
                <w:color w:val="auto"/>
                <w:spacing w:val="-2"/>
                <w:sz w:val="21"/>
                <w:szCs w:val="21"/>
                <w:highlight w:val="none"/>
              </w:rPr>
              <w:t>计划交货日期</w:t>
            </w:r>
          </w:p>
        </w:tc>
        <w:tc>
          <w:tcPr>
            <w:tcW w:w="677" w:type="dxa"/>
            <w:tcBorders>
              <w:top w:val="single" w:color="000000" w:sz="6" w:space="0"/>
              <w:right w:val="single" w:color="000000" w:sz="6" w:space="0"/>
            </w:tcBorders>
            <w:vAlign w:val="top"/>
          </w:tcPr>
          <w:p w14:paraId="5B733513">
            <w:pPr>
              <w:pStyle w:val="17"/>
              <w:spacing w:before="127" w:line="221" w:lineRule="auto"/>
              <w:ind w:left="139"/>
              <w:rPr>
                <w:strike/>
                <w:dstrike w:val="0"/>
                <w:color w:val="auto"/>
                <w:sz w:val="21"/>
                <w:szCs w:val="21"/>
                <w:highlight w:val="none"/>
              </w:rPr>
            </w:pPr>
            <w:r>
              <w:rPr>
                <w:strike/>
                <w:dstrike w:val="0"/>
                <w:color w:val="auto"/>
                <w:spacing w:val="-3"/>
                <w:sz w:val="21"/>
                <w:szCs w:val="21"/>
                <w:highlight w:val="none"/>
              </w:rPr>
              <w:t>备注</w:t>
            </w:r>
          </w:p>
        </w:tc>
      </w:tr>
      <w:tr w14:paraId="7243F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18" w:type="dxa"/>
            <w:tcBorders>
              <w:left w:val="single" w:color="000000" w:sz="6" w:space="0"/>
            </w:tcBorders>
            <w:vAlign w:val="top"/>
          </w:tcPr>
          <w:p w14:paraId="11D062B6">
            <w:pPr>
              <w:rPr>
                <w:rFonts w:ascii="Arial"/>
                <w:color w:val="auto"/>
                <w:sz w:val="21"/>
                <w:highlight w:val="none"/>
              </w:rPr>
            </w:pPr>
          </w:p>
        </w:tc>
        <w:tc>
          <w:tcPr>
            <w:tcW w:w="1598" w:type="dxa"/>
            <w:vAlign w:val="top"/>
          </w:tcPr>
          <w:p w14:paraId="0E6A03A2">
            <w:pPr>
              <w:rPr>
                <w:rFonts w:ascii="Arial"/>
                <w:color w:val="auto"/>
                <w:sz w:val="21"/>
                <w:highlight w:val="none"/>
              </w:rPr>
            </w:pPr>
          </w:p>
        </w:tc>
        <w:tc>
          <w:tcPr>
            <w:tcW w:w="1229" w:type="dxa"/>
            <w:vAlign w:val="top"/>
          </w:tcPr>
          <w:p w14:paraId="4ADB0206">
            <w:pPr>
              <w:rPr>
                <w:rFonts w:ascii="Arial"/>
                <w:color w:val="auto"/>
                <w:sz w:val="21"/>
                <w:highlight w:val="none"/>
              </w:rPr>
            </w:pPr>
          </w:p>
        </w:tc>
        <w:tc>
          <w:tcPr>
            <w:tcW w:w="807" w:type="dxa"/>
            <w:vAlign w:val="top"/>
          </w:tcPr>
          <w:p w14:paraId="71EC64C9">
            <w:pPr>
              <w:rPr>
                <w:rFonts w:ascii="Arial"/>
                <w:color w:val="auto"/>
                <w:sz w:val="21"/>
                <w:highlight w:val="none"/>
              </w:rPr>
            </w:pPr>
          </w:p>
        </w:tc>
        <w:tc>
          <w:tcPr>
            <w:tcW w:w="1111" w:type="dxa"/>
            <w:vAlign w:val="top"/>
          </w:tcPr>
          <w:p w14:paraId="2D00CBB7">
            <w:pPr>
              <w:rPr>
                <w:rFonts w:ascii="Arial"/>
                <w:color w:val="auto"/>
                <w:sz w:val="21"/>
                <w:highlight w:val="none"/>
              </w:rPr>
            </w:pPr>
          </w:p>
        </w:tc>
        <w:tc>
          <w:tcPr>
            <w:tcW w:w="1112" w:type="dxa"/>
            <w:vAlign w:val="top"/>
          </w:tcPr>
          <w:p w14:paraId="7BB7E7C9">
            <w:pPr>
              <w:rPr>
                <w:rFonts w:ascii="Arial"/>
                <w:color w:val="auto"/>
                <w:sz w:val="21"/>
                <w:highlight w:val="none"/>
              </w:rPr>
            </w:pPr>
          </w:p>
        </w:tc>
        <w:tc>
          <w:tcPr>
            <w:tcW w:w="1555" w:type="dxa"/>
            <w:vAlign w:val="top"/>
          </w:tcPr>
          <w:p w14:paraId="0860F72C">
            <w:pPr>
              <w:rPr>
                <w:rFonts w:ascii="Arial"/>
                <w:color w:val="auto"/>
                <w:sz w:val="21"/>
                <w:highlight w:val="none"/>
              </w:rPr>
            </w:pPr>
          </w:p>
        </w:tc>
        <w:tc>
          <w:tcPr>
            <w:tcW w:w="677" w:type="dxa"/>
            <w:tcBorders>
              <w:right w:val="single" w:color="000000" w:sz="6" w:space="0"/>
            </w:tcBorders>
            <w:vAlign w:val="top"/>
          </w:tcPr>
          <w:p w14:paraId="5D30E526">
            <w:pPr>
              <w:rPr>
                <w:rFonts w:ascii="Arial"/>
                <w:color w:val="auto"/>
                <w:sz w:val="21"/>
                <w:highlight w:val="none"/>
              </w:rPr>
            </w:pPr>
          </w:p>
        </w:tc>
      </w:tr>
      <w:tr w14:paraId="7FAC5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818" w:type="dxa"/>
            <w:tcBorders>
              <w:left w:val="single" w:color="000000" w:sz="6" w:space="0"/>
            </w:tcBorders>
            <w:vAlign w:val="top"/>
          </w:tcPr>
          <w:p w14:paraId="07DC52EB">
            <w:pPr>
              <w:rPr>
                <w:rFonts w:ascii="Arial"/>
                <w:color w:val="auto"/>
                <w:sz w:val="21"/>
                <w:highlight w:val="none"/>
              </w:rPr>
            </w:pPr>
          </w:p>
        </w:tc>
        <w:tc>
          <w:tcPr>
            <w:tcW w:w="1598" w:type="dxa"/>
            <w:vAlign w:val="top"/>
          </w:tcPr>
          <w:p w14:paraId="764D38BF">
            <w:pPr>
              <w:rPr>
                <w:rFonts w:ascii="Arial"/>
                <w:color w:val="auto"/>
                <w:sz w:val="21"/>
                <w:highlight w:val="none"/>
              </w:rPr>
            </w:pPr>
          </w:p>
        </w:tc>
        <w:tc>
          <w:tcPr>
            <w:tcW w:w="1229" w:type="dxa"/>
            <w:vAlign w:val="top"/>
          </w:tcPr>
          <w:p w14:paraId="557797ED">
            <w:pPr>
              <w:rPr>
                <w:rFonts w:ascii="Arial"/>
                <w:color w:val="auto"/>
                <w:sz w:val="21"/>
                <w:highlight w:val="none"/>
              </w:rPr>
            </w:pPr>
          </w:p>
        </w:tc>
        <w:tc>
          <w:tcPr>
            <w:tcW w:w="807" w:type="dxa"/>
            <w:vAlign w:val="top"/>
          </w:tcPr>
          <w:p w14:paraId="3766ADEB">
            <w:pPr>
              <w:rPr>
                <w:rFonts w:ascii="Arial"/>
                <w:color w:val="auto"/>
                <w:sz w:val="21"/>
                <w:highlight w:val="none"/>
              </w:rPr>
            </w:pPr>
          </w:p>
        </w:tc>
        <w:tc>
          <w:tcPr>
            <w:tcW w:w="1111" w:type="dxa"/>
            <w:vAlign w:val="top"/>
          </w:tcPr>
          <w:p w14:paraId="3C0699FD">
            <w:pPr>
              <w:rPr>
                <w:rFonts w:ascii="Arial"/>
                <w:color w:val="auto"/>
                <w:sz w:val="21"/>
                <w:highlight w:val="none"/>
              </w:rPr>
            </w:pPr>
          </w:p>
        </w:tc>
        <w:tc>
          <w:tcPr>
            <w:tcW w:w="1112" w:type="dxa"/>
            <w:vAlign w:val="top"/>
          </w:tcPr>
          <w:p w14:paraId="678CADB3">
            <w:pPr>
              <w:rPr>
                <w:rFonts w:ascii="Arial"/>
                <w:color w:val="auto"/>
                <w:sz w:val="21"/>
                <w:highlight w:val="none"/>
              </w:rPr>
            </w:pPr>
          </w:p>
        </w:tc>
        <w:tc>
          <w:tcPr>
            <w:tcW w:w="1555" w:type="dxa"/>
            <w:vAlign w:val="top"/>
          </w:tcPr>
          <w:p w14:paraId="3B6375BA">
            <w:pPr>
              <w:rPr>
                <w:rFonts w:ascii="Arial"/>
                <w:color w:val="auto"/>
                <w:sz w:val="21"/>
                <w:highlight w:val="none"/>
              </w:rPr>
            </w:pPr>
          </w:p>
        </w:tc>
        <w:tc>
          <w:tcPr>
            <w:tcW w:w="677" w:type="dxa"/>
            <w:tcBorders>
              <w:right w:val="single" w:color="000000" w:sz="6" w:space="0"/>
            </w:tcBorders>
            <w:vAlign w:val="top"/>
          </w:tcPr>
          <w:p w14:paraId="698C4AAD">
            <w:pPr>
              <w:rPr>
                <w:rFonts w:ascii="Arial"/>
                <w:color w:val="auto"/>
                <w:sz w:val="21"/>
                <w:highlight w:val="none"/>
              </w:rPr>
            </w:pPr>
          </w:p>
        </w:tc>
      </w:tr>
      <w:tr w14:paraId="13456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818" w:type="dxa"/>
            <w:tcBorders>
              <w:left w:val="single" w:color="000000" w:sz="6" w:space="0"/>
              <w:bottom w:val="single" w:color="000000" w:sz="6" w:space="0"/>
            </w:tcBorders>
            <w:vAlign w:val="top"/>
          </w:tcPr>
          <w:p w14:paraId="73A4664D">
            <w:pPr>
              <w:rPr>
                <w:rFonts w:ascii="Arial"/>
                <w:color w:val="auto"/>
                <w:sz w:val="21"/>
                <w:highlight w:val="none"/>
              </w:rPr>
            </w:pPr>
          </w:p>
        </w:tc>
        <w:tc>
          <w:tcPr>
            <w:tcW w:w="1598" w:type="dxa"/>
            <w:tcBorders>
              <w:bottom w:val="single" w:color="000000" w:sz="6" w:space="0"/>
            </w:tcBorders>
            <w:vAlign w:val="top"/>
          </w:tcPr>
          <w:p w14:paraId="61C0CFD2">
            <w:pPr>
              <w:rPr>
                <w:rFonts w:ascii="Arial"/>
                <w:color w:val="auto"/>
                <w:sz w:val="21"/>
                <w:highlight w:val="none"/>
              </w:rPr>
            </w:pPr>
          </w:p>
        </w:tc>
        <w:tc>
          <w:tcPr>
            <w:tcW w:w="1229" w:type="dxa"/>
            <w:tcBorders>
              <w:bottom w:val="single" w:color="000000" w:sz="6" w:space="0"/>
            </w:tcBorders>
            <w:vAlign w:val="top"/>
          </w:tcPr>
          <w:p w14:paraId="5E562498">
            <w:pPr>
              <w:rPr>
                <w:rFonts w:ascii="Arial"/>
                <w:color w:val="auto"/>
                <w:sz w:val="21"/>
                <w:highlight w:val="none"/>
              </w:rPr>
            </w:pPr>
          </w:p>
        </w:tc>
        <w:tc>
          <w:tcPr>
            <w:tcW w:w="807" w:type="dxa"/>
            <w:tcBorders>
              <w:bottom w:val="single" w:color="000000" w:sz="6" w:space="0"/>
            </w:tcBorders>
            <w:vAlign w:val="top"/>
          </w:tcPr>
          <w:p w14:paraId="0751641A">
            <w:pPr>
              <w:rPr>
                <w:rFonts w:ascii="Arial"/>
                <w:color w:val="auto"/>
                <w:sz w:val="21"/>
                <w:highlight w:val="none"/>
              </w:rPr>
            </w:pPr>
          </w:p>
        </w:tc>
        <w:tc>
          <w:tcPr>
            <w:tcW w:w="1111" w:type="dxa"/>
            <w:tcBorders>
              <w:bottom w:val="single" w:color="000000" w:sz="6" w:space="0"/>
            </w:tcBorders>
            <w:vAlign w:val="top"/>
          </w:tcPr>
          <w:p w14:paraId="2C6BC7B5">
            <w:pPr>
              <w:rPr>
                <w:rFonts w:ascii="Arial"/>
                <w:color w:val="auto"/>
                <w:sz w:val="21"/>
                <w:highlight w:val="none"/>
              </w:rPr>
            </w:pPr>
          </w:p>
        </w:tc>
        <w:tc>
          <w:tcPr>
            <w:tcW w:w="1112" w:type="dxa"/>
            <w:tcBorders>
              <w:bottom w:val="single" w:color="000000" w:sz="6" w:space="0"/>
            </w:tcBorders>
            <w:vAlign w:val="top"/>
          </w:tcPr>
          <w:p w14:paraId="37EBDF00">
            <w:pPr>
              <w:rPr>
                <w:rFonts w:ascii="Arial"/>
                <w:color w:val="auto"/>
                <w:sz w:val="21"/>
                <w:highlight w:val="none"/>
              </w:rPr>
            </w:pPr>
          </w:p>
        </w:tc>
        <w:tc>
          <w:tcPr>
            <w:tcW w:w="1555" w:type="dxa"/>
            <w:tcBorders>
              <w:bottom w:val="single" w:color="000000" w:sz="6" w:space="0"/>
            </w:tcBorders>
            <w:vAlign w:val="top"/>
          </w:tcPr>
          <w:p w14:paraId="03769815">
            <w:pPr>
              <w:rPr>
                <w:rFonts w:ascii="Arial"/>
                <w:color w:val="auto"/>
                <w:sz w:val="21"/>
                <w:highlight w:val="none"/>
              </w:rPr>
            </w:pPr>
          </w:p>
        </w:tc>
        <w:tc>
          <w:tcPr>
            <w:tcW w:w="677" w:type="dxa"/>
            <w:tcBorders>
              <w:bottom w:val="single" w:color="000000" w:sz="6" w:space="0"/>
              <w:right w:val="single" w:color="000000" w:sz="6" w:space="0"/>
            </w:tcBorders>
            <w:vAlign w:val="top"/>
          </w:tcPr>
          <w:p w14:paraId="5A7C3339">
            <w:pPr>
              <w:rPr>
                <w:rFonts w:ascii="Arial"/>
                <w:color w:val="auto"/>
                <w:sz w:val="21"/>
                <w:highlight w:val="none"/>
              </w:rPr>
            </w:pPr>
          </w:p>
        </w:tc>
      </w:tr>
    </w:tbl>
    <w:p w14:paraId="46EBC28F">
      <w:pPr>
        <w:pStyle w:val="8"/>
        <w:spacing w:line="375" w:lineRule="auto"/>
        <w:rPr>
          <w:color w:val="auto"/>
          <w:highlight w:val="none"/>
        </w:rPr>
      </w:pPr>
    </w:p>
    <w:p w14:paraId="3224B3E2">
      <w:pPr>
        <w:spacing w:before="68" w:line="219" w:lineRule="auto"/>
        <w:ind w:left="2831"/>
        <w:rPr>
          <w:rFonts w:ascii="宋体" w:hAnsi="宋体" w:eastAsia="宋体" w:cs="宋体"/>
          <w:strike/>
          <w:dstrike w:val="0"/>
          <w:color w:val="auto"/>
          <w:sz w:val="21"/>
          <w:szCs w:val="21"/>
          <w:highlight w:val="none"/>
        </w:rPr>
      </w:pPr>
      <w:r>
        <w:rPr>
          <w:rFonts w:ascii="宋体" w:hAnsi="宋体" w:eastAsia="宋体" w:cs="宋体"/>
          <w:b/>
          <w:bCs/>
          <w:strike/>
          <w:dstrike w:val="0"/>
          <w:color w:val="auto"/>
          <w:spacing w:val="-3"/>
          <w:sz w:val="21"/>
          <w:szCs w:val="21"/>
          <w:highlight w:val="none"/>
        </w:rPr>
        <w:t>发包人提供的工程设备表（参考格式）</w:t>
      </w:r>
    </w:p>
    <w:p w14:paraId="2719E794">
      <w:pPr>
        <w:spacing w:line="128" w:lineRule="exact"/>
        <w:rPr>
          <w:color w:val="auto"/>
          <w:highlight w:val="none"/>
        </w:rPr>
      </w:pPr>
    </w:p>
    <w:tbl>
      <w:tblPr>
        <w:tblStyle w:val="16"/>
        <w:tblW w:w="89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7"/>
        <w:gridCol w:w="1778"/>
        <w:gridCol w:w="1230"/>
        <w:gridCol w:w="803"/>
        <w:gridCol w:w="1119"/>
        <w:gridCol w:w="1104"/>
        <w:gridCol w:w="1560"/>
        <w:gridCol w:w="676"/>
      </w:tblGrid>
      <w:tr w14:paraId="55BCF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637" w:type="dxa"/>
            <w:tcBorders>
              <w:top w:val="single" w:color="000000" w:sz="6" w:space="0"/>
              <w:left w:val="single" w:color="000000" w:sz="6" w:space="0"/>
            </w:tcBorders>
            <w:vAlign w:val="top"/>
          </w:tcPr>
          <w:p w14:paraId="46DEA9B3">
            <w:pPr>
              <w:pStyle w:val="17"/>
              <w:spacing w:before="127" w:line="221" w:lineRule="auto"/>
              <w:ind w:left="106"/>
              <w:rPr>
                <w:strike/>
                <w:dstrike w:val="0"/>
                <w:color w:val="auto"/>
                <w:sz w:val="21"/>
                <w:szCs w:val="21"/>
                <w:highlight w:val="none"/>
              </w:rPr>
            </w:pPr>
            <w:r>
              <w:rPr>
                <w:strike/>
                <w:dstrike w:val="0"/>
                <w:color w:val="auto"/>
                <w:spacing w:val="-2"/>
                <w:sz w:val="21"/>
                <w:szCs w:val="21"/>
                <w:highlight w:val="none"/>
              </w:rPr>
              <w:t>序号</w:t>
            </w:r>
          </w:p>
        </w:tc>
        <w:tc>
          <w:tcPr>
            <w:tcW w:w="1778" w:type="dxa"/>
            <w:tcBorders>
              <w:top w:val="single" w:color="000000" w:sz="6" w:space="0"/>
            </w:tcBorders>
            <w:vAlign w:val="top"/>
          </w:tcPr>
          <w:p w14:paraId="2853C02A">
            <w:pPr>
              <w:pStyle w:val="17"/>
              <w:spacing w:before="127" w:line="220" w:lineRule="auto"/>
              <w:ind w:left="261"/>
              <w:rPr>
                <w:strike/>
                <w:dstrike w:val="0"/>
                <w:color w:val="auto"/>
                <w:sz w:val="21"/>
                <w:szCs w:val="21"/>
                <w:highlight w:val="none"/>
              </w:rPr>
            </w:pPr>
            <w:r>
              <w:rPr>
                <w:strike/>
                <w:dstrike w:val="0"/>
                <w:color w:val="auto"/>
                <w:spacing w:val="-2"/>
                <w:sz w:val="21"/>
                <w:szCs w:val="21"/>
                <w:highlight w:val="none"/>
              </w:rPr>
              <w:t>工程设备名称</w:t>
            </w:r>
          </w:p>
        </w:tc>
        <w:tc>
          <w:tcPr>
            <w:tcW w:w="1230" w:type="dxa"/>
            <w:tcBorders>
              <w:top w:val="single" w:color="000000" w:sz="6" w:space="0"/>
            </w:tcBorders>
            <w:vAlign w:val="top"/>
          </w:tcPr>
          <w:p w14:paraId="4146CCAF">
            <w:pPr>
              <w:pStyle w:val="17"/>
              <w:spacing w:before="126" w:line="220" w:lineRule="auto"/>
              <w:ind w:left="100"/>
              <w:rPr>
                <w:strike/>
                <w:dstrike w:val="0"/>
                <w:color w:val="auto"/>
                <w:sz w:val="21"/>
                <w:szCs w:val="21"/>
                <w:highlight w:val="none"/>
              </w:rPr>
            </w:pPr>
            <w:r>
              <w:rPr>
                <w:strike/>
                <w:dstrike w:val="0"/>
                <w:color w:val="auto"/>
                <w:spacing w:val="-3"/>
                <w:sz w:val="21"/>
                <w:szCs w:val="21"/>
                <w:highlight w:val="none"/>
              </w:rPr>
              <w:t>型号及规格</w:t>
            </w:r>
          </w:p>
        </w:tc>
        <w:tc>
          <w:tcPr>
            <w:tcW w:w="803" w:type="dxa"/>
            <w:tcBorders>
              <w:top w:val="single" w:color="000000" w:sz="6" w:space="0"/>
            </w:tcBorders>
            <w:vAlign w:val="top"/>
          </w:tcPr>
          <w:p w14:paraId="19385FC4">
            <w:pPr>
              <w:pStyle w:val="17"/>
              <w:spacing w:before="126" w:line="220" w:lineRule="auto"/>
              <w:ind w:left="197"/>
              <w:rPr>
                <w:strike/>
                <w:dstrike w:val="0"/>
                <w:color w:val="auto"/>
                <w:sz w:val="21"/>
                <w:szCs w:val="21"/>
                <w:highlight w:val="none"/>
              </w:rPr>
            </w:pPr>
            <w:r>
              <w:rPr>
                <w:strike/>
                <w:dstrike w:val="0"/>
                <w:color w:val="auto"/>
                <w:spacing w:val="-3"/>
                <w:sz w:val="21"/>
                <w:szCs w:val="21"/>
                <w:highlight w:val="none"/>
              </w:rPr>
              <w:t>数量</w:t>
            </w:r>
          </w:p>
        </w:tc>
        <w:tc>
          <w:tcPr>
            <w:tcW w:w="1119" w:type="dxa"/>
            <w:tcBorders>
              <w:top w:val="single" w:color="000000" w:sz="6" w:space="0"/>
            </w:tcBorders>
            <w:vAlign w:val="top"/>
          </w:tcPr>
          <w:p w14:paraId="7073FDF6">
            <w:pPr>
              <w:pStyle w:val="17"/>
              <w:spacing w:before="127" w:line="219" w:lineRule="auto"/>
              <w:ind w:left="149"/>
              <w:rPr>
                <w:strike/>
                <w:dstrike w:val="0"/>
                <w:color w:val="auto"/>
                <w:sz w:val="21"/>
                <w:szCs w:val="21"/>
                <w:highlight w:val="none"/>
              </w:rPr>
            </w:pPr>
            <w:r>
              <w:rPr>
                <w:strike/>
                <w:dstrike w:val="0"/>
                <w:color w:val="auto"/>
                <w:spacing w:val="-3"/>
                <w:sz w:val="21"/>
                <w:szCs w:val="21"/>
                <w:highlight w:val="none"/>
              </w:rPr>
              <w:t>交货地点</w:t>
            </w:r>
          </w:p>
        </w:tc>
        <w:tc>
          <w:tcPr>
            <w:tcW w:w="1104" w:type="dxa"/>
            <w:tcBorders>
              <w:top w:val="single" w:color="000000" w:sz="6" w:space="0"/>
            </w:tcBorders>
            <w:vAlign w:val="top"/>
          </w:tcPr>
          <w:p w14:paraId="02755691">
            <w:pPr>
              <w:pStyle w:val="17"/>
              <w:spacing w:before="127" w:line="219" w:lineRule="auto"/>
              <w:ind w:left="144"/>
              <w:rPr>
                <w:strike/>
                <w:dstrike w:val="0"/>
                <w:color w:val="auto"/>
                <w:sz w:val="21"/>
                <w:szCs w:val="21"/>
                <w:highlight w:val="none"/>
              </w:rPr>
            </w:pPr>
            <w:r>
              <w:rPr>
                <w:strike/>
                <w:dstrike w:val="0"/>
                <w:color w:val="auto"/>
                <w:spacing w:val="-3"/>
                <w:sz w:val="21"/>
                <w:szCs w:val="21"/>
                <w:highlight w:val="none"/>
              </w:rPr>
              <w:t>交货方式</w:t>
            </w:r>
          </w:p>
        </w:tc>
        <w:tc>
          <w:tcPr>
            <w:tcW w:w="1560" w:type="dxa"/>
            <w:tcBorders>
              <w:top w:val="single" w:color="000000" w:sz="6" w:space="0"/>
            </w:tcBorders>
            <w:vAlign w:val="top"/>
          </w:tcPr>
          <w:p w14:paraId="38E91B9C">
            <w:pPr>
              <w:pStyle w:val="17"/>
              <w:spacing w:before="127" w:line="219" w:lineRule="auto"/>
              <w:ind w:left="161"/>
              <w:rPr>
                <w:strike/>
                <w:dstrike w:val="0"/>
                <w:color w:val="auto"/>
                <w:sz w:val="21"/>
                <w:szCs w:val="21"/>
                <w:highlight w:val="none"/>
              </w:rPr>
            </w:pPr>
            <w:r>
              <w:rPr>
                <w:strike/>
                <w:dstrike w:val="0"/>
                <w:color w:val="auto"/>
                <w:spacing w:val="-2"/>
                <w:sz w:val="21"/>
                <w:szCs w:val="21"/>
                <w:highlight w:val="none"/>
              </w:rPr>
              <w:t>计划交货日期</w:t>
            </w:r>
          </w:p>
        </w:tc>
        <w:tc>
          <w:tcPr>
            <w:tcW w:w="676" w:type="dxa"/>
            <w:tcBorders>
              <w:top w:val="single" w:color="000000" w:sz="6" w:space="0"/>
              <w:right w:val="single" w:color="000000" w:sz="6" w:space="0"/>
            </w:tcBorders>
            <w:vAlign w:val="top"/>
          </w:tcPr>
          <w:p w14:paraId="4B0CCDFC">
            <w:pPr>
              <w:pStyle w:val="17"/>
              <w:spacing w:before="127" w:line="221" w:lineRule="auto"/>
              <w:ind w:left="138"/>
              <w:rPr>
                <w:strike/>
                <w:dstrike w:val="0"/>
                <w:color w:val="auto"/>
                <w:sz w:val="21"/>
                <w:szCs w:val="21"/>
                <w:highlight w:val="none"/>
              </w:rPr>
            </w:pPr>
            <w:r>
              <w:rPr>
                <w:strike/>
                <w:dstrike w:val="0"/>
                <w:color w:val="auto"/>
                <w:spacing w:val="-3"/>
                <w:sz w:val="21"/>
                <w:szCs w:val="21"/>
                <w:highlight w:val="none"/>
              </w:rPr>
              <w:t>备注</w:t>
            </w:r>
          </w:p>
        </w:tc>
      </w:tr>
      <w:tr w14:paraId="258BB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637" w:type="dxa"/>
            <w:tcBorders>
              <w:left w:val="single" w:color="000000" w:sz="6" w:space="0"/>
            </w:tcBorders>
            <w:vAlign w:val="top"/>
          </w:tcPr>
          <w:p w14:paraId="0C295B6A">
            <w:pPr>
              <w:rPr>
                <w:rFonts w:ascii="Arial"/>
                <w:color w:val="auto"/>
                <w:sz w:val="21"/>
                <w:highlight w:val="none"/>
              </w:rPr>
            </w:pPr>
          </w:p>
        </w:tc>
        <w:tc>
          <w:tcPr>
            <w:tcW w:w="1778" w:type="dxa"/>
            <w:vAlign w:val="top"/>
          </w:tcPr>
          <w:p w14:paraId="22BD83F3">
            <w:pPr>
              <w:rPr>
                <w:rFonts w:ascii="Arial"/>
                <w:color w:val="auto"/>
                <w:sz w:val="21"/>
                <w:highlight w:val="none"/>
              </w:rPr>
            </w:pPr>
          </w:p>
        </w:tc>
        <w:tc>
          <w:tcPr>
            <w:tcW w:w="1230" w:type="dxa"/>
            <w:vAlign w:val="top"/>
          </w:tcPr>
          <w:p w14:paraId="773C272D">
            <w:pPr>
              <w:rPr>
                <w:rFonts w:ascii="Arial"/>
                <w:color w:val="auto"/>
                <w:sz w:val="21"/>
                <w:highlight w:val="none"/>
              </w:rPr>
            </w:pPr>
          </w:p>
        </w:tc>
        <w:tc>
          <w:tcPr>
            <w:tcW w:w="803" w:type="dxa"/>
            <w:vAlign w:val="top"/>
          </w:tcPr>
          <w:p w14:paraId="254C840D">
            <w:pPr>
              <w:rPr>
                <w:rFonts w:ascii="Arial"/>
                <w:color w:val="auto"/>
                <w:sz w:val="21"/>
                <w:highlight w:val="none"/>
              </w:rPr>
            </w:pPr>
          </w:p>
        </w:tc>
        <w:tc>
          <w:tcPr>
            <w:tcW w:w="1119" w:type="dxa"/>
            <w:vAlign w:val="top"/>
          </w:tcPr>
          <w:p w14:paraId="67B21C43">
            <w:pPr>
              <w:rPr>
                <w:rFonts w:ascii="Arial"/>
                <w:color w:val="auto"/>
                <w:sz w:val="21"/>
                <w:highlight w:val="none"/>
              </w:rPr>
            </w:pPr>
          </w:p>
        </w:tc>
        <w:tc>
          <w:tcPr>
            <w:tcW w:w="1104" w:type="dxa"/>
            <w:vAlign w:val="top"/>
          </w:tcPr>
          <w:p w14:paraId="62A822A0">
            <w:pPr>
              <w:rPr>
                <w:rFonts w:ascii="Arial"/>
                <w:color w:val="auto"/>
                <w:sz w:val="21"/>
                <w:highlight w:val="none"/>
              </w:rPr>
            </w:pPr>
          </w:p>
        </w:tc>
        <w:tc>
          <w:tcPr>
            <w:tcW w:w="1560" w:type="dxa"/>
            <w:vAlign w:val="top"/>
          </w:tcPr>
          <w:p w14:paraId="368969B5">
            <w:pPr>
              <w:rPr>
                <w:rFonts w:ascii="Arial"/>
                <w:color w:val="auto"/>
                <w:sz w:val="21"/>
                <w:highlight w:val="none"/>
              </w:rPr>
            </w:pPr>
          </w:p>
        </w:tc>
        <w:tc>
          <w:tcPr>
            <w:tcW w:w="676" w:type="dxa"/>
            <w:tcBorders>
              <w:right w:val="single" w:color="000000" w:sz="6" w:space="0"/>
            </w:tcBorders>
            <w:vAlign w:val="top"/>
          </w:tcPr>
          <w:p w14:paraId="3BF93258">
            <w:pPr>
              <w:rPr>
                <w:rFonts w:ascii="Arial"/>
                <w:color w:val="auto"/>
                <w:sz w:val="21"/>
                <w:highlight w:val="none"/>
              </w:rPr>
            </w:pPr>
          </w:p>
        </w:tc>
      </w:tr>
      <w:tr w14:paraId="48183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6" w:hRule="atLeast"/>
        </w:trPr>
        <w:tc>
          <w:tcPr>
            <w:tcW w:w="637" w:type="dxa"/>
            <w:tcBorders>
              <w:left w:val="single" w:color="000000" w:sz="6" w:space="0"/>
            </w:tcBorders>
            <w:vAlign w:val="top"/>
          </w:tcPr>
          <w:p w14:paraId="559BB70D">
            <w:pPr>
              <w:rPr>
                <w:rFonts w:ascii="Arial"/>
                <w:color w:val="auto"/>
                <w:sz w:val="21"/>
                <w:highlight w:val="none"/>
              </w:rPr>
            </w:pPr>
          </w:p>
        </w:tc>
        <w:tc>
          <w:tcPr>
            <w:tcW w:w="1778" w:type="dxa"/>
            <w:vAlign w:val="top"/>
          </w:tcPr>
          <w:p w14:paraId="63471031">
            <w:pPr>
              <w:rPr>
                <w:rFonts w:ascii="Arial"/>
                <w:color w:val="auto"/>
                <w:sz w:val="21"/>
                <w:highlight w:val="none"/>
              </w:rPr>
            </w:pPr>
          </w:p>
        </w:tc>
        <w:tc>
          <w:tcPr>
            <w:tcW w:w="1230" w:type="dxa"/>
            <w:vAlign w:val="top"/>
          </w:tcPr>
          <w:p w14:paraId="0F3F9D0D">
            <w:pPr>
              <w:rPr>
                <w:rFonts w:ascii="Arial"/>
                <w:color w:val="auto"/>
                <w:sz w:val="21"/>
                <w:highlight w:val="none"/>
              </w:rPr>
            </w:pPr>
          </w:p>
        </w:tc>
        <w:tc>
          <w:tcPr>
            <w:tcW w:w="803" w:type="dxa"/>
            <w:vAlign w:val="top"/>
          </w:tcPr>
          <w:p w14:paraId="0BF94DD6">
            <w:pPr>
              <w:rPr>
                <w:rFonts w:ascii="Arial"/>
                <w:color w:val="auto"/>
                <w:sz w:val="21"/>
                <w:highlight w:val="none"/>
              </w:rPr>
            </w:pPr>
          </w:p>
        </w:tc>
        <w:tc>
          <w:tcPr>
            <w:tcW w:w="1119" w:type="dxa"/>
            <w:vAlign w:val="top"/>
          </w:tcPr>
          <w:p w14:paraId="5D25BA53">
            <w:pPr>
              <w:rPr>
                <w:rFonts w:ascii="Arial"/>
                <w:color w:val="auto"/>
                <w:sz w:val="21"/>
                <w:highlight w:val="none"/>
              </w:rPr>
            </w:pPr>
          </w:p>
        </w:tc>
        <w:tc>
          <w:tcPr>
            <w:tcW w:w="1104" w:type="dxa"/>
            <w:vAlign w:val="top"/>
          </w:tcPr>
          <w:p w14:paraId="2A886B68">
            <w:pPr>
              <w:rPr>
                <w:rFonts w:ascii="Arial"/>
                <w:color w:val="auto"/>
                <w:sz w:val="21"/>
                <w:highlight w:val="none"/>
              </w:rPr>
            </w:pPr>
          </w:p>
        </w:tc>
        <w:tc>
          <w:tcPr>
            <w:tcW w:w="1560" w:type="dxa"/>
            <w:vAlign w:val="top"/>
          </w:tcPr>
          <w:p w14:paraId="7A0C13E5">
            <w:pPr>
              <w:rPr>
                <w:rFonts w:ascii="Arial"/>
                <w:color w:val="auto"/>
                <w:sz w:val="21"/>
                <w:highlight w:val="none"/>
              </w:rPr>
            </w:pPr>
          </w:p>
        </w:tc>
        <w:tc>
          <w:tcPr>
            <w:tcW w:w="676" w:type="dxa"/>
            <w:tcBorders>
              <w:right w:val="single" w:color="000000" w:sz="6" w:space="0"/>
            </w:tcBorders>
            <w:vAlign w:val="top"/>
          </w:tcPr>
          <w:p w14:paraId="2DCE0247">
            <w:pPr>
              <w:rPr>
                <w:rFonts w:ascii="Arial"/>
                <w:color w:val="auto"/>
                <w:sz w:val="21"/>
                <w:highlight w:val="none"/>
              </w:rPr>
            </w:pPr>
          </w:p>
        </w:tc>
      </w:tr>
      <w:tr w14:paraId="7C4D7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637" w:type="dxa"/>
            <w:tcBorders>
              <w:left w:val="single" w:color="000000" w:sz="6" w:space="0"/>
              <w:bottom w:val="single" w:color="000000" w:sz="6" w:space="0"/>
            </w:tcBorders>
            <w:vAlign w:val="top"/>
          </w:tcPr>
          <w:p w14:paraId="210DBFC9">
            <w:pPr>
              <w:rPr>
                <w:rFonts w:ascii="Arial"/>
                <w:color w:val="auto"/>
                <w:sz w:val="21"/>
                <w:highlight w:val="none"/>
              </w:rPr>
            </w:pPr>
          </w:p>
        </w:tc>
        <w:tc>
          <w:tcPr>
            <w:tcW w:w="1778" w:type="dxa"/>
            <w:tcBorders>
              <w:bottom w:val="single" w:color="000000" w:sz="6" w:space="0"/>
            </w:tcBorders>
            <w:vAlign w:val="top"/>
          </w:tcPr>
          <w:p w14:paraId="35A1E474">
            <w:pPr>
              <w:rPr>
                <w:rFonts w:ascii="Arial"/>
                <w:color w:val="auto"/>
                <w:sz w:val="21"/>
                <w:highlight w:val="none"/>
              </w:rPr>
            </w:pPr>
          </w:p>
        </w:tc>
        <w:tc>
          <w:tcPr>
            <w:tcW w:w="1230" w:type="dxa"/>
            <w:tcBorders>
              <w:bottom w:val="single" w:color="000000" w:sz="6" w:space="0"/>
            </w:tcBorders>
            <w:vAlign w:val="top"/>
          </w:tcPr>
          <w:p w14:paraId="28B61B6B">
            <w:pPr>
              <w:rPr>
                <w:rFonts w:ascii="Arial"/>
                <w:color w:val="auto"/>
                <w:sz w:val="21"/>
                <w:highlight w:val="none"/>
              </w:rPr>
            </w:pPr>
          </w:p>
        </w:tc>
        <w:tc>
          <w:tcPr>
            <w:tcW w:w="803" w:type="dxa"/>
            <w:tcBorders>
              <w:bottom w:val="single" w:color="000000" w:sz="6" w:space="0"/>
            </w:tcBorders>
            <w:vAlign w:val="top"/>
          </w:tcPr>
          <w:p w14:paraId="45F76237">
            <w:pPr>
              <w:rPr>
                <w:rFonts w:ascii="Arial"/>
                <w:color w:val="auto"/>
                <w:sz w:val="21"/>
                <w:highlight w:val="none"/>
              </w:rPr>
            </w:pPr>
          </w:p>
        </w:tc>
        <w:tc>
          <w:tcPr>
            <w:tcW w:w="1119" w:type="dxa"/>
            <w:tcBorders>
              <w:bottom w:val="single" w:color="000000" w:sz="6" w:space="0"/>
            </w:tcBorders>
            <w:vAlign w:val="top"/>
          </w:tcPr>
          <w:p w14:paraId="47EFDF7B">
            <w:pPr>
              <w:rPr>
                <w:rFonts w:ascii="Arial"/>
                <w:color w:val="auto"/>
                <w:sz w:val="21"/>
                <w:highlight w:val="none"/>
              </w:rPr>
            </w:pPr>
          </w:p>
        </w:tc>
        <w:tc>
          <w:tcPr>
            <w:tcW w:w="1104" w:type="dxa"/>
            <w:tcBorders>
              <w:bottom w:val="single" w:color="000000" w:sz="6" w:space="0"/>
            </w:tcBorders>
            <w:vAlign w:val="top"/>
          </w:tcPr>
          <w:p w14:paraId="4249AE1F">
            <w:pPr>
              <w:rPr>
                <w:rFonts w:ascii="Arial"/>
                <w:color w:val="auto"/>
                <w:sz w:val="21"/>
                <w:highlight w:val="none"/>
              </w:rPr>
            </w:pPr>
          </w:p>
        </w:tc>
        <w:tc>
          <w:tcPr>
            <w:tcW w:w="1560" w:type="dxa"/>
            <w:tcBorders>
              <w:bottom w:val="single" w:color="000000" w:sz="6" w:space="0"/>
            </w:tcBorders>
            <w:vAlign w:val="top"/>
          </w:tcPr>
          <w:p w14:paraId="6600C378">
            <w:pPr>
              <w:rPr>
                <w:rFonts w:ascii="Arial"/>
                <w:color w:val="auto"/>
                <w:sz w:val="21"/>
                <w:highlight w:val="none"/>
              </w:rPr>
            </w:pPr>
          </w:p>
        </w:tc>
        <w:tc>
          <w:tcPr>
            <w:tcW w:w="676" w:type="dxa"/>
            <w:tcBorders>
              <w:bottom w:val="single" w:color="000000" w:sz="6" w:space="0"/>
              <w:right w:val="single" w:color="000000" w:sz="6" w:space="0"/>
            </w:tcBorders>
            <w:vAlign w:val="top"/>
          </w:tcPr>
          <w:p w14:paraId="6AADE2AF">
            <w:pPr>
              <w:rPr>
                <w:rFonts w:ascii="Arial"/>
                <w:color w:val="auto"/>
                <w:sz w:val="21"/>
                <w:highlight w:val="none"/>
              </w:rPr>
            </w:pPr>
          </w:p>
        </w:tc>
      </w:tr>
    </w:tbl>
    <w:p w14:paraId="6871046E">
      <w:pPr>
        <w:pStyle w:val="8"/>
        <w:spacing w:line="243" w:lineRule="auto"/>
        <w:rPr>
          <w:color w:val="auto"/>
          <w:highlight w:val="none"/>
        </w:rPr>
      </w:pPr>
    </w:p>
    <w:p w14:paraId="4A5505B7">
      <w:pPr>
        <w:pStyle w:val="8"/>
        <w:spacing w:line="244" w:lineRule="auto"/>
        <w:rPr>
          <w:color w:val="auto"/>
          <w:highlight w:val="none"/>
        </w:rPr>
      </w:pPr>
    </w:p>
    <w:p w14:paraId="70690647">
      <w:pPr>
        <w:spacing w:before="88" w:line="226" w:lineRule="auto"/>
        <w:ind w:left="10"/>
        <w:outlineLvl w:val="2"/>
        <w:rPr>
          <w:rFonts w:ascii="宋体" w:hAnsi="宋体" w:eastAsia="宋体" w:cs="宋体"/>
          <w:color w:val="auto"/>
          <w:sz w:val="27"/>
          <w:szCs w:val="27"/>
          <w:highlight w:val="none"/>
        </w:rPr>
      </w:pPr>
      <w:bookmarkStart w:id="110" w:name="bookmark78"/>
      <w:bookmarkEnd w:id="110"/>
      <w:bookmarkStart w:id="111" w:name="_Toc5197"/>
      <w:r>
        <w:rPr>
          <w:rFonts w:ascii="Times New Roman" w:hAnsi="Times New Roman" w:eastAsia="Times New Roman" w:cs="Times New Roman"/>
          <w:b/>
          <w:bCs/>
          <w:color w:val="auto"/>
          <w:spacing w:val="6"/>
          <w:sz w:val="27"/>
          <w:szCs w:val="27"/>
          <w:highlight w:val="none"/>
        </w:rPr>
        <w:t xml:space="preserve">6  </w:t>
      </w:r>
      <w:r>
        <w:rPr>
          <w:rFonts w:ascii="宋体" w:hAnsi="宋体" w:eastAsia="宋体" w:cs="宋体"/>
          <w:b/>
          <w:bCs/>
          <w:color w:val="auto"/>
          <w:spacing w:val="6"/>
          <w:sz w:val="27"/>
          <w:szCs w:val="27"/>
          <w:highlight w:val="none"/>
        </w:rPr>
        <w:t>施工设备和临时设施</w:t>
      </w:r>
      <w:bookmarkEnd w:id="111"/>
    </w:p>
    <w:p w14:paraId="248145C8">
      <w:pPr>
        <w:pStyle w:val="8"/>
        <w:spacing w:line="247" w:lineRule="auto"/>
        <w:rPr>
          <w:color w:val="auto"/>
          <w:highlight w:val="none"/>
        </w:rPr>
      </w:pPr>
    </w:p>
    <w:p w14:paraId="19A83E61">
      <w:pPr>
        <w:spacing w:before="78" w:line="227"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6.2  </w:t>
      </w:r>
      <w:r>
        <w:rPr>
          <w:rFonts w:ascii="楷体" w:hAnsi="楷体" w:eastAsia="楷体" w:cs="楷体"/>
          <w:b/>
          <w:bCs/>
          <w:color w:val="auto"/>
          <w:spacing w:val="-2"/>
          <w:sz w:val="24"/>
          <w:szCs w:val="24"/>
          <w:highlight w:val="none"/>
        </w:rPr>
        <w:t>发包人提供的施工设备和临时设施</w:t>
      </w:r>
    </w:p>
    <w:p w14:paraId="6A84D4DB">
      <w:pPr>
        <w:spacing w:before="172" w:line="219" w:lineRule="auto"/>
        <w:ind w:left="495"/>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）发包人提供的施工设备见下表：</w:t>
      </w:r>
    </w:p>
    <w:p w14:paraId="77C1E41C">
      <w:pPr>
        <w:spacing w:before="176" w:line="219" w:lineRule="auto"/>
        <w:ind w:left="2831"/>
        <w:rPr>
          <w:rFonts w:ascii="宋体" w:hAnsi="宋体" w:eastAsia="宋体" w:cs="宋体"/>
          <w:strike/>
          <w:dstrike w:val="0"/>
          <w:color w:val="auto"/>
          <w:sz w:val="21"/>
          <w:szCs w:val="21"/>
          <w:highlight w:val="none"/>
        </w:rPr>
      </w:pPr>
      <w:r>
        <w:rPr>
          <w:rFonts w:ascii="宋体" w:hAnsi="宋体" w:eastAsia="宋体" w:cs="宋体"/>
          <w:b/>
          <w:bCs/>
          <w:strike/>
          <w:dstrike w:val="0"/>
          <w:color w:val="auto"/>
          <w:spacing w:val="-3"/>
          <w:sz w:val="21"/>
          <w:szCs w:val="21"/>
          <w:highlight w:val="none"/>
        </w:rPr>
        <w:t>发包人提供的施工设备表（参考格式）</w:t>
      </w:r>
    </w:p>
    <w:p w14:paraId="0DA163F1">
      <w:pPr>
        <w:spacing w:line="130" w:lineRule="exact"/>
        <w:rPr>
          <w:strike/>
          <w:dstrike w:val="0"/>
          <w:color w:val="auto"/>
          <w:highlight w:val="none"/>
        </w:rPr>
      </w:pPr>
    </w:p>
    <w:tbl>
      <w:tblPr>
        <w:tblStyle w:val="16"/>
        <w:tblW w:w="89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3"/>
        <w:gridCol w:w="1535"/>
        <w:gridCol w:w="1326"/>
        <w:gridCol w:w="1216"/>
        <w:gridCol w:w="707"/>
        <w:gridCol w:w="1104"/>
        <w:gridCol w:w="1560"/>
        <w:gridCol w:w="676"/>
      </w:tblGrid>
      <w:tr w14:paraId="21D88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83" w:type="dxa"/>
            <w:tcBorders>
              <w:top w:val="single" w:color="000000" w:sz="6" w:space="0"/>
              <w:left w:val="single" w:color="000000" w:sz="6" w:space="0"/>
            </w:tcBorders>
            <w:vAlign w:val="top"/>
          </w:tcPr>
          <w:p w14:paraId="6D7C1063">
            <w:pPr>
              <w:pStyle w:val="17"/>
              <w:spacing w:before="126" w:line="221" w:lineRule="auto"/>
              <w:ind w:left="179"/>
              <w:rPr>
                <w:strike/>
                <w:dstrike w:val="0"/>
                <w:color w:val="auto"/>
                <w:sz w:val="21"/>
                <w:szCs w:val="21"/>
                <w:highlight w:val="none"/>
              </w:rPr>
            </w:pPr>
            <w:r>
              <w:rPr>
                <w:strike/>
                <w:dstrike w:val="0"/>
                <w:color w:val="auto"/>
                <w:spacing w:val="-2"/>
                <w:sz w:val="21"/>
                <w:szCs w:val="21"/>
                <w:highlight w:val="none"/>
              </w:rPr>
              <w:t>序号</w:t>
            </w:r>
          </w:p>
        </w:tc>
        <w:tc>
          <w:tcPr>
            <w:tcW w:w="1535" w:type="dxa"/>
            <w:tcBorders>
              <w:top w:val="single" w:color="000000" w:sz="6" w:space="0"/>
            </w:tcBorders>
            <w:vAlign w:val="top"/>
          </w:tcPr>
          <w:p w14:paraId="041EE1EC">
            <w:pPr>
              <w:pStyle w:val="17"/>
              <w:spacing w:before="126" w:line="221" w:lineRule="auto"/>
              <w:ind w:left="138"/>
              <w:rPr>
                <w:strike/>
                <w:dstrike w:val="0"/>
                <w:color w:val="auto"/>
                <w:sz w:val="21"/>
                <w:szCs w:val="21"/>
                <w:highlight w:val="none"/>
              </w:rPr>
            </w:pPr>
            <w:r>
              <w:rPr>
                <w:strike/>
                <w:dstrike w:val="0"/>
                <w:color w:val="auto"/>
                <w:spacing w:val="-2"/>
                <w:sz w:val="21"/>
                <w:szCs w:val="21"/>
                <w:highlight w:val="none"/>
              </w:rPr>
              <w:t>施工设备名称</w:t>
            </w:r>
          </w:p>
        </w:tc>
        <w:tc>
          <w:tcPr>
            <w:tcW w:w="1326" w:type="dxa"/>
            <w:tcBorders>
              <w:top w:val="single" w:color="000000" w:sz="6" w:space="0"/>
            </w:tcBorders>
            <w:vAlign w:val="top"/>
          </w:tcPr>
          <w:p w14:paraId="08B52327">
            <w:pPr>
              <w:pStyle w:val="17"/>
              <w:spacing w:before="125" w:line="220" w:lineRule="auto"/>
              <w:ind w:left="147"/>
              <w:rPr>
                <w:strike/>
                <w:dstrike w:val="0"/>
                <w:color w:val="auto"/>
                <w:sz w:val="21"/>
                <w:szCs w:val="21"/>
                <w:highlight w:val="none"/>
              </w:rPr>
            </w:pPr>
            <w:r>
              <w:rPr>
                <w:strike/>
                <w:dstrike w:val="0"/>
                <w:color w:val="auto"/>
                <w:spacing w:val="-3"/>
                <w:sz w:val="21"/>
                <w:szCs w:val="21"/>
                <w:highlight w:val="none"/>
              </w:rPr>
              <w:t>型号及规格</w:t>
            </w:r>
          </w:p>
        </w:tc>
        <w:tc>
          <w:tcPr>
            <w:tcW w:w="1216" w:type="dxa"/>
            <w:tcBorders>
              <w:top w:val="single" w:color="000000" w:sz="6" w:space="0"/>
            </w:tcBorders>
            <w:vAlign w:val="top"/>
          </w:tcPr>
          <w:p w14:paraId="0C705EE6">
            <w:pPr>
              <w:pStyle w:val="17"/>
              <w:spacing w:before="125" w:line="220" w:lineRule="auto"/>
              <w:ind w:left="197"/>
              <w:rPr>
                <w:strike/>
                <w:dstrike w:val="0"/>
                <w:color w:val="auto"/>
                <w:sz w:val="21"/>
                <w:szCs w:val="21"/>
                <w:highlight w:val="none"/>
              </w:rPr>
            </w:pPr>
            <w:r>
              <w:rPr>
                <w:strike/>
                <w:dstrike w:val="0"/>
                <w:color w:val="auto"/>
                <w:spacing w:val="-3"/>
                <w:sz w:val="21"/>
                <w:szCs w:val="21"/>
                <w:highlight w:val="none"/>
              </w:rPr>
              <w:t>设备状况</w:t>
            </w:r>
          </w:p>
        </w:tc>
        <w:tc>
          <w:tcPr>
            <w:tcW w:w="707" w:type="dxa"/>
            <w:tcBorders>
              <w:top w:val="single" w:color="000000" w:sz="6" w:space="0"/>
            </w:tcBorders>
            <w:vAlign w:val="top"/>
          </w:tcPr>
          <w:p w14:paraId="27C08423">
            <w:pPr>
              <w:pStyle w:val="17"/>
              <w:spacing w:before="125" w:line="220" w:lineRule="auto"/>
              <w:ind w:left="151"/>
              <w:rPr>
                <w:strike/>
                <w:dstrike w:val="0"/>
                <w:color w:val="auto"/>
                <w:sz w:val="21"/>
                <w:szCs w:val="21"/>
                <w:highlight w:val="none"/>
              </w:rPr>
            </w:pPr>
            <w:r>
              <w:rPr>
                <w:strike/>
                <w:dstrike w:val="0"/>
                <w:color w:val="auto"/>
                <w:spacing w:val="-3"/>
                <w:sz w:val="21"/>
                <w:szCs w:val="21"/>
                <w:highlight w:val="none"/>
              </w:rPr>
              <w:t>数量</w:t>
            </w:r>
          </w:p>
        </w:tc>
        <w:tc>
          <w:tcPr>
            <w:tcW w:w="1104" w:type="dxa"/>
            <w:tcBorders>
              <w:top w:val="single" w:color="000000" w:sz="6" w:space="0"/>
            </w:tcBorders>
            <w:vAlign w:val="top"/>
          </w:tcPr>
          <w:p w14:paraId="5B21BEB8">
            <w:pPr>
              <w:pStyle w:val="17"/>
              <w:spacing w:before="126" w:line="221" w:lineRule="auto"/>
              <w:ind w:left="141"/>
              <w:rPr>
                <w:strike/>
                <w:dstrike w:val="0"/>
                <w:color w:val="auto"/>
                <w:sz w:val="21"/>
                <w:szCs w:val="21"/>
                <w:highlight w:val="none"/>
              </w:rPr>
            </w:pPr>
            <w:r>
              <w:rPr>
                <w:strike/>
                <w:dstrike w:val="0"/>
                <w:color w:val="auto"/>
                <w:spacing w:val="-2"/>
                <w:sz w:val="21"/>
                <w:szCs w:val="21"/>
                <w:highlight w:val="none"/>
              </w:rPr>
              <w:t>移交地点</w:t>
            </w:r>
          </w:p>
        </w:tc>
        <w:tc>
          <w:tcPr>
            <w:tcW w:w="1560" w:type="dxa"/>
            <w:tcBorders>
              <w:top w:val="single" w:color="000000" w:sz="6" w:space="0"/>
            </w:tcBorders>
            <w:vAlign w:val="top"/>
          </w:tcPr>
          <w:p w14:paraId="42F291AF">
            <w:pPr>
              <w:pStyle w:val="17"/>
              <w:spacing w:before="126" w:line="220" w:lineRule="auto"/>
              <w:ind w:left="161"/>
              <w:rPr>
                <w:strike/>
                <w:dstrike w:val="0"/>
                <w:color w:val="auto"/>
                <w:sz w:val="21"/>
                <w:szCs w:val="21"/>
                <w:highlight w:val="none"/>
              </w:rPr>
            </w:pPr>
            <w:r>
              <w:rPr>
                <w:strike/>
                <w:dstrike w:val="0"/>
                <w:color w:val="auto"/>
                <w:spacing w:val="-2"/>
                <w:sz w:val="21"/>
                <w:szCs w:val="21"/>
                <w:highlight w:val="none"/>
              </w:rPr>
              <w:t>计划移交日期</w:t>
            </w:r>
          </w:p>
        </w:tc>
        <w:tc>
          <w:tcPr>
            <w:tcW w:w="676" w:type="dxa"/>
            <w:tcBorders>
              <w:top w:val="single" w:color="000000" w:sz="6" w:space="0"/>
              <w:right w:val="single" w:color="000000" w:sz="6" w:space="0"/>
            </w:tcBorders>
            <w:vAlign w:val="top"/>
          </w:tcPr>
          <w:p w14:paraId="08E91FD7">
            <w:pPr>
              <w:pStyle w:val="17"/>
              <w:spacing w:before="126" w:line="221" w:lineRule="auto"/>
              <w:ind w:left="138"/>
              <w:rPr>
                <w:strike/>
                <w:dstrike w:val="0"/>
                <w:color w:val="auto"/>
                <w:sz w:val="21"/>
                <w:szCs w:val="21"/>
                <w:highlight w:val="none"/>
              </w:rPr>
            </w:pPr>
            <w:r>
              <w:rPr>
                <w:strike/>
                <w:dstrike w:val="0"/>
                <w:color w:val="auto"/>
                <w:spacing w:val="-3"/>
                <w:sz w:val="21"/>
                <w:szCs w:val="21"/>
                <w:highlight w:val="none"/>
              </w:rPr>
              <w:t>备注</w:t>
            </w:r>
          </w:p>
        </w:tc>
      </w:tr>
      <w:tr w14:paraId="311CE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83" w:type="dxa"/>
            <w:tcBorders>
              <w:left w:val="single" w:color="000000" w:sz="6" w:space="0"/>
            </w:tcBorders>
            <w:vAlign w:val="top"/>
          </w:tcPr>
          <w:p w14:paraId="0CB711CC">
            <w:pPr>
              <w:rPr>
                <w:rFonts w:ascii="Arial"/>
                <w:strike/>
                <w:dstrike w:val="0"/>
                <w:color w:val="auto"/>
                <w:sz w:val="21"/>
                <w:highlight w:val="none"/>
              </w:rPr>
            </w:pPr>
          </w:p>
        </w:tc>
        <w:tc>
          <w:tcPr>
            <w:tcW w:w="1535" w:type="dxa"/>
            <w:vAlign w:val="top"/>
          </w:tcPr>
          <w:p w14:paraId="3EDB7E52">
            <w:pPr>
              <w:rPr>
                <w:rFonts w:ascii="Arial"/>
                <w:strike/>
                <w:dstrike w:val="0"/>
                <w:color w:val="auto"/>
                <w:sz w:val="21"/>
                <w:highlight w:val="none"/>
              </w:rPr>
            </w:pPr>
          </w:p>
        </w:tc>
        <w:tc>
          <w:tcPr>
            <w:tcW w:w="1326" w:type="dxa"/>
            <w:vAlign w:val="top"/>
          </w:tcPr>
          <w:p w14:paraId="2F096E55">
            <w:pPr>
              <w:rPr>
                <w:rFonts w:ascii="Arial"/>
                <w:strike/>
                <w:dstrike w:val="0"/>
                <w:color w:val="auto"/>
                <w:sz w:val="21"/>
                <w:highlight w:val="none"/>
              </w:rPr>
            </w:pPr>
          </w:p>
        </w:tc>
        <w:tc>
          <w:tcPr>
            <w:tcW w:w="1216" w:type="dxa"/>
            <w:vAlign w:val="top"/>
          </w:tcPr>
          <w:p w14:paraId="24F74D83">
            <w:pPr>
              <w:rPr>
                <w:rFonts w:ascii="Arial"/>
                <w:strike/>
                <w:dstrike w:val="0"/>
                <w:color w:val="auto"/>
                <w:sz w:val="21"/>
                <w:highlight w:val="none"/>
              </w:rPr>
            </w:pPr>
          </w:p>
        </w:tc>
        <w:tc>
          <w:tcPr>
            <w:tcW w:w="707" w:type="dxa"/>
            <w:vAlign w:val="top"/>
          </w:tcPr>
          <w:p w14:paraId="7A3FB6E5">
            <w:pPr>
              <w:rPr>
                <w:rFonts w:ascii="Arial"/>
                <w:strike/>
                <w:dstrike w:val="0"/>
                <w:color w:val="auto"/>
                <w:sz w:val="21"/>
                <w:highlight w:val="none"/>
              </w:rPr>
            </w:pPr>
          </w:p>
        </w:tc>
        <w:tc>
          <w:tcPr>
            <w:tcW w:w="1104" w:type="dxa"/>
            <w:vAlign w:val="top"/>
          </w:tcPr>
          <w:p w14:paraId="7C283FD6">
            <w:pPr>
              <w:rPr>
                <w:rFonts w:ascii="Arial"/>
                <w:strike/>
                <w:dstrike w:val="0"/>
                <w:color w:val="auto"/>
                <w:sz w:val="21"/>
                <w:highlight w:val="none"/>
              </w:rPr>
            </w:pPr>
          </w:p>
        </w:tc>
        <w:tc>
          <w:tcPr>
            <w:tcW w:w="1560" w:type="dxa"/>
            <w:vAlign w:val="top"/>
          </w:tcPr>
          <w:p w14:paraId="19870962">
            <w:pPr>
              <w:rPr>
                <w:rFonts w:ascii="Arial"/>
                <w:strike/>
                <w:dstrike w:val="0"/>
                <w:color w:val="auto"/>
                <w:sz w:val="21"/>
                <w:highlight w:val="none"/>
              </w:rPr>
            </w:pPr>
          </w:p>
        </w:tc>
        <w:tc>
          <w:tcPr>
            <w:tcW w:w="676" w:type="dxa"/>
            <w:tcBorders>
              <w:right w:val="single" w:color="000000" w:sz="6" w:space="0"/>
            </w:tcBorders>
            <w:vAlign w:val="top"/>
          </w:tcPr>
          <w:p w14:paraId="3925B2AF">
            <w:pPr>
              <w:rPr>
                <w:rFonts w:ascii="Arial"/>
                <w:strike/>
                <w:dstrike w:val="0"/>
                <w:color w:val="auto"/>
                <w:sz w:val="21"/>
                <w:highlight w:val="none"/>
              </w:rPr>
            </w:pPr>
          </w:p>
        </w:tc>
      </w:tr>
      <w:tr w14:paraId="6E2629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783" w:type="dxa"/>
            <w:tcBorders>
              <w:left w:val="single" w:color="000000" w:sz="6" w:space="0"/>
            </w:tcBorders>
            <w:vAlign w:val="top"/>
          </w:tcPr>
          <w:p w14:paraId="036084BE">
            <w:pPr>
              <w:rPr>
                <w:rFonts w:ascii="Arial"/>
                <w:strike/>
                <w:dstrike w:val="0"/>
                <w:color w:val="auto"/>
                <w:sz w:val="21"/>
                <w:highlight w:val="none"/>
              </w:rPr>
            </w:pPr>
          </w:p>
        </w:tc>
        <w:tc>
          <w:tcPr>
            <w:tcW w:w="1535" w:type="dxa"/>
            <w:vAlign w:val="top"/>
          </w:tcPr>
          <w:p w14:paraId="1CE89643">
            <w:pPr>
              <w:rPr>
                <w:rFonts w:ascii="Arial"/>
                <w:strike/>
                <w:dstrike w:val="0"/>
                <w:color w:val="auto"/>
                <w:sz w:val="21"/>
                <w:highlight w:val="none"/>
              </w:rPr>
            </w:pPr>
          </w:p>
        </w:tc>
        <w:tc>
          <w:tcPr>
            <w:tcW w:w="1326" w:type="dxa"/>
            <w:vAlign w:val="top"/>
          </w:tcPr>
          <w:p w14:paraId="704F8C31">
            <w:pPr>
              <w:rPr>
                <w:rFonts w:ascii="Arial"/>
                <w:strike/>
                <w:dstrike w:val="0"/>
                <w:color w:val="auto"/>
                <w:sz w:val="21"/>
                <w:highlight w:val="none"/>
              </w:rPr>
            </w:pPr>
          </w:p>
        </w:tc>
        <w:tc>
          <w:tcPr>
            <w:tcW w:w="1216" w:type="dxa"/>
            <w:vAlign w:val="top"/>
          </w:tcPr>
          <w:p w14:paraId="0776C9B9">
            <w:pPr>
              <w:rPr>
                <w:rFonts w:ascii="Arial"/>
                <w:strike/>
                <w:dstrike w:val="0"/>
                <w:color w:val="auto"/>
                <w:sz w:val="21"/>
                <w:highlight w:val="none"/>
              </w:rPr>
            </w:pPr>
          </w:p>
        </w:tc>
        <w:tc>
          <w:tcPr>
            <w:tcW w:w="707" w:type="dxa"/>
            <w:vAlign w:val="top"/>
          </w:tcPr>
          <w:p w14:paraId="2BDD4263">
            <w:pPr>
              <w:rPr>
                <w:rFonts w:ascii="Arial"/>
                <w:strike/>
                <w:dstrike w:val="0"/>
                <w:color w:val="auto"/>
                <w:sz w:val="21"/>
                <w:highlight w:val="none"/>
              </w:rPr>
            </w:pPr>
          </w:p>
        </w:tc>
        <w:tc>
          <w:tcPr>
            <w:tcW w:w="1104" w:type="dxa"/>
            <w:vAlign w:val="top"/>
          </w:tcPr>
          <w:p w14:paraId="05539AB6">
            <w:pPr>
              <w:rPr>
                <w:rFonts w:ascii="Arial"/>
                <w:strike/>
                <w:dstrike w:val="0"/>
                <w:color w:val="auto"/>
                <w:sz w:val="21"/>
                <w:highlight w:val="none"/>
              </w:rPr>
            </w:pPr>
          </w:p>
        </w:tc>
        <w:tc>
          <w:tcPr>
            <w:tcW w:w="1560" w:type="dxa"/>
            <w:vAlign w:val="top"/>
          </w:tcPr>
          <w:p w14:paraId="5C4E48A1">
            <w:pPr>
              <w:rPr>
                <w:rFonts w:ascii="Arial"/>
                <w:strike/>
                <w:dstrike w:val="0"/>
                <w:color w:val="auto"/>
                <w:sz w:val="21"/>
                <w:highlight w:val="none"/>
              </w:rPr>
            </w:pPr>
          </w:p>
        </w:tc>
        <w:tc>
          <w:tcPr>
            <w:tcW w:w="676" w:type="dxa"/>
            <w:tcBorders>
              <w:right w:val="single" w:color="000000" w:sz="6" w:space="0"/>
            </w:tcBorders>
            <w:vAlign w:val="top"/>
          </w:tcPr>
          <w:p w14:paraId="28479E24">
            <w:pPr>
              <w:rPr>
                <w:rFonts w:ascii="Arial"/>
                <w:strike/>
                <w:dstrike w:val="0"/>
                <w:color w:val="auto"/>
                <w:sz w:val="21"/>
                <w:highlight w:val="none"/>
              </w:rPr>
            </w:pPr>
          </w:p>
        </w:tc>
      </w:tr>
      <w:tr w14:paraId="2027C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83" w:type="dxa"/>
            <w:tcBorders>
              <w:left w:val="single" w:color="000000" w:sz="6" w:space="0"/>
              <w:bottom w:val="single" w:color="000000" w:sz="6" w:space="0"/>
            </w:tcBorders>
            <w:vAlign w:val="top"/>
          </w:tcPr>
          <w:p w14:paraId="414D6381">
            <w:pPr>
              <w:rPr>
                <w:rFonts w:ascii="Arial"/>
                <w:strike/>
                <w:dstrike w:val="0"/>
                <w:color w:val="auto"/>
                <w:sz w:val="21"/>
                <w:highlight w:val="none"/>
              </w:rPr>
            </w:pPr>
          </w:p>
        </w:tc>
        <w:tc>
          <w:tcPr>
            <w:tcW w:w="1535" w:type="dxa"/>
            <w:tcBorders>
              <w:bottom w:val="single" w:color="000000" w:sz="6" w:space="0"/>
            </w:tcBorders>
            <w:vAlign w:val="top"/>
          </w:tcPr>
          <w:p w14:paraId="369F1930">
            <w:pPr>
              <w:rPr>
                <w:rFonts w:ascii="Arial"/>
                <w:strike/>
                <w:dstrike w:val="0"/>
                <w:color w:val="auto"/>
                <w:sz w:val="21"/>
                <w:highlight w:val="none"/>
              </w:rPr>
            </w:pPr>
          </w:p>
        </w:tc>
        <w:tc>
          <w:tcPr>
            <w:tcW w:w="1326" w:type="dxa"/>
            <w:tcBorders>
              <w:bottom w:val="single" w:color="000000" w:sz="6" w:space="0"/>
            </w:tcBorders>
            <w:vAlign w:val="top"/>
          </w:tcPr>
          <w:p w14:paraId="3B0670EC">
            <w:pPr>
              <w:rPr>
                <w:rFonts w:ascii="Arial"/>
                <w:strike/>
                <w:dstrike w:val="0"/>
                <w:color w:val="auto"/>
                <w:sz w:val="21"/>
                <w:highlight w:val="none"/>
              </w:rPr>
            </w:pPr>
          </w:p>
        </w:tc>
        <w:tc>
          <w:tcPr>
            <w:tcW w:w="1216" w:type="dxa"/>
            <w:tcBorders>
              <w:bottom w:val="single" w:color="000000" w:sz="6" w:space="0"/>
            </w:tcBorders>
            <w:vAlign w:val="top"/>
          </w:tcPr>
          <w:p w14:paraId="0CC4971E">
            <w:pPr>
              <w:rPr>
                <w:rFonts w:ascii="Arial"/>
                <w:strike/>
                <w:dstrike w:val="0"/>
                <w:color w:val="auto"/>
                <w:sz w:val="21"/>
                <w:highlight w:val="none"/>
              </w:rPr>
            </w:pPr>
          </w:p>
        </w:tc>
        <w:tc>
          <w:tcPr>
            <w:tcW w:w="707" w:type="dxa"/>
            <w:tcBorders>
              <w:bottom w:val="single" w:color="000000" w:sz="6" w:space="0"/>
            </w:tcBorders>
            <w:vAlign w:val="top"/>
          </w:tcPr>
          <w:p w14:paraId="7AF09783">
            <w:pPr>
              <w:rPr>
                <w:rFonts w:ascii="Arial"/>
                <w:strike/>
                <w:dstrike w:val="0"/>
                <w:color w:val="auto"/>
                <w:sz w:val="21"/>
                <w:highlight w:val="none"/>
              </w:rPr>
            </w:pPr>
          </w:p>
        </w:tc>
        <w:tc>
          <w:tcPr>
            <w:tcW w:w="1104" w:type="dxa"/>
            <w:tcBorders>
              <w:bottom w:val="single" w:color="000000" w:sz="6" w:space="0"/>
            </w:tcBorders>
            <w:vAlign w:val="top"/>
          </w:tcPr>
          <w:p w14:paraId="2003030B">
            <w:pPr>
              <w:rPr>
                <w:rFonts w:ascii="Arial"/>
                <w:strike/>
                <w:dstrike w:val="0"/>
                <w:color w:val="auto"/>
                <w:sz w:val="21"/>
                <w:highlight w:val="none"/>
              </w:rPr>
            </w:pPr>
          </w:p>
        </w:tc>
        <w:tc>
          <w:tcPr>
            <w:tcW w:w="1560" w:type="dxa"/>
            <w:tcBorders>
              <w:bottom w:val="single" w:color="000000" w:sz="6" w:space="0"/>
            </w:tcBorders>
            <w:vAlign w:val="top"/>
          </w:tcPr>
          <w:p w14:paraId="43FF0DCC">
            <w:pPr>
              <w:rPr>
                <w:rFonts w:ascii="Arial"/>
                <w:strike/>
                <w:dstrike w:val="0"/>
                <w:color w:val="auto"/>
                <w:sz w:val="21"/>
                <w:highlight w:val="none"/>
              </w:rPr>
            </w:pPr>
          </w:p>
        </w:tc>
        <w:tc>
          <w:tcPr>
            <w:tcW w:w="676" w:type="dxa"/>
            <w:tcBorders>
              <w:bottom w:val="single" w:color="000000" w:sz="6" w:space="0"/>
              <w:right w:val="single" w:color="000000" w:sz="6" w:space="0"/>
            </w:tcBorders>
            <w:vAlign w:val="top"/>
          </w:tcPr>
          <w:p w14:paraId="7153FDD9">
            <w:pPr>
              <w:rPr>
                <w:rFonts w:ascii="Arial"/>
                <w:strike/>
                <w:dstrike w:val="0"/>
                <w:color w:val="auto"/>
                <w:sz w:val="21"/>
                <w:highlight w:val="none"/>
              </w:rPr>
            </w:pPr>
          </w:p>
        </w:tc>
      </w:tr>
    </w:tbl>
    <w:p w14:paraId="2709A26E">
      <w:pPr>
        <w:spacing w:before="31" w:line="220" w:lineRule="auto"/>
        <w:ind w:right="28"/>
        <w:jc w:val="right"/>
        <w:rPr>
          <w:rFonts w:ascii="宋体" w:hAnsi="宋体" w:eastAsia="宋体" w:cs="宋体"/>
          <w:strike/>
          <w:dstrike w:val="0"/>
          <w:color w:val="auto"/>
          <w:sz w:val="21"/>
          <w:szCs w:val="21"/>
          <w:highlight w:val="none"/>
        </w:rPr>
      </w:pPr>
      <w:r>
        <w:rPr>
          <w:rFonts w:ascii="宋体" w:hAnsi="宋体" w:eastAsia="宋体" w:cs="宋体"/>
          <w:strike/>
          <w:dstrike w:val="0"/>
          <w:color w:val="auto"/>
          <w:spacing w:val="2"/>
          <w:sz w:val="21"/>
          <w:szCs w:val="21"/>
          <w:highlight w:val="none"/>
        </w:rPr>
        <w:t>注：设备状况栏内填写该设备的新旧程度、购进时间</w:t>
      </w:r>
      <w:r>
        <w:rPr>
          <w:rFonts w:ascii="宋体" w:hAnsi="宋体" w:eastAsia="宋体" w:cs="宋体"/>
          <w:strike/>
          <w:dstrike w:val="0"/>
          <w:color w:val="auto"/>
          <w:spacing w:val="1"/>
          <w:sz w:val="21"/>
          <w:szCs w:val="21"/>
          <w:highlight w:val="none"/>
        </w:rPr>
        <w:t>、已使用小时数和最近一次大修时间。</w:t>
      </w:r>
    </w:p>
    <w:p w14:paraId="026E960B">
      <w:pPr>
        <w:pStyle w:val="8"/>
        <w:spacing w:line="325" w:lineRule="auto"/>
        <w:rPr>
          <w:color w:val="auto"/>
          <w:highlight w:val="none"/>
        </w:rPr>
      </w:pPr>
    </w:p>
    <w:p w14:paraId="27550823">
      <w:pPr>
        <w:keepNext w:val="0"/>
        <w:keepLines w:val="0"/>
        <w:pageBreakBefore w:val="0"/>
        <w:widowControl/>
        <w:kinsoku w:val="0"/>
        <w:wordWrap/>
        <w:overflowPunct/>
        <w:topLinePunct w:val="0"/>
        <w:autoSpaceDE w:val="0"/>
        <w:autoSpaceDN w:val="0"/>
        <w:bidi w:val="0"/>
        <w:adjustRightInd w:val="0"/>
        <w:snapToGrid w:val="0"/>
        <w:spacing w:before="79" w:line="420" w:lineRule="atLeast"/>
        <w:ind w:left="493"/>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）发包人提供的临时设施：</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z w:val="24"/>
          <w:szCs w:val="24"/>
          <w:highlight w:val="none"/>
          <w:u w:val="single" w:color="auto"/>
          <w:lang w:val="zh-CN"/>
        </w:rPr>
        <w:t>承包人按发包人指定的区域，修建临时设施，安置临时设备，发包人指定的区域以外的临时占地承包人负责办理手续并承担费用。临时占地由承包人负责复原</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p>
    <w:p w14:paraId="21104FE9">
      <w:pPr>
        <w:spacing w:before="309" w:line="226" w:lineRule="auto"/>
        <w:ind w:left="9"/>
        <w:outlineLvl w:val="2"/>
        <w:rPr>
          <w:rFonts w:ascii="宋体" w:hAnsi="宋体" w:eastAsia="宋体" w:cs="宋体"/>
          <w:color w:val="auto"/>
          <w:sz w:val="27"/>
          <w:szCs w:val="27"/>
          <w:highlight w:val="none"/>
        </w:rPr>
      </w:pPr>
      <w:bookmarkStart w:id="112" w:name="bookmark79"/>
      <w:bookmarkEnd w:id="112"/>
      <w:bookmarkStart w:id="113" w:name="_Toc2334"/>
      <w:r>
        <w:rPr>
          <w:rFonts w:ascii="Times New Roman" w:hAnsi="Times New Roman" w:eastAsia="Times New Roman" w:cs="Times New Roman"/>
          <w:b/>
          <w:bCs/>
          <w:color w:val="auto"/>
          <w:spacing w:val="1"/>
          <w:sz w:val="27"/>
          <w:szCs w:val="27"/>
          <w:highlight w:val="none"/>
        </w:rPr>
        <w:t>7</w:t>
      </w:r>
      <w:r>
        <w:rPr>
          <w:rFonts w:ascii="Times New Roman" w:hAnsi="Times New Roman" w:eastAsia="Times New Roman" w:cs="Times New Roman"/>
          <w:b/>
          <w:bCs/>
          <w:color w:val="auto"/>
          <w:spacing w:val="12"/>
          <w:sz w:val="27"/>
          <w:szCs w:val="27"/>
          <w:highlight w:val="none"/>
        </w:rPr>
        <w:t xml:space="preserve">  </w:t>
      </w:r>
      <w:r>
        <w:rPr>
          <w:rFonts w:ascii="宋体" w:hAnsi="宋体" w:eastAsia="宋体" w:cs="宋体"/>
          <w:b/>
          <w:bCs/>
          <w:color w:val="auto"/>
          <w:spacing w:val="1"/>
          <w:sz w:val="27"/>
          <w:szCs w:val="27"/>
          <w:highlight w:val="none"/>
        </w:rPr>
        <w:t>交通运输</w:t>
      </w:r>
      <w:bookmarkEnd w:id="113"/>
    </w:p>
    <w:p w14:paraId="78F86F99">
      <w:pPr>
        <w:pStyle w:val="8"/>
        <w:spacing w:line="248" w:lineRule="auto"/>
        <w:rPr>
          <w:color w:val="auto"/>
          <w:highlight w:val="none"/>
        </w:rPr>
      </w:pPr>
    </w:p>
    <w:p w14:paraId="6F90001B">
      <w:pPr>
        <w:keepNext w:val="0"/>
        <w:keepLines w:val="0"/>
        <w:pageBreakBefore w:val="0"/>
        <w:widowControl/>
        <w:kinsoku w:val="0"/>
        <w:wordWrap/>
        <w:overflowPunct/>
        <w:topLinePunct w:val="0"/>
        <w:autoSpaceDE w:val="0"/>
        <w:autoSpaceDN w:val="0"/>
        <w:bidi w:val="0"/>
        <w:adjustRightInd w:val="0"/>
        <w:snapToGrid w:val="0"/>
        <w:spacing w:before="79" w:line="360" w:lineRule="auto"/>
        <w:ind w:left="8"/>
        <w:textAlignment w:val="baseline"/>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7.1  </w:t>
      </w:r>
      <w:r>
        <w:rPr>
          <w:rFonts w:ascii="楷体" w:hAnsi="楷体" w:eastAsia="楷体" w:cs="楷体"/>
          <w:b/>
          <w:bCs/>
          <w:color w:val="auto"/>
          <w:spacing w:val="-2"/>
          <w:sz w:val="24"/>
          <w:szCs w:val="24"/>
          <w:highlight w:val="none"/>
        </w:rPr>
        <w:t>道路通行权和场外设施</w:t>
      </w:r>
    </w:p>
    <w:p w14:paraId="75DDB8FD">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firstLine="720" w:firstLineChars="300"/>
        <w:textAlignment w:val="baseline"/>
        <w:rPr>
          <w:rFonts w:ascii="宋体" w:hAnsi="宋体" w:eastAsia="宋体" w:cs="宋体"/>
          <w:color w:val="auto"/>
          <w:spacing w:val="-1"/>
          <w:sz w:val="24"/>
          <w:szCs w:val="24"/>
          <w:highlight w:val="none"/>
        </w:rPr>
      </w:pPr>
      <w:r>
        <w:rPr>
          <w:rFonts w:ascii="宋体" w:hAnsi="宋体" w:eastAsia="宋体" w:cs="宋体"/>
          <w:color w:val="auto"/>
          <w:sz w:val="24"/>
          <w:szCs w:val="24"/>
          <w:highlight w:val="none"/>
        </w:rPr>
        <w:t>道路通行权和场外设施的约定：</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eastAsia="zh-CN"/>
        </w:rPr>
        <w:t>均由承包人自行负责处理，发包人不再以任何形式予以补偿，如因承包人施工原因引起的市政公用设施、周边居民私产、渔业等赔偿由承包人负责处理</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7B5B3E3">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承包人应允许发包人、监理人及发包人安排的其他相关人员无偿使用由承包人修建和维护的临时道路、桥梁等设施。承包人应允许与发包人签订有承包合同的其他承包人或其工作人员使用由承包人修建和维护的临时道路、桥梁等设施；如其他承包人或其工作人员在使用中对临时设施有损坏时，承包人可通过发包人或监理人提出由其他承包人给予修复或赔偿的要求。</w:t>
      </w:r>
    </w:p>
    <w:p w14:paraId="68DB810D">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firstLine="684" w:firstLineChars="300"/>
        <w:textAlignment w:val="baseline"/>
        <w:rPr>
          <w:rFonts w:hint="eastAsia" w:ascii="Times New Roman" w:hAnsi="Times New Roman" w:eastAsia="宋体" w:cs="Times New Roman"/>
          <w:color w:val="auto"/>
          <w:spacing w:val="-6"/>
          <w:position w:val="17"/>
          <w:sz w:val="24"/>
          <w:szCs w:val="24"/>
          <w:highlight w:val="none"/>
          <w:lang w:eastAsia="zh-CN"/>
        </w:rPr>
      </w:pPr>
      <w:r>
        <w:rPr>
          <w:rFonts w:hint="eastAsia" w:ascii="Times New Roman" w:hAnsi="Times New Roman" w:eastAsia="宋体" w:cs="Times New Roman"/>
          <w:color w:val="auto"/>
          <w:spacing w:val="-6"/>
          <w:position w:val="17"/>
          <w:sz w:val="24"/>
          <w:szCs w:val="24"/>
          <w:highlight w:val="none"/>
          <w:lang w:eastAsia="zh-CN"/>
        </w:rPr>
        <w:t>场内临时道路要求全部铺设塘渣，完工后挖除并恢复平整场地，投标报价时应综合考虑。承包人应注意日常养护，养护发生的费用由承包人自行承担。</w:t>
      </w:r>
    </w:p>
    <w:p w14:paraId="4B0E2A7F">
      <w:pPr>
        <w:spacing w:before="308" w:line="227" w:lineRule="auto"/>
        <w:ind w:left="9"/>
        <w:outlineLvl w:val="2"/>
        <w:rPr>
          <w:rFonts w:ascii="宋体" w:hAnsi="宋体" w:eastAsia="宋体" w:cs="宋体"/>
          <w:color w:val="auto"/>
          <w:sz w:val="27"/>
          <w:szCs w:val="27"/>
          <w:highlight w:val="none"/>
        </w:rPr>
      </w:pPr>
      <w:bookmarkStart w:id="114" w:name="bookmark80"/>
      <w:bookmarkEnd w:id="114"/>
      <w:bookmarkStart w:id="115" w:name="_Toc20090"/>
      <w:r>
        <w:rPr>
          <w:rFonts w:ascii="Times New Roman" w:hAnsi="Times New Roman" w:eastAsia="Times New Roman" w:cs="Times New Roman"/>
          <w:b/>
          <w:bCs/>
          <w:color w:val="auto"/>
          <w:spacing w:val="2"/>
          <w:sz w:val="27"/>
          <w:szCs w:val="27"/>
          <w:highlight w:val="none"/>
        </w:rPr>
        <w:t>8</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2"/>
          <w:sz w:val="27"/>
          <w:szCs w:val="27"/>
          <w:highlight w:val="none"/>
        </w:rPr>
        <w:t>测量放线</w:t>
      </w:r>
      <w:bookmarkEnd w:id="115"/>
    </w:p>
    <w:p w14:paraId="328F882B">
      <w:pPr>
        <w:pStyle w:val="8"/>
        <w:spacing w:line="246" w:lineRule="auto"/>
        <w:rPr>
          <w:color w:val="auto"/>
          <w:highlight w:val="none"/>
        </w:rPr>
      </w:pPr>
    </w:p>
    <w:p w14:paraId="6E4C406C">
      <w:pPr>
        <w:keepNext w:val="0"/>
        <w:keepLines w:val="0"/>
        <w:pageBreakBefore w:val="0"/>
        <w:widowControl/>
        <w:kinsoku w:val="0"/>
        <w:wordWrap/>
        <w:overflowPunct/>
        <w:topLinePunct w:val="0"/>
        <w:autoSpaceDE w:val="0"/>
        <w:autoSpaceDN w:val="0"/>
        <w:bidi w:val="0"/>
        <w:adjustRightInd w:val="0"/>
        <w:snapToGrid w:val="0"/>
        <w:spacing w:before="78" w:line="360" w:lineRule="auto"/>
        <w:textAlignment w:val="baseline"/>
        <w:rPr>
          <w:rFonts w:ascii="楷体" w:hAnsi="楷体" w:eastAsia="楷体" w:cs="楷体"/>
          <w:b/>
          <w:bCs/>
          <w:color w:val="auto"/>
          <w:spacing w:val="-2"/>
          <w:sz w:val="24"/>
          <w:szCs w:val="24"/>
          <w:highlight w:val="none"/>
        </w:rPr>
      </w:pPr>
      <w:r>
        <w:rPr>
          <w:rFonts w:ascii="楷体" w:hAnsi="楷体" w:eastAsia="楷体" w:cs="楷体"/>
          <w:b/>
          <w:bCs/>
          <w:color w:val="auto"/>
          <w:spacing w:val="-2"/>
          <w:sz w:val="24"/>
          <w:szCs w:val="24"/>
          <w:highlight w:val="none"/>
        </w:rPr>
        <w:t>8.1  施工控制网</w:t>
      </w:r>
    </w:p>
    <w:p w14:paraId="17E6D020">
      <w:pPr>
        <w:keepNext w:val="0"/>
        <w:keepLines w:val="0"/>
        <w:pageBreakBefore w:val="0"/>
        <w:widowControl/>
        <w:kinsoku w:val="0"/>
        <w:wordWrap/>
        <w:overflowPunct/>
        <w:topLinePunct w:val="0"/>
        <w:autoSpaceDE w:val="0"/>
        <w:autoSpaceDN w:val="0"/>
        <w:bidi w:val="0"/>
        <w:adjustRightInd w:val="0"/>
        <w:snapToGrid w:val="0"/>
        <w:spacing w:before="174" w:line="360" w:lineRule="auto"/>
        <w:ind w:left="482"/>
        <w:textAlignment w:val="baseline"/>
        <w:rPr>
          <w:rFonts w:ascii="宋体" w:hAnsi="宋体" w:eastAsia="宋体" w:cs="宋体"/>
          <w:color w:val="auto"/>
          <w:spacing w:val="-2"/>
          <w:sz w:val="24"/>
          <w:szCs w:val="24"/>
          <w:highlight w:val="none"/>
        </w:rPr>
      </w:pPr>
      <w:r>
        <w:rPr>
          <w:rFonts w:ascii="Times New Roman" w:hAnsi="Times New Roman" w:eastAsia="Times New Roman" w:cs="Times New Roman"/>
          <w:b/>
          <w:bCs/>
          <w:color w:val="auto"/>
          <w:spacing w:val="-2"/>
          <w:sz w:val="24"/>
          <w:szCs w:val="24"/>
          <w:highlight w:val="none"/>
        </w:rPr>
        <w:t xml:space="preserve">8.1.1  </w:t>
      </w:r>
      <w:r>
        <w:rPr>
          <w:rFonts w:ascii="宋体" w:hAnsi="宋体" w:eastAsia="宋体" w:cs="宋体"/>
          <w:color w:val="auto"/>
          <w:spacing w:val="-2"/>
          <w:sz w:val="24"/>
          <w:szCs w:val="24"/>
          <w:highlight w:val="none"/>
        </w:rPr>
        <w:t>施工控制网的约定</w:t>
      </w:r>
      <w:r>
        <w:rPr>
          <w:rFonts w:hint="eastAsia" w:ascii="宋体" w:hAnsi="宋体" w:eastAsia="宋体" w:cs="宋体"/>
          <w:color w:val="auto"/>
          <w:sz w:val="24"/>
          <w:szCs w:val="24"/>
          <w:highlight w:val="none"/>
          <w:u w:val="single" w:color="auto"/>
          <w:lang w:eastAsia="zh-CN"/>
        </w:rPr>
        <w:t>： 发包人应在开工日期前 7 天内，发包人通过监理人向承包人提供测量基准点布置图、基准线和水准点及其书面资料。承包人在接到测量基准点布置图后14天内完成施工控制网布设，并将施工控制网资料报送监理人审批。</w:t>
      </w:r>
    </w:p>
    <w:p w14:paraId="088E7F2C">
      <w:pPr>
        <w:pStyle w:val="8"/>
        <w:spacing w:line="247" w:lineRule="auto"/>
        <w:rPr>
          <w:color w:val="auto"/>
          <w:highlight w:val="none"/>
        </w:rPr>
      </w:pPr>
    </w:p>
    <w:p w14:paraId="6AEBBAE7">
      <w:pPr>
        <w:spacing w:before="88" w:line="227" w:lineRule="auto"/>
        <w:ind w:left="1"/>
        <w:outlineLvl w:val="2"/>
        <w:rPr>
          <w:rFonts w:ascii="宋体" w:hAnsi="宋体" w:eastAsia="宋体" w:cs="宋体"/>
          <w:color w:val="auto"/>
          <w:sz w:val="27"/>
          <w:szCs w:val="27"/>
          <w:highlight w:val="none"/>
        </w:rPr>
      </w:pPr>
      <w:bookmarkStart w:id="116" w:name="bookmark81"/>
      <w:bookmarkEnd w:id="116"/>
      <w:bookmarkStart w:id="117" w:name="bookmark412"/>
      <w:bookmarkEnd w:id="117"/>
      <w:bookmarkStart w:id="118" w:name="_Toc2478"/>
      <w:r>
        <w:rPr>
          <w:rFonts w:ascii="Times New Roman" w:hAnsi="Times New Roman" w:eastAsia="Times New Roman" w:cs="Times New Roman"/>
          <w:b/>
          <w:bCs/>
          <w:color w:val="auto"/>
          <w:spacing w:val="6"/>
          <w:sz w:val="27"/>
          <w:szCs w:val="27"/>
          <w:highlight w:val="none"/>
        </w:rPr>
        <w:t xml:space="preserve">9  </w:t>
      </w:r>
      <w:r>
        <w:rPr>
          <w:rFonts w:ascii="宋体" w:hAnsi="宋体" w:eastAsia="宋体" w:cs="宋体"/>
          <w:b/>
          <w:bCs/>
          <w:color w:val="auto"/>
          <w:spacing w:val="6"/>
          <w:sz w:val="27"/>
          <w:szCs w:val="27"/>
          <w:highlight w:val="none"/>
        </w:rPr>
        <w:t>施工安全、治安保卫和环境保护</w:t>
      </w:r>
      <w:bookmarkEnd w:id="118"/>
    </w:p>
    <w:p w14:paraId="6CB7A91A">
      <w:pPr>
        <w:pStyle w:val="8"/>
        <w:spacing w:line="246" w:lineRule="auto"/>
        <w:rPr>
          <w:color w:val="auto"/>
          <w:highlight w:val="none"/>
        </w:rPr>
      </w:pPr>
    </w:p>
    <w:p w14:paraId="2D3EB79E">
      <w:pPr>
        <w:spacing w:before="78" w:line="225"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9.1  </w:t>
      </w:r>
      <w:r>
        <w:rPr>
          <w:rFonts w:ascii="楷体" w:hAnsi="楷体" w:eastAsia="楷体" w:cs="楷体"/>
          <w:b/>
          <w:bCs/>
          <w:color w:val="auto"/>
          <w:spacing w:val="-2"/>
          <w:sz w:val="24"/>
          <w:szCs w:val="24"/>
          <w:highlight w:val="none"/>
        </w:rPr>
        <w:t>发包人的施工安全责任</w:t>
      </w:r>
    </w:p>
    <w:p w14:paraId="2C0EFC6F">
      <w:pPr>
        <w:spacing w:before="174" w:line="219"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9.1.4  </w:t>
      </w:r>
      <w:r>
        <w:rPr>
          <w:rFonts w:ascii="宋体" w:hAnsi="宋体" w:eastAsia="宋体" w:cs="宋体"/>
          <w:color w:val="auto"/>
          <w:spacing w:val="-2"/>
          <w:sz w:val="24"/>
          <w:szCs w:val="24"/>
          <w:highlight w:val="none"/>
        </w:rPr>
        <w:t>发包人提供</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90"/>
          <w:sz w:val="24"/>
          <w:szCs w:val="24"/>
          <w:highlight w:val="none"/>
        </w:rPr>
        <w:t xml:space="preserve"> </w:t>
      </w:r>
      <w:r>
        <w:rPr>
          <w:rFonts w:ascii="宋体" w:hAnsi="宋体" w:eastAsia="宋体" w:cs="宋体"/>
          <w:color w:val="auto"/>
          <w:spacing w:val="-2"/>
          <w:sz w:val="24"/>
          <w:szCs w:val="24"/>
          <w:highlight w:val="none"/>
        </w:rPr>
        <w:t>资料，其余资料由承包人负责收集。</w:t>
      </w:r>
    </w:p>
    <w:p w14:paraId="6D38F32A">
      <w:pPr>
        <w:spacing w:before="181" w:line="225"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9.2  </w:t>
      </w:r>
      <w:r>
        <w:rPr>
          <w:rFonts w:ascii="楷体" w:hAnsi="楷体" w:eastAsia="楷体" w:cs="楷体"/>
          <w:b/>
          <w:bCs/>
          <w:color w:val="auto"/>
          <w:spacing w:val="-2"/>
          <w:sz w:val="24"/>
          <w:szCs w:val="24"/>
          <w:highlight w:val="none"/>
        </w:rPr>
        <w:t>承包人的施工安全责任</w:t>
      </w:r>
    </w:p>
    <w:p w14:paraId="609F9B1A">
      <w:pPr>
        <w:spacing w:before="175" w:line="359" w:lineRule="auto"/>
        <w:ind w:left="2" w:right="47" w:firstLine="479"/>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9.2.12  </w:t>
      </w:r>
      <w:r>
        <w:rPr>
          <w:rFonts w:ascii="宋体" w:hAnsi="宋体" w:eastAsia="宋体" w:cs="宋体"/>
          <w:color w:val="auto"/>
          <w:spacing w:val="-2"/>
          <w:sz w:val="24"/>
          <w:szCs w:val="24"/>
          <w:highlight w:val="none"/>
        </w:rPr>
        <w:t>下列工程应编制专项施工方案</w:t>
      </w:r>
      <w:r>
        <w:rPr>
          <w:rFonts w:ascii="宋体" w:hAnsi="宋体" w:eastAsia="宋体" w:cs="宋体"/>
          <w:color w:val="auto"/>
          <w:spacing w:val="-17"/>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按监理要求</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7"/>
          <w:sz w:val="24"/>
          <w:szCs w:val="24"/>
          <w:highlight w:val="none"/>
        </w:rPr>
        <w:t>，</w:t>
      </w:r>
      <w:r>
        <w:rPr>
          <w:rFonts w:ascii="宋体" w:hAnsi="宋体" w:eastAsia="宋体" w:cs="宋体"/>
          <w:color w:val="auto"/>
          <w:spacing w:val="-2"/>
          <w:sz w:val="24"/>
          <w:szCs w:val="24"/>
          <w:highlight w:val="none"/>
        </w:rPr>
        <w:t>其中</w:t>
      </w:r>
      <w:r>
        <w:rPr>
          <w:rFonts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val="en-US" w:eastAsia="zh-CN"/>
        </w:rPr>
        <w:t>/</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3"/>
          <w:sz w:val="24"/>
          <w:szCs w:val="24"/>
          <w:highlight w:val="none"/>
        </w:rPr>
        <w:t>应组织</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专家论证和审查。</w:t>
      </w:r>
    </w:p>
    <w:p w14:paraId="2BDF4441">
      <w:pPr>
        <w:spacing w:line="232"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9.7</w:t>
      </w:r>
      <w:r>
        <w:rPr>
          <w:rFonts w:ascii="Times New Roman" w:hAnsi="Times New Roman" w:eastAsia="Times New Roman" w:cs="Times New Roman"/>
          <w:b/>
          <w:bCs/>
          <w:color w:val="auto"/>
          <w:spacing w:val="8"/>
          <w:sz w:val="24"/>
          <w:szCs w:val="24"/>
          <w:highlight w:val="none"/>
        </w:rPr>
        <w:t xml:space="preserve">  </w:t>
      </w:r>
      <w:r>
        <w:rPr>
          <w:rFonts w:ascii="楷体" w:hAnsi="楷体" w:eastAsia="楷体" w:cs="楷体"/>
          <w:b/>
          <w:bCs/>
          <w:color w:val="auto"/>
          <w:spacing w:val="-4"/>
          <w:sz w:val="24"/>
          <w:szCs w:val="24"/>
          <w:highlight w:val="none"/>
        </w:rPr>
        <w:t>文明工地</w:t>
      </w:r>
    </w:p>
    <w:p w14:paraId="1542CE03">
      <w:pPr>
        <w:keepNext w:val="0"/>
        <w:keepLines w:val="0"/>
        <w:pageBreakBefore w:val="0"/>
        <w:widowControl/>
        <w:kinsoku w:val="0"/>
        <w:wordWrap/>
        <w:overflowPunct/>
        <w:topLinePunct w:val="0"/>
        <w:autoSpaceDE w:val="0"/>
        <w:autoSpaceDN w:val="0"/>
        <w:bidi w:val="0"/>
        <w:adjustRightInd w:val="0"/>
        <w:snapToGrid w:val="0"/>
        <w:spacing w:line="420" w:lineRule="exact"/>
        <w:ind w:left="0" w:firstLine="714" w:firstLineChars="300"/>
        <w:jc w:val="both"/>
        <w:textAlignment w:val="baseline"/>
        <w:outlineLvl w:val="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本合同文明工地的约定：</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u w:val="single"/>
        </w:rPr>
        <w:t>1.本项目涉及柴油动力移动源的，该移动源应当符合低排放要求；承包人应按相关部门要求做好扬尘防范工作，项目实施过程中，涉及使用柴油动力移动源的，该移动源应当符合低排放要求。根据《绍兴市柴油动力移动源排气污染防治办法》第九条、第十三条的规定，承包人在合同实施过程中使用的柴油动力移动源（柴油货车、非道路移动机械）必须符合低排放要求并已向生态环境部门申领绿色编码，在进入作业现场前须如实向发包人登记报备绿色编码，未申领绿色编码的柴油动力移动源不得进入作业现场施工。在作业现场发现有未申领绿色编码的柴油动力移动源或者未如实进行绿色编码报备的，认定承包人违约，按照合同违约条款承担相应违约责任；2、承包人工程渣土、废弃泥浆等建筑垃圾需满足《绍兴市区建筑垃圾资源化利用专项规划（2020-2025）》相关要求。对本工程施工过程产生的建筑垃圾需要进行综合合理利用，对无法利用部分方可允许进行外运处置，建筑垃圾减量化资源化利用涉及费用已经在标底费用中综合考虑，不再另行计取。渣土运输许可证办理须在施工许可证办理完成后不晚于一个月内，并不迟于施工实际需土方清运时间。3、承包人应按照省、市有关建筑工程施工现场标准化管理规定及</w:t>
      </w:r>
      <w:r>
        <w:rPr>
          <w:rFonts w:hint="eastAsia" w:ascii="宋体" w:hAnsi="宋体" w:eastAsia="宋体" w:cs="宋体"/>
          <w:color w:val="auto"/>
          <w:spacing w:val="0"/>
          <w:w w:val="100"/>
          <w:position w:val="0"/>
          <w:sz w:val="24"/>
          <w:szCs w:val="24"/>
          <w:highlight w:val="none"/>
          <w:u w:val="single"/>
          <w:lang w:val="en-US" w:eastAsia="zh-CN"/>
        </w:rPr>
        <w:t>招标人</w:t>
      </w:r>
      <w:r>
        <w:rPr>
          <w:rFonts w:hint="eastAsia" w:ascii="宋体" w:hAnsi="宋体" w:eastAsia="宋体" w:cs="宋体"/>
          <w:color w:val="auto"/>
          <w:spacing w:val="0"/>
          <w:w w:val="100"/>
          <w:position w:val="0"/>
          <w:sz w:val="24"/>
          <w:szCs w:val="24"/>
          <w:highlight w:val="none"/>
          <w:u w:val="single"/>
        </w:rPr>
        <w:t>的相关要求组织施工，确保现场文明施工，为周边创造良好环境</w:t>
      </w:r>
      <w:r>
        <w:rPr>
          <w:rFonts w:hint="eastAsia" w:ascii="宋体" w:hAnsi="宋体" w:eastAsia="宋体" w:cs="宋体"/>
          <w:color w:val="auto"/>
          <w:spacing w:val="0"/>
          <w:w w:val="100"/>
          <w:position w:val="0"/>
          <w:sz w:val="24"/>
          <w:szCs w:val="24"/>
          <w:highlight w:val="none"/>
          <w:u w:val="single"/>
          <w:lang w:eastAsia="zh-CN"/>
        </w:rPr>
        <w:t>。</w:t>
      </w:r>
      <w:r>
        <w:rPr>
          <w:rFonts w:hint="eastAsia" w:ascii="宋体" w:hAnsi="宋体" w:eastAsia="宋体" w:cs="宋体"/>
          <w:color w:val="auto"/>
          <w:spacing w:val="0"/>
          <w:w w:val="100"/>
          <w:position w:val="0"/>
          <w:sz w:val="24"/>
          <w:szCs w:val="24"/>
          <w:highlight w:val="none"/>
          <w:u w:val="single"/>
        </w:rPr>
        <w:t>由于承包人原因造成了损失，承包人除承担违约责任外，同时将对发包人及其他参建单位由此造成的直接损失进行赔偿；4、承包人按</w:t>
      </w:r>
      <w:r>
        <w:rPr>
          <w:rFonts w:hint="eastAsia" w:ascii="宋体" w:hAnsi="宋体" w:eastAsia="宋体" w:cs="宋体"/>
          <w:color w:val="auto"/>
          <w:spacing w:val="0"/>
          <w:w w:val="100"/>
          <w:position w:val="0"/>
          <w:sz w:val="24"/>
          <w:szCs w:val="24"/>
          <w:highlight w:val="none"/>
          <w:u w:val="single"/>
          <w:lang w:val="en-US" w:eastAsia="zh-CN"/>
        </w:rPr>
        <w:t>招标人</w:t>
      </w:r>
      <w:r>
        <w:rPr>
          <w:rFonts w:hint="eastAsia" w:ascii="宋体" w:hAnsi="宋体" w:eastAsia="宋体" w:cs="宋体"/>
          <w:color w:val="auto"/>
          <w:spacing w:val="0"/>
          <w:w w:val="100"/>
          <w:position w:val="0"/>
          <w:sz w:val="24"/>
          <w:szCs w:val="24"/>
          <w:highlight w:val="none"/>
          <w:u w:val="single"/>
        </w:rPr>
        <w:t>文明施工的通行标准或其出台</w:t>
      </w:r>
      <w:r>
        <w:rPr>
          <w:rFonts w:hint="eastAsia" w:ascii="宋体" w:hAnsi="宋体" w:eastAsia="宋体" w:cs="宋体"/>
          <w:color w:val="auto"/>
          <w:spacing w:val="0"/>
          <w:w w:val="100"/>
          <w:position w:val="0"/>
          <w:sz w:val="24"/>
          <w:szCs w:val="24"/>
          <w:highlight w:val="none"/>
          <w:u w:val="single"/>
          <w:lang w:val="en-US" w:eastAsia="zh-CN"/>
        </w:rPr>
        <w:t>的</w:t>
      </w:r>
      <w:r>
        <w:rPr>
          <w:rFonts w:hint="eastAsia" w:ascii="宋体" w:hAnsi="宋体" w:eastAsia="宋体" w:cs="宋体"/>
          <w:color w:val="auto"/>
          <w:spacing w:val="0"/>
          <w:w w:val="100"/>
          <w:position w:val="0"/>
          <w:sz w:val="24"/>
          <w:szCs w:val="24"/>
          <w:highlight w:val="none"/>
          <w:u w:val="single"/>
        </w:rPr>
        <w:t>相关的指导文件做到文明施工，工完场清，保证施工场地清洁符合环境卫生管理的有关规定，承担因违反有关规定造成的损失，同时按每次5000元支付违约金</w:t>
      </w:r>
      <w:r>
        <w:rPr>
          <w:rFonts w:hint="eastAsia" w:ascii="宋体" w:hAnsi="宋体" w:eastAsia="宋体" w:cs="宋体"/>
          <w:color w:val="auto"/>
          <w:spacing w:val="0"/>
          <w:w w:val="100"/>
          <w:position w:val="0"/>
          <w:sz w:val="24"/>
          <w:szCs w:val="24"/>
          <w:highlight w:val="none"/>
          <w:u w:val="single"/>
          <w:lang w:eastAsia="zh-CN"/>
        </w:rPr>
        <w:t>；</w:t>
      </w:r>
      <w:r>
        <w:rPr>
          <w:rFonts w:hint="eastAsia" w:ascii="宋体" w:hAnsi="宋体" w:eastAsia="宋体" w:cs="宋体"/>
          <w:color w:val="auto"/>
          <w:spacing w:val="0"/>
          <w:w w:val="100"/>
          <w:position w:val="0"/>
          <w:sz w:val="24"/>
          <w:szCs w:val="24"/>
          <w:highlight w:val="none"/>
          <w:u w:val="single"/>
        </w:rPr>
        <w:t>5、在发包人或相关行业管理部门考核检查过程中如发现问题书面整改通知书下达后要求3天内整改完毕，整改不及时、不到位且情节严重，发包人发出书面通知，按该项目费用（以预算为依据）每次2%作为违约金，在工程款支付中直接扣除。</w:t>
      </w:r>
    </w:p>
    <w:p w14:paraId="1E978C52">
      <w:pPr>
        <w:spacing w:before="309" w:line="226" w:lineRule="auto"/>
        <w:ind w:left="11"/>
        <w:outlineLvl w:val="2"/>
        <w:rPr>
          <w:rFonts w:ascii="宋体" w:hAnsi="宋体" w:eastAsia="宋体" w:cs="宋体"/>
          <w:color w:val="auto"/>
          <w:sz w:val="27"/>
          <w:szCs w:val="27"/>
          <w:highlight w:val="none"/>
        </w:rPr>
      </w:pPr>
      <w:bookmarkStart w:id="119" w:name="bookmark82"/>
      <w:bookmarkEnd w:id="119"/>
      <w:bookmarkStart w:id="120" w:name="_Toc4654"/>
      <w:r>
        <w:rPr>
          <w:rFonts w:ascii="Times New Roman" w:hAnsi="Times New Roman" w:eastAsia="Times New Roman" w:cs="Times New Roman"/>
          <w:b/>
          <w:bCs/>
          <w:color w:val="auto"/>
          <w:spacing w:val="4"/>
          <w:sz w:val="27"/>
          <w:szCs w:val="27"/>
          <w:highlight w:val="none"/>
        </w:rPr>
        <w:t xml:space="preserve">11  </w:t>
      </w:r>
      <w:r>
        <w:rPr>
          <w:rFonts w:ascii="宋体" w:hAnsi="宋体" w:eastAsia="宋体" w:cs="宋体"/>
          <w:b/>
          <w:bCs/>
          <w:color w:val="auto"/>
          <w:spacing w:val="4"/>
          <w:sz w:val="27"/>
          <w:szCs w:val="27"/>
          <w:highlight w:val="none"/>
        </w:rPr>
        <w:t>开工和完工</w:t>
      </w:r>
      <w:bookmarkEnd w:id="120"/>
    </w:p>
    <w:p w14:paraId="659120AA">
      <w:pPr>
        <w:pStyle w:val="8"/>
        <w:spacing w:line="247" w:lineRule="auto"/>
        <w:rPr>
          <w:color w:val="auto"/>
          <w:highlight w:val="none"/>
        </w:rPr>
      </w:pPr>
    </w:p>
    <w:p w14:paraId="6B78B60E">
      <w:pPr>
        <w:spacing w:before="78" w:line="225"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11.4  </w:t>
      </w:r>
      <w:r>
        <w:rPr>
          <w:rFonts w:ascii="楷体" w:hAnsi="楷体" w:eastAsia="楷体" w:cs="楷体"/>
          <w:b/>
          <w:bCs/>
          <w:color w:val="auto"/>
          <w:spacing w:val="-2"/>
          <w:sz w:val="24"/>
          <w:szCs w:val="24"/>
          <w:highlight w:val="none"/>
        </w:rPr>
        <w:t>异常恶劣的气候条件</w:t>
      </w:r>
    </w:p>
    <w:p w14:paraId="1FB513B0">
      <w:pPr>
        <w:spacing w:before="175" w:line="219" w:lineRule="auto"/>
        <w:ind w:left="49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11.4.3  </w:t>
      </w:r>
      <w:r>
        <w:rPr>
          <w:rFonts w:ascii="宋体" w:hAnsi="宋体" w:eastAsia="宋体" w:cs="宋体"/>
          <w:color w:val="auto"/>
          <w:spacing w:val="-3"/>
          <w:sz w:val="24"/>
          <w:szCs w:val="24"/>
          <w:highlight w:val="none"/>
        </w:rPr>
        <w:t>本合同工程界定异常恶劣的气候条件的范围为：</w:t>
      </w:r>
    </w:p>
    <w:p w14:paraId="55E2798D">
      <w:pPr>
        <w:spacing w:before="182" w:line="220" w:lineRule="auto"/>
        <w:ind w:left="4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）日降雨量大于</w:t>
      </w:r>
      <w:r>
        <w:rPr>
          <w:rFonts w:ascii="宋体" w:hAnsi="宋体" w:eastAsia="宋体" w:cs="宋体"/>
          <w:color w:val="auto"/>
          <w:spacing w:val="-105"/>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100</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8"/>
          <w:sz w:val="24"/>
          <w:szCs w:val="24"/>
          <w:highlight w:val="none"/>
        </w:rPr>
        <w:t xml:space="preserve"> </w:t>
      </w:r>
      <w:r>
        <w:rPr>
          <w:rFonts w:ascii="Times New Roman" w:hAnsi="Times New Roman" w:eastAsia="Times New Roman" w:cs="Times New Roman"/>
          <w:color w:val="auto"/>
          <w:spacing w:val="-4"/>
          <w:sz w:val="24"/>
          <w:szCs w:val="24"/>
          <w:highlight w:val="none"/>
        </w:rPr>
        <w:t>mm</w:t>
      </w:r>
      <w:r>
        <w:rPr>
          <w:rFonts w:ascii="Times New Roman" w:hAnsi="Times New Roman" w:eastAsia="Times New Roman" w:cs="Times New Roman"/>
          <w:color w:val="auto"/>
          <w:spacing w:val="-31"/>
          <w:sz w:val="24"/>
          <w:szCs w:val="24"/>
          <w:highlight w:val="none"/>
        </w:rPr>
        <w:t xml:space="preserve"> </w:t>
      </w:r>
      <w:r>
        <w:rPr>
          <w:rFonts w:ascii="宋体" w:hAnsi="宋体" w:eastAsia="宋体" w:cs="宋体"/>
          <w:color w:val="auto"/>
          <w:spacing w:val="-4"/>
          <w:sz w:val="24"/>
          <w:szCs w:val="24"/>
          <w:highlight w:val="none"/>
        </w:rPr>
        <w:t>的雨日超过</w:t>
      </w:r>
      <w:r>
        <w:rPr>
          <w:rFonts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lang w:val="en-US" w:eastAsia="zh-CN"/>
        </w:rPr>
        <w:t>1</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4"/>
          <w:sz w:val="24"/>
          <w:szCs w:val="24"/>
          <w:highlight w:val="none"/>
        </w:rPr>
        <w:t>天。</w:t>
      </w:r>
    </w:p>
    <w:p w14:paraId="0F44F849">
      <w:pPr>
        <w:spacing w:before="181" w:line="220" w:lineRule="auto"/>
        <w:ind w:left="4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2</w:t>
      </w:r>
      <w:r>
        <w:rPr>
          <w:rFonts w:ascii="宋体" w:hAnsi="宋体" w:eastAsia="宋体" w:cs="宋体"/>
          <w:color w:val="auto"/>
          <w:spacing w:val="-4"/>
          <w:sz w:val="24"/>
          <w:szCs w:val="24"/>
          <w:highlight w:val="none"/>
        </w:rPr>
        <w:t>）风速大于</w:t>
      </w:r>
      <w:r>
        <w:rPr>
          <w:rFonts w:ascii="宋体" w:hAnsi="宋体" w:eastAsia="宋体" w:cs="宋体"/>
          <w:color w:val="auto"/>
          <w:spacing w:val="-89"/>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17</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8"/>
          <w:sz w:val="24"/>
          <w:szCs w:val="24"/>
          <w:highlight w:val="none"/>
        </w:rPr>
        <w:t xml:space="preserve"> </w:t>
      </w:r>
      <w:r>
        <w:rPr>
          <w:rFonts w:ascii="Times New Roman" w:hAnsi="Times New Roman" w:eastAsia="Times New Roman" w:cs="Times New Roman"/>
          <w:color w:val="auto"/>
          <w:spacing w:val="-4"/>
          <w:sz w:val="24"/>
          <w:szCs w:val="24"/>
          <w:highlight w:val="none"/>
        </w:rPr>
        <w:t>m/s</w:t>
      </w:r>
      <w:r>
        <w:rPr>
          <w:rFonts w:ascii="宋体" w:hAnsi="宋体" w:eastAsia="宋体" w:cs="宋体"/>
          <w:color w:val="auto"/>
          <w:spacing w:val="-4"/>
          <w:sz w:val="24"/>
          <w:szCs w:val="24"/>
          <w:highlight w:val="none"/>
        </w:rPr>
        <w:t>的</w:t>
      </w:r>
      <w:r>
        <w:rPr>
          <w:rFonts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lang w:val="en-US" w:eastAsia="zh-CN"/>
        </w:rPr>
        <w:t>9</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107"/>
          <w:sz w:val="24"/>
          <w:szCs w:val="24"/>
          <w:highlight w:val="none"/>
        </w:rPr>
        <w:t xml:space="preserve"> </w:t>
      </w:r>
      <w:r>
        <w:rPr>
          <w:rFonts w:ascii="宋体" w:hAnsi="宋体" w:eastAsia="宋体" w:cs="宋体"/>
          <w:color w:val="auto"/>
          <w:spacing w:val="-4"/>
          <w:sz w:val="24"/>
          <w:szCs w:val="24"/>
          <w:highlight w:val="none"/>
        </w:rPr>
        <w:t>级以上台风灾害。</w:t>
      </w:r>
    </w:p>
    <w:p w14:paraId="597759DE">
      <w:pPr>
        <w:spacing w:before="181" w:line="220" w:lineRule="auto"/>
        <w:ind w:left="4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）日最高气温超过</w:t>
      </w:r>
      <w:r>
        <w:rPr>
          <w:rFonts w:ascii="宋体" w:hAnsi="宋体" w:eastAsia="宋体" w:cs="宋体"/>
          <w:color w:val="auto"/>
          <w:spacing w:val="-105"/>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40</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3"/>
          <w:sz w:val="24"/>
          <w:szCs w:val="24"/>
          <w:highlight w:val="none"/>
        </w:rPr>
        <w:t xml:space="preserve"> </w:t>
      </w:r>
      <w:r>
        <w:rPr>
          <w:rFonts w:ascii="宋体" w:hAnsi="宋体" w:eastAsia="宋体" w:cs="宋体"/>
          <w:color w:val="auto"/>
          <w:spacing w:val="-4"/>
          <w:sz w:val="24"/>
          <w:szCs w:val="24"/>
          <w:highlight w:val="none"/>
        </w:rPr>
        <w:t>℃的高温大于</w:t>
      </w:r>
      <w:r>
        <w:rPr>
          <w:rFonts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lang w:val="en-US" w:eastAsia="zh-CN"/>
        </w:rPr>
        <w:t>3</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4"/>
          <w:sz w:val="24"/>
          <w:szCs w:val="24"/>
          <w:highlight w:val="none"/>
        </w:rPr>
        <w:t>天。</w:t>
      </w:r>
    </w:p>
    <w:p w14:paraId="0BED2F78">
      <w:pPr>
        <w:spacing w:before="181" w:line="220" w:lineRule="auto"/>
        <w:ind w:left="4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4</w:t>
      </w:r>
      <w:r>
        <w:rPr>
          <w:rFonts w:ascii="宋体" w:hAnsi="宋体" w:eastAsia="宋体" w:cs="宋体"/>
          <w:color w:val="auto"/>
          <w:spacing w:val="-4"/>
          <w:sz w:val="24"/>
          <w:szCs w:val="24"/>
          <w:highlight w:val="none"/>
        </w:rPr>
        <w:t>）日最低气温低于</w:t>
      </w:r>
      <w:r>
        <w:rPr>
          <w:rFonts w:ascii="宋体" w:hAnsi="宋体" w:eastAsia="宋体" w:cs="宋体"/>
          <w:color w:val="auto"/>
          <w:spacing w:val="-105"/>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-5</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3"/>
          <w:sz w:val="24"/>
          <w:szCs w:val="24"/>
          <w:highlight w:val="none"/>
        </w:rPr>
        <w:t xml:space="preserve"> </w:t>
      </w:r>
      <w:r>
        <w:rPr>
          <w:rFonts w:ascii="宋体" w:hAnsi="宋体" w:eastAsia="宋体" w:cs="宋体"/>
          <w:color w:val="auto"/>
          <w:spacing w:val="-4"/>
          <w:sz w:val="24"/>
          <w:szCs w:val="24"/>
          <w:highlight w:val="none"/>
        </w:rPr>
        <w:t>℃的严寒大于</w:t>
      </w:r>
      <w:r>
        <w:rPr>
          <w:rFonts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lang w:val="en-US" w:eastAsia="zh-CN"/>
        </w:rPr>
        <w:t>3</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4"/>
          <w:sz w:val="24"/>
          <w:szCs w:val="24"/>
          <w:highlight w:val="none"/>
        </w:rPr>
        <w:t>天。</w:t>
      </w:r>
    </w:p>
    <w:p w14:paraId="2A58515E">
      <w:pPr>
        <w:spacing w:before="182" w:line="220"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）造成工程损失的冰雹和大雪灾害</w:t>
      </w:r>
      <w:r>
        <w:rPr>
          <w:rFonts w:ascii="宋体" w:hAnsi="宋体" w:eastAsia="宋体" w:cs="宋体"/>
          <w:color w:val="auto"/>
          <w:spacing w:val="-87"/>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Times New Roman" w:hAnsi="Times New Roman" w:eastAsia="宋体" w:cs="Times New Roman"/>
          <w:color w:val="auto"/>
          <w:spacing w:val="-3"/>
          <w:sz w:val="24"/>
          <w:szCs w:val="24"/>
          <w:highlight w:val="none"/>
          <w:u w:val="single"/>
          <w:lang w:eastAsia="zh-CN"/>
        </w:rPr>
        <w:t>冰雹天气或日降雪量超过 10mm 以上的天气大于 10 天</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59A5B27C">
      <w:pPr>
        <w:spacing w:line="420" w:lineRule="exact"/>
        <w:ind w:firstLine="464" w:firstLineChars="200"/>
        <w:rPr>
          <w:rFonts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6</w:t>
      </w:r>
      <w:r>
        <w:rPr>
          <w:rFonts w:ascii="宋体" w:hAnsi="宋体" w:eastAsia="宋体" w:cs="宋体"/>
          <w:color w:val="auto"/>
          <w:spacing w:val="-4"/>
          <w:sz w:val="24"/>
          <w:szCs w:val="24"/>
          <w:highlight w:val="none"/>
        </w:rPr>
        <w:t>）其它异常恶劣气候灾害。</w:t>
      </w:r>
    </w:p>
    <w:p w14:paraId="3DAE0770">
      <w:p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注：1）异常恶劣气候的时间，监理人将根据承包人的申请和提交的证明予以评定。恶劣气候在每个月对工程进度影响的评定，应在整个合同期内予以累计。</w:t>
      </w:r>
    </w:p>
    <w:p w14:paraId="7E29A94E">
      <w:pPr>
        <w:numPr>
          <w:ilvl w:val="0"/>
          <w:numId w:val="2"/>
        </w:num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若恶劣气候只是对局部工程有影响，承包人应采取合同措施予以弥补，而不能推迟工程的总工期。</w:t>
      </w:r>
    </w:p>
    <w:p w14:paraId="0A2DAA8E">
      <w:pPr>
        <w:numPr>
          <w:ilvl w:val="0"/>
          <w:numId w:val="2"/>
        </w:numPr>
        <w:spacing w:line="420" w:lineRule="exact"/>
        <w:ind w:firstLine="480" w:firstLineChars="200"/>
        <w:rPr>
          <w:rFonts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lang w:eastAsia="zh-CN"/>
        </w:rPr>
        <w:t>受本款所述的恶劣气候影响的分项工程，必须在工程施工进度网络计划的关键线路上，监理人方能考虑延长工程总工期。</w:t>
      </w:r>
    </w:p>
    <w:p w14:paraId="7CBDEDD5">
      <w:pPr>
        <w:numPr>
          <w:ilvl w:val="0"/>
          <w:numId w:val="2"/>
        </w:numPr>
        <w:spacing w:line="420" w:lineRule="exact"/>
        <w:ind w:firstLine="480" w:firstLineChars="200"/>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lang w:eastAsia="zh-CN"/>
        </w:rPr>
        <w:t>以上气象条件指工程所在地气象防汛部门发布的气象条件。</w:t>
      </w:r>
    </w:p>
    <w:p w14:paraId="1161275E">
      <w:pPr>
        <w:spacing w:before="181" w:line="225"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11.5  </w:t>
      </w:r>
      <w:r>
        <w:rPr>
          <w:rFonts w:ascii="楷体" w:hAnsi="楷体" w:eastAsia="楷体" w:cs="楷体"/>
          <w:b/>
          <w:bCs/>
          <w:color w:val="auto"/>
          <w:spacing w:val="-3"/>
          <w:sz w:val="24"/>
          <w:szCs w:val="24"/>
          <w:highlight w:val="none"/>
        </w:rPr>
        <w:t>承包人的工期延误</w:t>
      </w:r>
    </w:p>
    <w:p w14:paraId="774C3B52">
      <w:pPr>
        <w:spacing w:before="174" w:line="220" w:lineRule="auto"/>
        <w:ind w:left="4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）逾期完工违约金表。</w:t>
      </w:r>
    </w:p>
    <w:p w14:paraId="3660390E">
      <w:pPr>
        <w:spacing w:before="175" w:line="220" w:lineRule="auto"/>
        <w:ind w:left="3761"/>
        <w:rPr>
          <w:rFonts w:ascii="宋体" w:hAnsi="宋体" w:eastAsia="宋体" w:cs="宋体"/>
          <w:color w:val="auto"/>
          <w:sz w:val="21"/>
          <w:szCs w:val="21"/>
          <w:highlight w:val="none"/>
        </w:rPr>
      </w:pPr>
      <w:r>
        <w:rPr>
          <w:rFonts w:ascii="宋体" w:hAnsi="宋体" w:eastAsia="宋体" w:cs="宋体"/>
          <w:b/>
          <w:bCs/>
          <w:color w:val="auto"/>
          <w:spacing w:val="-3"/>
          <w:sz w:val="21"/>
          <w:szCs w:val="21"/>
          <w:highlight w:val="none"/>
        </w:rPr>
        <w:t>逾期完工违约金表</w:t>
      </w:r>
    </w:p>
    <w:p w14:paraId="275DE109">
      <w:pPr>
        <w:spacing w:line="128" w:lineRule="exact"/>
        <w:rPr>
          <w:color w:val="auto"/>
          <w:highlight w:val="none"/>
        </w:rPr>
      </w:pPr>
    </w:p>
    <w:tbl>
      <w:tblPr>
        <w:tblStyle w:val="16"/>
        <w:tblW w:w="8793"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2666"/>
        <w:gridCol w:w="2475"/>
        <w:gridCol w:w="2688"/>
      </w:tblGrid>
      <w:tr w14:paraId="25CB7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64" w:type="dxa"/>
            <w:tcBorders>
              <w:top w:val="single" w:color="000000" w:sz="6" w:space="0"/>
              <w:left w:val="single" w:color="000000" w:sz="6" w:space="0"/>
            </w:tcBorders>
            <w:vAlign w:val="top"/>
          </w:tcPr>
          <w:p w14:paraId="73BB9FB3">
            <w:pPr>
              <w:pStyle w:val="17"/>
              <w:spacing w:before="127" w:line="221" w:lineRule="auto"/>
              <w:ind w:left="269"/>
              <w:rPr>
                <w:color w:val="auto"/>
                <w:sz w:val="21"/>
                <w:szCs w:val="21"/>
                <w:highlight w:val="none"/>
              </w:rPr>
            </w:pPr>
            <w:r>
              <w:rPr>
                <w:color w:val="auto"/>
                <w:spacing w:val="-2"/>
                <w:sz w:val="21"/>
                <w:szCs w:val="21"/>
                <w:highlight w:val="none"/>
              </w:rPr>
              <w:t>序号</w:t>
            </w:r>
          </w:p>
        </w:tc>
        <w:tc>
          <w:tcPr>
            <w:tcW w:w="2666" w:type="dxa"/>
            <w:tcBorders>
              <w:top w:val="single" w:color="000000" w:sz="6" w:space="0"/>
            </w:tcBorders>
            <w:vAlign w:val="top"/>
          </w:tcPr>
          <w:p w14:paraId="77A7BB0A">
            <w:pPr>
              <w:pStyle w:val="17"/>
              <w:spacing w:before="126" w:line="220" w:lineRule="auto"/>
              <w:ind w:left="709"/>
              <w:rPr>
                <w:color w:val="auto"/>
                <w:sz w:val="21"/>
                <w:szCs w:val="21"/>
                <w:highlight w:val="none"/>
              </w:rPr>
            </w:pPr>
            <w:r>
              <w:rPr>
                <w:color w:val="auto"/>
                <w:spacing w:val="-2"/>
                <w:sz w:val="21"/>
                <w:szCs w:val="21"/>
                <w:highlight w:val="none"/>
              </w:rPr>
              <w:t>项目及其说明</w:t>
            </w:r>
          </w:p>
        </w:tc>
        <w:tc>
          <w:tcPr>
            <w:tcW w:w="2475" w:type="dxa"/>
            <w:tcBorders>
              <w:top w:val="single" w:color="000000" w:sz="6" w:space="0"/>
            </w:tcBorders>
            <w:vAlign w:val="top"/>
          </w:tcPr>
          <w:p w14:paraId="6D522179">
            <w:pPr>
              <w:pStyle w:val="17"/>
              <w:spacing w:before="126" w:line="220" w:lineRule="auto"/>
              <w:ind w:left="614"/>
              <w:rPr>
                <w:color w:val="auto"/>
                <w:sz w:val="21"/>
                <w:szCs w:val="21"/>
                <w:highlight w:val="none"/>
              </w:rPr>
            </w:pPr>
            <w:r>
              <w:rPr>
                <w:color w:val="auto"/>
                <w:spacing w:val="-2"/>
                <w:sz w:val="21"/>
                <w:szCs w:val="21"/>
                <w:highlight w:val="none"/>
              </w:rPr>
              <w:t>要求完工日期</w:t>
            </w:r>
          </w:p>
        </w:tc>
        <w:tc>
          <w:tcPr>
            <w:tcW w:w="2688" w:type="dxa"/>
            <w:tcBorders>
              <w:top w:val="single" w:color="000000" w:sz="6" w:space="0"/>
              <w:right w:val="single" w:color="000000" w:sz="6" w:space="0"/>
            </w:tcBorders>
            <w:vAlign w:val="top"/>
          </w:tcPr>
          <w:p w14:paraId="2E56D9A0">
            <w:pPr>
              <w:pStyle w:val="17"/>
              <w:spacing w:before="127" w:line="220" w:lineRule="auto"/>
              <w:ind w:left="585"/>
              <w:rPr>
                <w:color w:val="auto"/>
                <w:sz w:val="21"/>
                <w:szCs w:val="21"/>
                <w:highlight w:val="none"/>
              </w:rPr>
            </w:pPr>
            <w:r>
              <w:rPr>
                <w:color w:val="auto"/>
                <w:spacing w:val="-2"/>
                <w:sz w:val="21"/>
                <w:szCs w:val="21"/>
                <w:highlight w:val="none"/>
              </w:rPr>
              <w:t>违约金（元</w:t>
            </w:r>
            <w:r>
              <w:rPr>
                <w:rFonts w:ascii="Times New Roman" w:hAnsi="Times New Roman" w:eastAsia="Times New Roman" w:cs="Times New Roman"/>
                <w:color w:val="auto"/>
                <w:spacing w:val="-2"/>
                <w:sz w:val="21"/>
                <w:szCs w:val="21"/>
                <w:highlight w:val="none"/>
              </w:rPr>
              <w:t>/</w:t>
            </w:r>
            <w:r>
              <w:rPr>
                <w:color w:val="auto"/>
                <w:spacing w:val="-2"/>
                <w:sz w:val="21"/>
                <w:szCs w:val="21"/>
                <w:highlight w:val="none"/>
              </w:rPr>
              <w:t>天）</w:t>
            </w:r>
          </w:p>
        </w:tc>
      </w:tr>
      <w:tr w14:paraId="0FE4B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964" w:type="dxa"/>
            <w:tcBorders>
              <w:left w:val="single" w:color="000000" w:sz="6" w:space="0"/>
            </w:tcBorders>
            <w:vAlign w:val="center"/>
          </w:tcPr>
          <w:p w14:paraId="5DC4DE6F">
            <w:pPr>
              <w:pStyle w:val="20"/>
              <w:jc w:val="center"/>
              <w:rPr>
                <w:rFonts w:hint="eastAsia" w:asciiTheme="minorEastAsia" w:hAnsiTheme="minorEastAsia" w:eastAsiaTheme="minorEastAsia" w:cstheme="minorEastAsia"/>
                <w:snapToGrid w:val="0"/>
                <w:color w:val="auto"/>
                <w:sz w:val="24"/>
                <w:szCs w:val="24"/>
                <w:highlight w:val="none"/>
                <w:lang w:val="en-US" w:eastAsia="zh-CN"/>
              </w:rPr>
            </w:pPr>
            <w:r>
              <w:rPr>
                <w:rFonts w:hint="eastAsia" w:asciiTheme="minorEastAsia" w:hAnsiTheme="minorEastAsia" w:eastAsiaTheme="minorEastAsia" w:cstheme="minorEastAsia"/>
                <w:snapToGrid w:val="0"/>
                <w:color w:val="auto"/>
                <w:sz w:val="24"/>
                <w:szCs w:val="24"/>
                <w:highlight w:val="none"/>
                <w:lang w:val="en-US" w:eastAsia="zh-CN"/>
              </w:rPr>
              <w:t>1</w:t>
            </w:r>
          </w:p>
        </w:tc>
        <w:tc>
          <w:tcPr>
            <w:tcW w:w="2666" w:type="dxa"/>
            <w:vAlign w:val="center"/>
          </w:tcPr>
          <w:p w14:paraId="2D069F68">
            <w:pPr>
              <w:pStyle w:val="20"/>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snapToGrid w:val="0"/>
                <w:color w:val="auto"/>
                <w:sz w:val="24"/>
                <w:szCs w:val="24"/>
                <w:highlight w:val="none"/>
              </w:rPr>
              <w:t>全部工程</w:t>
            </w:r>
          </w:p>
        </w:tc>
        <w:tc>
          <w:tcPr>
            <w:tcW w:w="2475" w:type="dxa"/>
            <w:vAlign w:val="center"/>
          </w:tcPr>
          <w:p w14:paraId="0C2FED96">
            <w:pPr>
              <w:pStyle w:val="20"/>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snapToGrid w:val="0"/>
                <w:color w:val="auto"/>
                <w:sz w:val="24"/>
                <w:szCs w:val="24"/>
                <w:highlight w:val="none"/>
              </w:rPr>
              <w:t>详见招标文件前附表</w:t>
            </w:r>
          </w:p>
        </w:tc>
        <w:tc>
          <w:tcPr>
            <w:tcW w:w="2688" w:type="dxa"/>
            <w:tcBorders>
              <w:right w:val="single" w:color="000000" w:sz="6" w:space="0"/>
            </w:tcBorders>
            <w:vAlign w:val="center"/>
          </w:tcPr>
          <w:p w14:paraId="105BF506">
            <w:pPr>
              <w:pStyle w:val="20"/>
              <w:ind w:left="24" w:leftChars="0" w:hanging="24" w:hangingChars="10"/>
              <w:jc w:val="cente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snapToGrid w:val="0"/>
                <w:color w:val="auto"/>
                <w:sz w:val="24"/>
                <w:szCs w:val="24"/>
                <w:highlight w:val="none"/>
              </w:rPr>
              <w:t>5000</w:t>
            </w:r>
          </w:p>
        </w:tc>
      </w:tr>
    </w:tbl>
    <w:p w14:paraId="04D3BEE0">
      <w:pPr>
        <w:pStyle w:val="8"/>
        <w:spacing w:line="371" w:lineRule="auto"/>
        <w:rPr>
          <w:color w:val="auto"/>
          <w:highlight w:val="none"/>
        </w:rPr>
      </w:pPr>
    </w:p>
    <w:p w14:paraId="32E4FB87">
      <w:pPr>
        <w:spacing w:before="78" w:line="218"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）全部逾期完工违约金的总限额不超过签约合同价的</w:t>
      </w:r>
      <w:r>
        <w:rPr>
          <w:rFonts w:ascii="宋体" w:hAnsi="宋体" w:eastAsia="宋体" w:cs="宋体"/>
          <w:color w:val="auto"/>
          <w:spacing w:val="-92"/>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3</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1"/>
          <w:sz w:val="24"/>
          <w:szCs w:val="24"/>
          <w:highlight w:val="none"/>
        </w:rPr>
        <w:t xml:space="preserve"> </w:t>
      </w:r>
      <w:r>
        <w:rPr>
          <w:rFonts w:ascii="Times New Roman" w:hAnsi="Times New Roman" w:eastAsia="Times New Roman" w:cs="Times New Roman"/>
          <w:color w:val="auto"/>
          <w:spacing w:val="-2"/>
          <w:sz w:val="24"/>
          <w:szCs w:val="24"/>
          <w:highlight w:val="none"/>
        </w:rPr>
        <w:t>%</w:t>
      </w:r>
      <w:r>
        <w:rPr>
          <w:rFonts w:ascii="宋体" w:hAnsi="宋体" w:eastAsia="宋体" w:cs="宋体"/>
          <w:color w:val="auto"/>
          <w:spacing w:val="-2"/>
          <w:sz w:val="24"/>
          <w:szCs w:val="24"/>
          <w:highlight w:val="none"/>
        </w:rPr>
        <w:t>。</w:t>
      </w:r>
    </w:p>
    <w:p w14:paraId="57850018">
      <w:pPr>
        <w:spacing w:before="183" w:line="225" w:lineRule="auto"/>
        <w:ind w:left="8"/>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11.6  </w:t>
      </w:r>
      <w:r>
        <w:rPr>
          <w:rFonts w:ascii="楷体" w:hAnsi="楷体" w:eastAsia="楷体" w:cs="楷体"/>
          <w:b/>
          <w:bCs/>
          <w:color w:val="auto"/>
          <w:spacing w:val="-3"/>
          <w:sz w:val="24"/>
          <w:szCs w:val="24"/>
          <w:highlight w:val="none"/>
        </w:rPr>
        <w:t>工期提前</w:t>
      </w:r>
    </w:p>
    <w:p w14:paraId="34F86ED8">
      <w:pPr>
        <w:spacing w:before="174" w:line="220" w:lineRule="auto"/>
        <w:ind w:left="486"/>
        <w:rPr>
          <w:color w:val="auto"/>
          <w:highlight w:val="none"/>
        </w:rPr>
      </w:pPr>
      <w:r>
        <w:rPr>
          <w:rFonts w:ascii="宋体" w:hAnsi="宋体" w:eastAsia="宋体" w:cs="宋体"/>
          <w:color w:val="auto"/>
          <w:spacing w:val="-1"/>
          <w:sz w:val="24"/>
          <w:szCs w:val="24"/>
          <w:highlight w:val="none"/>
        </w:rPr>
        <w:t>工期提前的奖金约定：</w:t>
      </w:r>
      <w:r>
        <w:rPr>
          <w:rFonts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不奖励</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1"/>
          <w:sz w:val="24"/>
          <w:szCs w:val="24"/>
          <w:highlight w:val="none"/>
        </w:rPr>
        <w:t xml:space="preserve"> 。</w:t>
      </w:r>
    </w:p>
    <w:p w14:paraId="620664DB">
      <w:pPr>
        <w:pStyle w:val="8"/>
        <w:spacing w:line="247" w:lineRule="auto"/>
        <w:rPr>
          <w:color w:val="auto"/>
          <w:highlight w:val="none"/>
        </w:rPr>
      </w:pPr>
    </w:p>
    <w:p w14:paraId="5924517D">
      <w:pPr>
        <w:spacing w:before="88" w:line="227" w:lineRule="auto"/>
        <w:ind w:left="9"/>
        <w:outlineLvl w:val="2"/>
        <w:rPr>
          <w:rFonts w:ascii="宋体" w:hAnsi="宋体" w:eastAsia="宋体" w:cs="宋体"/>
          <w:color w:val="auto"/>
          <w:sz w:val="27"/>
          <w:szCs w:val="27"/>
          <w:highlight w:val="none"/>
        </w:rPr>
      </w:pPr>
      <w:bookmarkStart w:id="121" w:name="bookmark83"/>
      <w:bookmarkEnd w:id="121"/>
      <w:bookmarkStart w:id="122" w:name="_Toc30342"/>
      <w:r>
        <w:rPr>
          <w:rFonts w:ascii="Times New Roman" w:hAnsi="Times New Roman" w:eastAsia="Times New Roman" w:cs="Times New Roman"/>
          <w:b/>
          <w:bCs/>
          <w:color w:val="auto"/>
          <w:sz w:val="27"/>
          <w:szCs w:val="27"/>
          <w:highlight w:val="none"/>
        </w:rPr>
        <w:t>12</w:t>
      </w:r>
      <w:r>
        <w:rPr>
          <w:rFonts w:ascii="Times New Roman" w:hAnsi="Times New Roman" w:eastAsia="Times New Roman" w:cs="Times New Roman"/>
          <w:b/>
          <w:bCs/>
          <w:color w:val="auto"/>
          <w:spacing w:val="13"/>
          <w:sz w:val="27"/>
          <w:szCs w:val="27"/>
          <w:highlight w:val="none"/>
        </w:rPr>
        <w:t xml:space="preserve">  </w:t>
      </w:r>
      <w:r>
        <w:rPr>
          <w:rFonts w:ascii="宋体" w:hAnsi="宋体" w:eastAsia="宋体" w:cs="宋体"/>
          <w:b/>
          <w:bCs/>
          <w:color w:val="auto"/>
          <w:sz w:val="27"/>
          <w:szCs w:val="27"/>
          <w:highlight w:val="none"/>
        </w:rPr>
        <w:t>暂停施工</w:t>
      </w:r>
      <w:bookmarkEnd w:id="122"/>
    </w:p>
    <w:p w14:paraId="67D64873">
      <w:pPr>
        <w:pStyle w:val="8"/>
        <w:spacing w:line="246" w:lineRule="auto"/>
        <w:rPr>
          <w:color w:val="auto"/>
          <w:highlight w:val="none"/>
        </w:rPr>
      </w:pPr>
    </w:p>
    <w:p w14:paraId="7FA9BA80">
      <w:pPr>
        <w:spacing w:before="78" w:line="225"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12.1  </w:t>
      </w:r>
      <w:r>
        <w:rPr>
          <w:rFonts w:ascii="楷体" w:hAnsi="楷体" w:eastAsia="楷体" w:cs="楷体"/>
          <w:b/>
          <w:bCs/>
          <w:color w:val="auto"/>
          <w:spacing w:val="-2"/>
          <w:sz w:val="24"/>
          <w:szCs w:val="24"/>
          <w:highlight w:val="none"/>
        </w:rPr>
        <w:t>承包人暂停施工的责任</w:t>
      </w:r>
    </w:p>
    <w:p w14:paraId="79BE881D">
      <w:pPr>
        <w:spacing w:before="174" w:line="220" w:lineRule="auto"/>
        <w:ind w:left="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5</w:t>
      </w:r>
      <w:r>
        <w:rPr>
          <w:rFonts w:ascii="宋体" w:hAnsi="宋体" w:eastAsia="宋体" w:cs="宋体"/>
          <w:color w:val="auto"/>
          <w:spacing w:val="-1"/>
          <w:sz w:val="24"/>
          <w:szCs w:val="24"/>
          <w:highlight w:val="none"/>
        </w:rPr>
        <w:t>）承包人承担暂停施工责任的其他情形：</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2A15974A">
      <w:pPr>
        <w:spacing w:before="180" w:line="225"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12.2  </w:t>
      </w:r>
      <w:r>
        <w:rPr>
          <w:rFonts w:ascii="楷体" w:hAnsi="楷体" w:eastAsia="楷体" w:cs="楷体"/>
          <w:b/>
          <w:bCs/>
          <w:color w:val="auto"/>
          <w:spacing w:val="-2"/>
          <w:sz w:val="24"/>
          <w:szCs w:val="24"/>
          <w:highlight w:val="none"/>
        </w:rPr>
        <w:t>发包人暂停施工的责任</w:t>
      </w:r>
    </w:p>
    <w:p w14:paraId="554DC2CD">
      <w:pPr>
        <w:spacing w:before="174" w:line="220" w:lineRule="auto"/>
        <w:ind w:left="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）发包人承担暂停施工责任的其他情形：</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38399D98">
      <w:pPr>
        <w:spacing w:before="308" w:line="227" w:lineRule="auto"/>
        <w:ind w:left="9"/>
        <w:outlineLvl w:val="2"/>
        <w:rPr>
          <w:rFonts w:ascii="宋体" w:hAnsi="宋体" w:eastAsia="宋体" w:cs="宋体"/>
          <w:color w:val="auto"/>
          <w:sz w:val="27"/>
          <w:szCs w:val="27"/>
          <w:highlight w:val="none"/>
        </w:rPr>
      </w:pPr>
      <w:bookmarkStart w:id="123" w:name="bookmark84"/>
      <w:bookmarkEnd w:id="123"/>
      <w:bookmarkStart w:id="124" w:name="_Toc2917"/>
      <w:r>
        <w:rPr>
          <w:rFonts w:ascii="Times New Roman" w:hAnsi="Times New Roman" w:eastAsia="Times New Roman" w:cs="Times New Roman"/>
          <w:b/>
          <w:bCs/>
          <w:color w:val="auto"/>
          <w:spacing w:val="1"/>
          <w:sz w:val="27"/>
          <w:szCs w:val="27"/>
          <w:highlight w:val="none"/>
        </w:rPr>
        <w:t>13</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1"/>
          <w:sz w:val="27"/>
          <w:szCs w:val="27"/>
          <w:highlight w:val="none"/>
        </w:rPr>
        <w:t>工程质量</w:t>
      </w:r>
      <w:bookmarkEnd w:id="124"/>
    </w:p>
    <w:p w14:paraId="35602E52">
      <w:pPr>
        <w:pStyle w:val="8"/>
        <w:spacing w:line="246" w:lineRule="auto"/>
        <w:rPr>
          <w:color w:val="auto"/>
          <w:highlight w:val="none"/>
        </w:rPr>
      </w:pPr>
    </w:p>
    <w:p w14:paraId="44C8115D">
      <w:pPr>
        <w:spacing w:before="79" w:line="223"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13.7  </w:t>
      </w:r>
      <w:r>
        <w:rPr>
          <w:rFonts w:ascii="楷体" w:hAnsi="楷体" w:eastAsia="楷体" w:cs="楷体"/>
          <w:b/>
          <w:bCs/>
          <w:color w:val="auto"/>
          <w:spacing w:val="-3"/>
          <w:sz w:val="24"/>
          <w:szCs w:val="24"/>
          <w:highlight w:val="none"/>
        </w:rPr>
        <w:t>质量评定</w:t>
      </w:r>
    </w:p>
    <w:p w14:paraId="7D124BEF">
      <w:pPr>
        <w:spacing w:before="178" w:line="354" w:lineRule="auto"/>
        <w:ind w:left="2" w:right="157" w:firstLine="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11"/>
          <w:sz w:val="24"/>
          <w:szCs w:val="24"/>
          <w:highlight w:val="none"/>
        </w:rPr>
        <w:t xml:space="preserve">13.7.7  </w:t>
      </w:r>
      <w:r>
        <w:rPr>
          <w:rFonts w:ascii="宋体" w:hAnsi="宋体" w:eastAsia="宋体" w:cs="宋体"/>
          <w:color w:val="auto"/>
          <w:spacing w:val="11"/>
          <w:sz w:val="24"/>
          <w:szCs w:val="24"/>
          <w:highlight w:val="none"/>
        </w:rPr>
        <w:t>工程质量等级标准为</w:t>
      </w:r>
      <w:r>
        <w:rPr>
          <w:rFonts w:ascii="宋体" w:hAnsi="宋体" w:eastAsia="宋体" w:cs="宋体"/>
          <w:color w:val="auto"/>
          <w:spacing w:val="-78"/>
          <w:sz w:val="24"/>
          <w:szCs w:val="24"/>
          <w:highlight w:val="none"/>
        </w:rPr>
        <w:t xml:space="preserve"> </w:t>
      </w:r>
      <w:r>
        <w:rPr>
          <w:rFonts w:ascii="宋体" w:hAnsi="宋体" w:eastAsia="宋体" w:cs="宋体"/>
          <w:color w:val="auto"/>
          <w:sz w:val="24"/>
          <w:szCs w:val="24"/>
          <w:highlight w:val="none"/>
          <w:u w:val="single" w:color="auto"/>
        </w:rPr>
        <w:t xml:space="preserve"> 合格  </w:t>
      </w:r>
      <w:r>
        <w:rPr>
          <w:rFonts w:ascii="宋体" w:hAnsi="宋体" w:eastAsia="宋体" w:cs="宋体"/>
          <w:i/>
          <w:iCs/>
          <w:color w:val="auto"/>
          <w:spacing w:val="11"/>
          <w:sz w:val="25"/>
          <w:szCs w:val="25"/>
          <w:highlight w:val="none"/>
        </w:rPr>
        <w:t>（合格或优良）</w:t>
      </w:r>
      <w:r>
        <w:rPr>
          <w:rFonts w:ascii="宋体" w:hAnsi="宋体" w:eastAsia="宋体" w:cs="宋体"/>
          <w:color w:val="auto"/>
          <w:spacing w:val="11"/>
          <w:sz w:val="24"/>
          <w:szCs w:val="24"/>
          <w:highlight w:val="none"/>
        </w:rPr>
        <w:t>。达到优良的奖金</w:t>
      </w:r>
      <w:r>
        <w:rPr>
          <w:rFonts w:ascii="宋体" w:hAnsi="宋体" w:eastAsia="宋体" w:cs="宋体"/>
          <w:color w:val="auto"/>
          <w:spacing w:val="-7"/>
          <w:sz w:val="24"/>
          <w:szCs w:val="24"/>
          <w:highlight w:val="none"/>
        </w:rPr>
        <w:t>为</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不奖励</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
          <w:sz w:val="24"/>
          <w:szCs w:val="24"/>
          <w:highlight w:val="none"/>
        </w:rPr>
        <w:t>。</w:t>
      </w:r>
    </w:p>
    <w:p w14:paraId="74B1527A">
      <w:pPr>
        <w:spacing w:before="119" w:line="226" w:lineRule="auto"/>
        <w:ind w:left="9"/>
        <w:outlineLvl w:val="2"/>
        <w:rPr>
          <w:rFonts w:ascii="宋体" w:hAnsi="宋体" w:eastAsia="宋体" w:cs="宋体"/>
          <w:color w:val="auto"/>
          <w:sz w:val="27"/>
          <w:szCs w:val="27"/>
          <w:highlight w:val="none"/>
        </w:rPr>
      </w:pPr>
      <w:bookmarkStart w:id="125" w:name="bookmark85"/>
      <w:bookmarkEnd w:id="125"/>
      <w:bookmarkStart w:id="126" w:name="_Toc5312"/>
      <w:r>
        <w:rPr>
          <w:rFonts w:ascii="Times New Roman" w:hAnsi="Times New Roman" w:eastAsia="Times New Roman" w:cs="Times New Roman"/>
          <w:b/>
          <w:bCs/>
          <w:color w:val="auto"/>
          <w:spacing w:val="4"/>
          <w:sz w:val="27"/>
          <w:szCs w:val="27"/>
          <w:highlight w:val="none"/>
        </w:rPr>
        <w:t xml:space="preserve">14  </w:t>
      </w:r>
      <w:r>
        <w:rPr>
          <w:rFonts w:ascii="宋体" w:hAnsi="宋体" w:eastAsia="宋体" w:cs="宋体"/>
          <w:b/>
          <w:bCs/>
          <w:color w:val="auto"/>
          <w:spacing w:val="4"/>
          <w:sz w:val="27"/>
          <w:szCs w:val="27"/>
          <w:highlight w:val="none"/>
        </w:rPr>
        <w:t>试验和检验</w:t>
      </w:r>
      <w:bookmarkEnd w:id="126"/>
    </w:p>
    <w:p w14:paraId="24F948DF">
      <w:pPr>
        <w:pStyle w:val="8"/>
        <w:spacing w:line="247" w:lineRule="auto"/>
        <w:rPr>
          <w:color w:val="auto"/>
          <w:highlight w:val="none"/>
        </w:rPr>
      </w:pPr>
    </w:p>
    <w:p w14:paraId="1D3F152E">
      <w:pPr>
        <w:spacing w:before="79" w:line="227"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14.1  </w:t>
      </w:r>
      <w:r>
        <w:rPr>
          <w:rFonts w:ascii="楷体" w:hAnsi="楷体" w:eastAsia="楷体" w:cs="楷体"/>
          <w:b/>
          <w:bCs/>
          <w:color w:val="auto"/>
          <w:spacing w:val="-2"/>
          <w:sz w:val="24"/>
          <w:szCs w:val="24"/>
          <w:highlight w:val="none"/>
        </w:rPr>
        <w:t>材料、工程设备和工程的试验和检验</w:t>
      </w:r>
    </w:p>
    <w:p w14:paraId="07342539">
      <w:pPr>
        <w:spacing w:before="172" w:line="359" w:lineRule="auto"/>
        <w:ind w:left="8" w:right="146" w:firstLine="480"/>
        <w:rPr>
          <w:rFonts w:ascii="宋体" w:hAnsi="宋体" w:eastAsia="宋体" w:cs="宋体"/>
          <w:color w:val="auto"/>
          <w:sz w:val="24"/>
          <w:szCs w:val="24"/>
          <w:highlight w:val="none"/>
          <w:u w:val="single" w:color="auto"/>
        </w:rPr>
      </w:pPr>
      <w:r>
        <w:rPr>
          <w:rFonts w:ascii="Times New Roman" w:hAnsi="Times New Roman" w:eastAsia="Times New Roman" w:cs="Times New Roman"/>
          <w:b/>
          <w:bCs/>
          <w:color w:val="auto"/>
          <w:spacing w:val="11"/>
          <w:sz w:val="24"/>
          <w:szCs w:val="24"/>
          <w:highlight w:val="none"/>
        </w:rPr>
        <w:t xml:space="preserve">14.1.5  </w:t>
      </w:r>
      <w:r>
        <w:rPr>
          <w:rFonts w:ascii="宋体" w:hAnsi="宋体" w:eastAsia="宋体" w:cs="宋体"/>
          <w:color w:val="auto"/>
          <w:spacing w:val="-5"/>
          <w:sz w:val="24"/>
          <w:szCs w:val="24"/>
          <w:highlight w:val="none"/>
        </w:rPr>
        <w:t>水工金属结构、启闭机及机电产品进场后的交货检查和验收中，</w:t>
      </w:r>
      <w:r>
        <w:rPr>
          <w:rFonts w:ascii="宋体" w:hAnsi="宋体" w:eastAsia="宋体" w:cs="宋体"/>
          <w:color w:val="auto"/>
          <w:sz w:val="24"/>
          <w:szCs w:val="24"/>
          <w:highlight w:val="none"/>
          <w:u w:val="none" w:color="auto"/>
        </w:rPr>
        <w:t>承包人负责</w:t>
      </w:r>
      <w:r>
        <w:rPr>
          <w:rFonts w:hint="eastAsia" w:ascii="宋体" w:hAnsi="宋体" w:eastAsia="宋体" w:cs="宋体"/>
          <w:color w:val="auto"/>
          <w:sz w:val="24"/>
          <w:szCs w:val="24"/>
          <w:highlight w:val="none"/>
          <w:u w:val="single" w:color="auto"/>
          <w:lang w:val="en-US" w:eastAsia="zh-CN"/>
        </w:rPr>
        <w:t>卸货、仓储保管、保护以及转运至施工安装现场，承包人需在投标报价中考虑相关费用，发包人不再另行支付</w:t>
      </w:r>
      <w:r>
        <w:rPr>
          <w:rFonts w:ascii="宋体" w:hAnsi="宋体" w:eastAsia="宋体" w:cs="宋体"/>
          <w:color w:val="auto"/>
          <w:sz w:val="24"/>
          <w:szCs w:val="24"/>
          <w:highlight w:val="none"/>
          <w:u w:val="single" w:color="auto"/>
        </w:rPr>
        <w:t xml:space="preserve"> 。</w:t>
      </w:r>
    </w:p>
    <w:p w14:paraId="2D5AE1C1">
      <w:pPr>
        <w:spacing w:before="172" w:line="359" w:lineRule="auto"/>
        <w:ind w:left="8" w:right="146" w:firstLine="480"/>
        <w:rPr>
          <w:rFonts w:hint="eastAsia" w:ascii="宋体" w:hAnsi="宋体" w:eastAsia="宋体" w:cs="宋体"/>
          <w:color w:val="auto"/>
          <w:spacing w:val="-5"/>
          <w:sz w:val="24"/>
          <w:szCs w:val="24"/>
          <w:highlight w:val="none"/>
          <w:lang w:val="en-US" w:eastAsia="zh-CN"/>
        </w:rPr>
      </w:pPr>
      <w:r>
        <w:rPr>
          <w:rFonts w:ascii="Times New Roman" w:hAnsi="Times New Roman" w:eastAsia="Times New Roman" w:cs="Times New Roman"/>
          <w:b/>
          <w:bCs/>
          <w:color w:val="auto"/>
          <w:spacing w:val="11"/>
          <w:sz w:val="24"/>
          <w:szCs w:val="24"/>
          <w:highlight w:val="none"/>
        </w:rPr>
        <w:t xml:space="preserve">14.1.6 </w:t>
      </w:r>
      <w:r>
        <w:rPr>
          <w:rFonts w:ascii="宋体" w:hAnsi="宋体" w:eastAsia="宋体" w:cs="宋体"/>
          <w:color w:val="auto"/>
          <w:spacing w:val="-5"/>
          <w:sz w:val="24"/>
          <w:szCs w:val="24"/>
          <w:highlight w:val="none"/>
        </w:rPr>
        <w:t xml:space="preserve"> 本工程实行见证取样的试块、试件及有关材料：</w:t>
      </w:r>
      <w:r>
        <w:rPr>
          <w:rFonts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砼试块、砂浆试块等按图纸项目进行检测</w:t>
      </w:r>
      <w:r>
        <w:rPr>
          <w:rFonts w:hint="eastAsia" w:ascii="宋体" w:hAnsi="宋体" w:eastAsia="宋体" w:cs="宋体"/>
          <w:color w:val="auto"/>
          <w:spacing w:val="-5"/>
          <w:sz w:val="24"/>
          <w:szCs w:val="24"/>
          <w:highlight w:val="none"/>
          <w:lang w:val="en-US" w:eastAsia="zh-CN"/>
        </w:rPr>
        <w:t xml:space="preserve"> 。</w:t>
      </w:r>
    </w:p>
    <w:p w14:paraId="59E7577C">
      <w:pPr>
        <w:spacing w:before="309" w:line="228" w:lineRule="auto"/>
        <w:ind w:left="9"/>
        <w:outlineLvl w:val="2"/>
        <w:rPr>
          <w:rFonts w:ascii="宋体" w:hAnsi="宋体" w:eastAsia="宋体" w:cs="宋体"/>
          <w:color w:val="auto"/>
          <w:sz w:val="27"/>
          <w:szCs w:val="27"/>
          <w:highlight w:val="none"/>
        </w:rPr>
      </w:pPr>
      <w:bookmarkStart w:id="127" w:name="bookmark86"/>
      <w:bookmarkEnd w:id="127"/>
      <w:bookmarkStart w:id="128" w:name="_Toc14260"/>
      <w:r>
        <w:rPr>
          <w:rFonts w:ascii="Times New Roman" w:hAnsi="Times New Roman" w:eastAsia="Times New Roman" w:cs="Times New Roman"/>
          <w:b/>
          <w:bCs/>
          <w:color w:val="auto"/>
          <w:spacing w:val="-2"/>
          <w:sz w:val="27"/>
          <w:szCs w:val="27"/>
          <w:highlight w:val="none"/>
        </w:rPr>
        <w:t>15</w:t>
      </w:r>
      <w:r>
        <w:rPr>
          <w:rFonts w:ascii="Times New Roman" w:hAnsi="Times New Roman" w:eastAsia="Times New Roman" w:cs="Times New Roman"/>
          <w:b/>
          <w:bCs/>
          <w:color w:val="auto"/>
          <w:spacing w:val="9"/>
          <w:sz w:val="27"/>
          <w:szCs w:val="27"/>
          <w:highlight w:val="none"/>
        </w:rPr>
        <w:t xml:space="preserve">  </w:t>
      </w:r>
      <w:r>
        <w:rPr>
          <w:rFonts w:ascii="宋体" w:hAnsi="宋体" w:eastAsia="宋体" w:cs="宋体"/>
          <w:b/>
          <w:bCs/>
          <w:color w:val="auto"/>
          <w:spacing w:val="-2"/>
          <w:sz w:val="27"/>
          <w:szCs w:val="27"/>
          <w:highlight w:val="none"/>
        </w:rPr>
        <w:t>变更</w:t>
      </w:r>
      <w:bookmarkEnd w:id="128"/>
    </w:p>
    <w:p w14:paraId="417CFE7F">
      <w:pPr>
        <w:pStyle w:val="8"/>
        <w:spacing w:line="246" w:lineRule="auto"/>
        <w:rPr>
          <w:color w:val="auto"/>
          <w:highlight w:val="none"/>
        </w:rPr>
      </w:pPr>
    </w:p>
    <w:p w14:paraId="294F0017">
      <w:pPr>
        <w:spacing w:before="78" w:line="225" w:lineRule="auto"/>
        <w:ind w:left="6"/>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15.1</w:t>
      </w:r>
      <w:r>
        <w:rPr>
          <w:rFonts w:ascii="Times New Roman" w:hAnsi="Times New Roman" w:eastAsia="Times New Roman" w:cs="Times New Roman"/>
          <w:b/>
          <w:bCs/>
          <w:color w:val="auto"/>
          <w:spacing w:val="16"/>
          <w:sz w:val="24"/>
          <w:szCs w:val="24"/>
          <w:highlight w:val="none"/>
        </w:rPr>
        <w:t xml:space="preserve">  </w:t>
      </w:r>
      <w:r>
        <w:rPr>
          <w:rFonts w:ascii="楷体" w:hAnsi="楷体" w:eastAsia="楷体" w:cs="楷体"/>
          <w:b/>
          <w:bCs/>
          <w:color w:val="auto"/>
          <w:spacing w:val="-5"/>
          <w:sz w:val="24"/>
          <w:szCs w:val="24"/>
          <w:highlight w:val="none"/>
        </w:rPr>
        <w:t>变更的范围和内容</w:t>
      </w:r>
    </w:p>
    <w:p w14:paraId="50A48857">
      <w:pPr>
        <w:spacing w:before="174" w:line="357" w:lineRule="auto"/>
        <w:ind w:firstLine="486"/>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）分类分项清单项目工程量增加的，凡合价金额占签约合同总价</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以上的分</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类分项清单项目其工程量增加超过本项目工程数量</w:t>
      </w:r>
      <w:r>
        <w:rPr>
          <w:rFonts w:ascii="Times New Roman" w:hAnsi="Times New Roman" w:eastAsia="Times New Roman" w:cs="Times New Roman"/>
          <w:color w:val="auto"/>
          <w:spacing w:val="-2"/>
          <w:sz w:val="24"/>
          <w:szCs w:val="24"/>
          <w:highlight w:val="none"/>
        </w:rPr>
        <w:t>15%</w:t>
      </w:r>
      <w:r>
        <w:rPr>
          <w:rFonts w:ascii="宋体" w:hAnsi="宋体" w:eastAsia="宋体" w:cs="宋体"/>
          <w:color w:val="auto"/>
          <w:spacing w:val="-2"/>
          <w:sz w:val="24"/>
          <w:szCs w:val="24"/>
          <w:highlight w:val="none"/>
        </w:rPr>
        <w:t>以上，或合价金额占签约合同</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总价不到</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的分类分项清单项目但其工程量增</w:t>
      </w:r>
      <w:r>
        <w:rPr>
          <w:rFonts w:ascii="宋体" w:hAnsi="宋体" w:eastAsia="宋体" w:cs="宋体"/>
          <w:color w:val="auto"/>
          <w:spacing w:val="2"/>
          <w:sz w:val="24"/>
          <w:szCs w:val="24"/>
          <w:highlight w:val="none"/>
        </w:rPr>
        <w:t>加超过本项目工程数量</w:t>
      </w:r>
      <w:r>
        <w:rPr>
          <w:rFonts w:ascii="Times New Roman" w:hAnsi="Times New Roman" w:eastAsia="Times New Roman" w:cs="Times New Roman"/>
          <w:color w:val="auto"/>
          <w:spacing w:val="2"/>
          <w:sz w:val="24"/>
          <w:szCs w:val="24"/>
          <w:highlight w:val="none"/>
        </w:rPr>
        <w:t>25%</w:t>
      </w:r>
      <w:r>
        <w:rPr>
          <w:rFonts w:ascii="宋体" w:hAnsi="宋体" w:eastAsia="宋体" w:cs="宋体"/>
          <w:color w:val="auto"/>
          <w:spacing w:val="2"/>
          <w:sz w:val="24"/>
          <w:szCs w:val="24"/>
          <w:highlight w:val="none"/>
        </w:rPr>
        <w:t>以上，超</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过上述</w:t>
      </w:r>
      <w:r>
        <w:rPr>
          <w:rFonts w:ascii="Times New Roman" w:hAnsi="Times New Roman" w:eastAsia="Times New Roman" w:cs="Times New Roman"/>
          <w:color w:val="auto"/>
          <w:spacing w:val="2"/>
          <w:sz w:val="24"/>
          <w:szCs w:val="24"/>
          <w:highlight w:val="none"/>
        </w:rPr>
        <w:t>15%</w:t>
      </w:r>
      <w:r>
        <w:rPr>
          <w:rFonts w:ascii="宋体" w:hAnsi="宋体" w:eastAsia="宋体" w:cs="宋体"/>
          <w:color w:val="auto"/>
          <w:spacing w:val="2"/>
          <w:sz w:val="24"/>
          <w:szCs w:val="24"/>
          <w:highlight w:val="none"/>
        </w:rPr>
        <w:t>或</w:t>
      </w:r>
      <w:r>
        <w:rPr>
          <w:rFonts w:ascii="Times New Roman" w:hAnsi="Times New Roman" w:eastAsia="Times New Roman" w:cs="Times New Roman"/>
          <w:color w:val="auto"/>
          <w:spacing w:val="2"/>
          <w:sz w:val="24"/>
          <w:szCs w:val="24"/>
          <w:highlight w:val="none"/>
        </w:rPr>
        <w:t>25%</w:t>
      </w:r>
      <w:r>
        <w:rPr>
          <w:rFonts w:ascii="宋体" w:hAnsi="宋体" w:eastAsia="宋体" w:cs="宋体"/>
          <w:color w:val="auto"/>
          <w:spacing w:val="2"/>
          <w:sz w:val="24"/>
          <w:szCs w:val="24"/>
          <w:highlight w:val="none"/>
        </w:rPr>
        <w:t>以外增加部分的工程量，由承包人按</w:t>
      </w:r>
      <w:r>
        <w:rPr>
          <w:rFonts w:ascii="Times New Roman" w:hAnsi="Times New Roman" w:eastAsia="Times New Roman" w:cs="Times New Roman"/>
          <w:color w:val="auto"/>
          <w:spacing w:val="2"/>
          <w:sz w:val="24"/>
          <w:szCs w:val="24"/>
          <w:highlight w:val="none"/>
        </w:rPr>
        <w:t>15.4.3</w:t>
      </w:r>
      <w:r>
        <w:rPr>
          <w:rFonts w:ascii="宋体" w:hAnsi="宋体" w:eastAsia="宋体" w:cs="宋体"/>
          <w:color w:val="auto"/>
          <w:spacing w:val="2"/>
          <w:sz w:val="24"/>
          <w:szCs w:val="24"/>
          <w:highlight w:val="none"/>
        </w:rPr>
        <w:t>款的原则提出合适的变</w:t>
      </w:r>
      <w:r>
        <w:rPr>
          <w:rFonts w:ascii="宋体" w:hAnsi="宋体" w:eastAsia="宋体" w:cs="宋体"/>
          <w:color w:val="auto"/>
          <w:spacing w:val="6"/>
          <w:sz w:val="24"/>
          <w:szCs w:val="24"/>
          <w:highlight w:val="none"/>
        </w:rPr>
        <w:t xml:space="preserve">  </w:t>
      </w:r>
      <w:r>
        <w:rPr>
          <w:rFonts w:ascii="宋体" w:hAnsi="宋体" w:eastAsia="宋体" w:cs="宋体"/>
          <w:color w:val="auto"/>
          <w:spacing w:val="-11"/>
          <w:sz w:val="24"/>
          <w:szCs w:val="24"/>
          <w:highlight w:val="none"/>
        </w:rPr>
        <w:t>更单价，并经监理人审核。变更单价与合同单价相比，上下浮动超过</w:t>
      </w:r>
      <w:r>
        <w:rPr>
          <w:rFonts w:ascii="宋体" w:hAnsi="宋体" w:eastAsia="宋体" w:cs="宋体"/>
          <w:color w:val="auto"/>
          <w:spacing w:val="-11"/>
          <w:sz w:val="24"/>
          <w:szCs w:val="24"/>
          <w:highlight w:val="none"/>
          <w:u w:val="single" w:color="auto"/>
        </w:rPr>
        <w:t xml:space="preserve"> </w:t>
      </w:r>
      <w:r>
        <w:rPr>
          <w:rFonts w:hint="eastAsia" w:ascii="宋体" w:hAnsi="宋体" w:eastAsia="宋体" w:cs="宋体"/>
          <w:color w:val="auto"/>
          <w:spacing w:val="-11"/>
          <w:sz w:val="24"/>
          <w:szCs w:val="24"/>
          <w:highlight w:val="none"/>
          <w:u w:val="single" w:color="auto"/>
          <w:lang w:val="en-US" w:eastAsia="zh-CN"/>
        </w:rPr>
        <w:t>15</w:t>
      </w:r>
      <w:r>
        <w:rPr>
          <w:rFonts w:ascii="宋体" w:hAnsi="宋体" w:eastAsia="宋体" w:cs="宋体"/>
          <w:color w:val="auto"/>
          <w:spacing w:val="-11"/>
          <w:sz w:val="24"/>
          <w:szCs w:val="24"/>
          <w:highlight w:val="none"/>
          <w:u w:val="single" w:color="auto"/>
        </w:rPr>
        <w:t xml:space="preserve"> </w:t>
      </w:r>
      <w:r>
        <w:rPr>
          <w:rFonts w:ascii="宋体" w:hAnsi="宋体" w:eastAsia="宋体" w:cs="宋体"/>
          <w:color w:val="auto"/>
          <w:spacing w:val="-102"/>
          <w:sz w:val="24"/>
          <w:szCs w:val="24"/>
          <w:highlight w:val="none"/>
        </w:rPr>
        <w:t xml:space="preserve"> </w:t>
      </w:r>
      <w:r>
        <w:rPr>
          <w:rFonts w:ascii="Times New Roman" w:hAnsi="Times New Roman" w:eastAsia="Times New Roman" w:cs="Times New Roman"/>
          <w:color w:val="auto"/>
          <w:spacing w:val="-11"/>
          <w:sz w:val="24"/>
          <w:szCs w:val="24"/>
          <w:highlight w:val="none"/>
        </w:rPr>
        <w:t>%</w:t>
      </w:r>
      <w:r>
        <w:rPr>
          <w:rFonts w:ascii="宋体" w:hAnsi="宋体" w:eastAsia="宋体" w:cs="宋体"/>
          <w:i/>
          <w:iCs/>
          <w:color w:val="auto"/>
          <w:spacing w:val="-11"/>
          <w:sz w:val="25"/>
          <w:szCs w:val="25"/>
          <w:highlight w:val="none"/>
        </w:rPr>
        <w:t>（</w:t>
      </w:r>
      <w:r>
        <w:rPr>
          <w:rFonts w:ascii="Times New Roman" w:hAnsi="Times New Roman" w:eastAsia="Times New Roman" w:cs="Times New Roman"/>
          <w:i/>
          <w:iCs/>
          <w:color w:val="auto"/>
          <w:spacing w:val="-11"/>
          <w:sz w:val="24"/>
          <w:szCs w:val="24"/>
          <w:highlight w:val="none"/>
        </w:rPr>
        <w:t>10%~20%</w:t>
      </w:r>
      <w:r>
        <w:rPr>
          <w:rFonts w:ascii="宋体" w:hAnsi="宋体" w:eastAsia="宋体" w:cs="宋体"/>
          <w:i/>
          <w:iCs/>
          <w:color w:val="auto"/>
          <w:spacing w:val="-11"/>
          <w:sz w:val="25"/>
          <w:szCs w:val="25"/>
          <w:highlight w:val="none"/>
        </w:rPr>
        <w:t>）</w:t>
      </w:r>
      <w:r>
        <w:rPr>
          <w:rFonts w:ascii="宋体" w:hAnsi="宋体" w:eastAsia="宋体" w:cs="宋体"/>
          <w:color w:val="auto"/>
          <w:spacing w:val="-4"/>
          <w:sz w:val="24"/>
          <w:szCs w:val="24"/>
          <w:highlight w:val="none"/>
        </w:rPr>
        <w:t>时，发包人同意后按变更单价进入工程结算；上述</w:t>
      </w:r>
      <w:r>
        <w:rPr>
          <w:rFonts w:ascii="Times New Roman" w:hAnsi="Times New Roman" w:eastAsia="Times New Roman" w:cs="Times New Roman"/>
          <w:color w:val="auto"/>
          <w:spacing w:val="-4"/>
          <w:sz w:val="24"/>
          <w:szCs w:val="24"/>
          <w:highlight w:val="none"/>
        </w:rPr>
        <w:t>15%</w:t>
      </w:r>
      <w:r>
        <w:rPr>
          <w:rFonts w:ascii="宋体" w:hAnsi="宋体" w:eastAsia="宋体" w:cs="宋体"/>
          <w:color w:val="auto"/>
          <w:spacing w:val="-4"/>
          <w:sz w:val="24"/>
          <w:szCs w:val="24"/>
          <w:highlight w:val="none"/>
        </w:rPr>
        <w:t>或</w:t>
      </w:r>
      <w:r>
        <w:rPr>
          <w:rFonts w:ascii="Times New Roman" w:hAnsi="Times New Roman" w:eastAsia="Times New Roman" w:cs="Times New Roman"/>
          <w:color w:val="auto"/>
          <w:spacing w:val="-4"/>
          <w:sz w:val="24"/>
          <w:szCs w:val="24"/>
          <w:highlight w:val="none"/>
        </w:rPr>
        <w:t>25%</w:t>
      </w:r>
      <w:r>
        <w:rPr>
          <w:rFonts w:ascii="宋体" w:hAnsi="宋体" w:eastAsia="宋体" w:cs="宋体"/>
          <w:color w:val="auto"/>
          <w:spacing w:val="-4"/>
          <w:sz w:val="24"/>
          <w:szCs w:val="24"/>
          <w:highlight w:val="none"/>
        </w:rPr>
        <w:t>以内增加部分的工程量，</w:t>
      </w:r>
      <w:r>
        <w:rPr>
          <w:rFonts w:ascii="宋体" w:hAnsi="宋体" w:eastAsia="宋体" w:cs="宋体"/>
          <w:color w:val="auto"/>
          <w:spacing w:val="-5"/>
          <w:sz w:val="24"/>
          <w:szCs w:val="24"/>
          <w:highlight w:val="none"/>
        </w:rPr>
        <w:t>按合同单价结算。</w:t>
      </w:r>
    </w:p>
    <w:p w14:paraId="5E106B78">
      <w:pPr>
        <w:spacing w:before="1" w:line="359" w:lineRule="auto"/>
        <w:ind w:right="294" w:firstLine="49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因分类分项清单项目工程量减少的，采用以下第</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2</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11"/>
          <w:sz w:val="24"/>
          <w:szCs w:val="24"/>
          <w:highlight w:val="none"/>
        </w:rPr>
        <w:t xml:space="preserve"> </w:t>
      </w:r>
      <w:r>
        <w:rPr>
          <w:rFonts w:ascii="宋体" w:hAnsi="宋体" w:eastAsia="宋体" w:cs="宋体"/>
          <w:color w:val="auto"/>
          <w:spacing w:val="-1"/>
          <w:sz w:val="24"/>
          <w:szCs w:val="24"/>
          <w:highlight w:val="none"/>
        </w:rPr>
        <w:t>种方式对合同价格</w:t>
      </w:r>
      <w:r>
        <w:rPr>
          <w:rFonts w:ascii="宋体" w:hAnsi="宋体" w:eastAsia="宋体" w:cs="宋体"/>
          <w:color w:val="auto"/>
          <w:spacing w:val="-2"/>
          <w:sz w:val="24"/>
          <w:szCs w:val="24"/>
          <w:highlight w:val="none"/>
        </w:rPr>
        <w:t>进行调</w:t>
      </w:r>
      <w:r>
        <w:rPr>
          <w:rFonts w:ascii="宋体" w:hAnsi="宋体" w:eastAsia="宋体" w:cs="宋体"/>
          <w:color w:val="auto"/>
          <w:spacing w:val="-17"/>
          <w:sz w:val="24"/>
          <w:szCs w:val="24"/>
          <w:highlight w:val="none"/>
        </w:rPr>
        <w:t>整：</w:t>
      </w:r>
    </w:p>
    <w:p w14:paraId="3472A953">
      <w:pPr>
        <w:spacing w:before="78" w:line="357" w:lineRule="auto"/>
        <w:ind w:right="83" w:firstLine="1"/>
        <w:jc w:val="both"/>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第1种方式：分类分项清单项目工程量减少的，合同单价不变。</w:t>
      </w:r>
    </w:p>
    <w:p w14:paraId="7D5465A1">
      <w:pPr>
        <w:spacing w:before="78" w:line="357" w:lineRule="auto"/>
        <w:ind w:right="83" w:firstLine="1"/>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第2种方式：分类分项清单项目工程量减少的，凡合价金额占签约合同总价2%以</w:t>
      </w:r>
      <w:bookmarkStart w:id="129" w:name="bookmark413"/>
      <w:bookmarkEnd w:id="129"/>
      <w:r>
        <w:rPr>
          <w:rFonts w:ascii="宋体" w:hAnsi="宋体" w:eastAsia="宋体" w:cs="宋体"/>
          <w:color w:val="auto"/>
          <w:spacing w:val="-2"/>
          <w:sz w:val="24"/>
          <w:szCs w:val="24"/>
          <w:highlight w:val="none"/>
        </w:rPr>
        <w:t>上的分类分项清单项目其工程量减少超过本项目工程数量</w:t>
      </w:r>
      <w:r>
        <w:rPr>
          <w:rFonts w:ascii="Times New Roman" w:hAnsi="Times New Roman" w:eastAsia="Times New Roman" w:cs="Times New Roman"/>
          <w:color w:val="auto"/>
          <w:spacing w:val="-2"/>
          <w:sz w:val="24"/>
          <w:szCs w:val="24"/>
          <w:highlight w:val="none"/>
        </w:rPr>
        <w:t>15%</w:t>
      </w:r>
      <w:r>
        <w:rPr>
          <w:rFonts w:ascii="宋体" w:hAnsi="宋体" w:eastAsia="宋体" w:cs="宋体"/>
          <w:color w:val="auto"/>
          <w:spacing w:val="-2"/>
          <w:sz w:val="24"/>
          <w:szCs w:val="24"/>
          <w:highlight w:val="none"/>
        </w:rPr>
        <w:t>以上，或合价金额占签</w:t>
      </w:r>
      <w:r>
        <w:rPr>
          <w:rFonts w:ascii="宋体" w:hAnsi="宋体" w:eastAsia="宋体" w:cs="宋体"/>
          <w:color w:val="auto"/>
          <w:spacing w:val="3"/>
          <w:sz w:val="24"/>
          <w:szCs w:val="24"/>
          <w:highlight w:val="none"/>
        </w:rPr>
        <w:t>约合同总价不到</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的分类分项清单项目但其工</w:t>
      </w:r>
      <w:r>
        <w:rPr>
          <w:rFonts w:ascii="宋体" w:hAnsi="宋体" w:eastAsia="宋体" w:cs="宋体"/>
          <w:color w:val="auto"/>
          <w:spacing w:val="2"/>
          <w:sz w:val="24"/>
          <w:szCs w:val="24"/>
          <w:highlight w:val="none"/>
        </w:rPr>
        <w:t>程量减少超过本项目工程数量</w:t>
      </w:r>
      <w:r>
        <w:rPr>
          <w:rFonts w:ascii="Times New Roman" w:hAnsi="Times New Roman" w:eastAsia="Times New Roman" w:cs="Times New Roman"/>
          <w:color w:val="auto"/>
          <w:spacing w:val="2"/>
          <w:sz w:val="24"/>
          <w:szCs w:val="24"/>
          <w:highlight w:val="none"/>
        </w:rPr>
        <w:t>25%</w:t>
      </w:r>
      <w:r>
        <w:rPr>
          <w:rFonts w:ascii="宋体" w:hAnsi="宋体" w:eastAsia="宋体" w:cs="宋体"/>
          <w:color w:val="auto"/>
          <w:spacing w:val="2"/>
          <w:sz w:val="24"/>
          <w:szCs w:val="24"/>
          <w:highlight w:val="none"/>
        </w:rPr>
        <w:t>以</w:t>
      </w:r>
      <w:r>
        <w:rPr>
          <w:rFonts w:ascii="宋体" w:hAnsi="宋体" w:eastAsia="宋体" w:cs="宋体"/>
          <w:color w:val="auto"/>
          <w:spacing w:val="-3"/>
          <w:sz w:val="24"/>
          <w:szCs w:val="24"/>
          <w:highlight w:val="none"/>
        </w:rPr>
        <w:t>上，超过上述</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或</w:t>
      </w:r>
      <w:r>
        <w:rPr>
          <w:rFonts w:ascii="Times New Roman" w:hAnsi="Times New Roman" w:eastAsia="Times New Roman" w:cs="Times New Roman"/>
          <w:color w:val="auto"/>
          <w:spacing w:val="-3"/>
          <w:sz w:val="24"/>
          <w:szCs w:val="24"/>
          <w:highlight w:val="none"/>
        </w:rPr>
        <w:t>25%</w:t>
      </w:r>
      <w:r>
        <w:rPr>
          <w:rFonts w:ascii="宋体" w:hAnsi="宋体" w:eastAsia="宋体" w:cs="宋体"/>
          <w:color w:val="auto"/>
          <w:spacing w:val="-3"/>
          <w:sz w:val="24"/>
          <w:szCs w:val="24"/>
          <w:highlight w:val="none"/>
        </w:rPr>
        <w:t>以外的减少部分工程量，由承包人按</w:t>
      </w:r>
      <w:r>
        <w:rPr>
          <w:rFonts w:ascii="Times New Roman" w:hAnsi="Times New Roman" w:eastAsia="Times New Roman" w:cs="Times New Roman"/>
          <w:color w:val="auto"/>
          <w:spacing w:val="-3"/>
          <w:sz w:val="24"/>
          <w:szCs w:val="24"/>
          <w:highlight w:val="none"/>
        </w:rPr>
        <w:t>1</w:t>
      </w:r>
      <w:r>
        <w:rPr>
          <w:rFonts w:ascii="Times New Roman" w:hAnsi="Times New Roman" w:eastAsia="Times New Roman" w:cs="Times New Roman"/>
          <w:color w:val="auto"/>
          <w:spacing w:val="-4"/>
          <w:sz w:val="24"/>
          <w:szCs w:val="24"/>
          <w:highlight w:val="none"/>
        </w:rPr>
        <w:t>5.4.3</w:t>
      </w:r>
      <w:r>
        <w:rPr>
          <w:rFonts w:ascii="宋体" w:hAnsi="宋体" w:eastAsia="宋体" w:cs="宋体"/>
          <w:color w:val="auto"/>
          <w:spacing w:val="-4"/>
          <w:sz w:val="24"/>
          <w:szCs w:val="24"/>
          <w:highlight w:val="none"/>
        </w:rPr>
        <w:t>款的原则提出合适</w:t>
      </w:r>
      <w:r>
        <w:rPr>
          <w:rFonts w:ascii="宋体" w:hAnsi="宋体" w:eastAsia="宋体" w:cs="宋体"/>
          <w:color w:val="auto"/>
          <w:spacing w:val="11"/>
          <w:sz w:val="24"/>
          <w:szCs w:val="24"/>
          <w:highlight w:val="none"/>
        </w:rPr>
        <w:t>的变更单价，并经监理人审核。变更单价与合同单价相比，上下浮动超过</w:t>
      </w:r>
      <w:r>
        <w:rPr>
          <w:rFonts w:ascii="宋体" w:hAnsi="宋体" w:eastAsia="宋体" w:cs="宋体"/>
          <w:color w:val="auto"/>
          <w:spacing w:val="-108"/>
          <w:sz w:val="24"/>
          <w:szCs w:val="24"/>
          <w:highlight w:val="none"/>
        </w:rPr>
        <w:t xml:space="preserve"> </w:t>
      </w:r>
      <w:r>
        <w:rPr>
          <w:rFonts w:ascii="宋体" w:hAnsi="宋体" w:eastAsia="宋体" w:cs="宋体"/>
          <w:color w:val="auto"/>
          <w:spacing w:val="11"/>
          <w:sz w:val="24"/>
          <w:szCs w:val="24"/>
          <w:highlight w:val="none"/>
          <w:u w:val="single" w:color="auto"/>
        </w:rPr>
        <w:t xml:space="preserve"> </w:t>
      </w:r>
      <w:r>
        <w:rPr>
          <w:rFonts w:hint="eastAsia" w:ascii="宋体" w:hAnsi="宋体" w:eastAsia="宋体" w:cs="宋体"/>
          <w:color w:val="auto"/>
          <w:spacing w:val="11"/>
          <w:sz w:val="24"/>
          <w:szCs w:val="24"/>
          <w:highlight w:val="none"/>
          <w:u w:val="single" w:color="auto"/>
          <w:lang w:val="en-US" w:eastAsia="zh-CN"/>
        </w:rPr>
        <w:t>25</w:t>
      </w:r>
      <w:r>
        <w:rPr>
          <w:rFonts w:ascii="宋体" w:hAnsi="宋体" w:eastAsia="宋体" w:cs="宋体"/>
          <w:color w:val="auto"/>
          <w:spacing w:val="10"/>
          <w:sz w:val="24"/>
          <w:szCs w:val="24"/>
          <w:highlight w:val="none"/>
          <w:u w:val="single" w:color="auto"/>
        </w:rPr>
        <w:t xml:space="preserve"> </w:t>
      </w:r>
      <w:r>
        <w:rPr>
          <w:rFonts w:ascii="宋体" w:hAnsi="宋体" w:eastAsia="宋体" w:cs="宋体"/>
          <w:color w:val="auto"/>
          <w:spacing w:val="10"/>
          <w:sz w:val="24"/>
          <w:szCs w:val="24"/>
          <w:highlight w:val="none"/>
        </w:rPr>
        <w:t xml:space="preserve"> </w:t>
      </w:r>
      <w:r>
        <w:rPr>
          <w:rFonts w:ascii="Times New Roman" w:hAnsi="Times New Roman" w:eastAsia="Times New Roman" w:cs="Times New Roman"/>
          <w:color w:val="auto"/>
          <w:spacing w:val="10"/>
          <w:sz w:val="24"/>
          <w:szCs w:val="24"/>
          <w:highlight w:val="none"/>
        </w:rPr>
        <w:t>%</w:t>
      </w:r>
      <w:r>
        <w:rPr>
          <w:rFonts w:ascii="宋体" w:hAnsi="宋体" w:eastAsia="宋体" w:cs="宋体"/>
          <w:i/>
          <w:iCs/>
          <w:color w:val="auto"/>
          <w:spacing w:val="-4"/>
          <w:sz w:val="25"/>
          <w:szCs w:val="25"/>
          <w:highlight w:val="none"/>
        </w:rPr>
        <w:t>（</w:t>
      </w:r>
      <w:r>
        <w:rPr>
          <w:rFonts w:ascii="Times New Roman" w:hAnsi="Times New Roman" w:eastAsia="Times New Roman" w:cs="Times New Roman"/>
          <w:i/>
          <w:iCs/>
          <w:color w:val="auto"/>
          <w:spacing w:val="-4"/>
          <w:sz w:val="24"/>
          <w:szCs w:val="24"/>
          <w:highlight w:val="none"/>
        </w:rPr>
        <w:t>20%~30%</w:t>
      </w:r>
      <w:r>
        <w:rPr>
          <w:rFonts w:ascii="宋体" w:hAnsi="宋体" w:eastAsia="宋体" w:cs="宋体"/>
          <w:i/>
          <w:iCs/>
          <w:color w:val="auto"/>
          <w:spacing w:val="-4"/>
          <w:sz w:val="25"/>
          <w:szCs w:val="25"/>
          <w:highlight w:val="none"/>
        </w:rPr>
        <w:t>）</w:t>
      </w:r>
      <w:r>
        <w:rPr>
          <w:rFonts w:ascii="宋体" w:hAnsi="宋体" w:eastAsia="宋体" w:cs="宋体"/>
          <w:color w:val="auto"/>
          <w:spacing w:val="-4"/>
          <w:sz w:val="24"/>
          <w:szCs w:val="24"/>
          <w:highlight w:val="none"/>
        </w:rPr>
        <w:t>时，发包人同意后按变更单价计算合价后</w:t>
      </w:r>
      <w:r>
        <w:rPr>
          <w:rFonts w:ascii="宋体" w:hAnsi="宋体" w:eastAsia="宋体" w:cs="宋体"/>
          <w:color w:val="auto"/>
          <w:spacing w:val="-5"/>
          <w:sz w:val="24"/>
          <w:szCs w:val="24"/>
          <w:highlight w:val="none"/>
        </w:rPr>
        <w:t>，在该项目合价中扣除；工程</w:t>
      </w:r>
      <w:r>
        <w:rPr>
          <w:rFonts w:ascii="宋体" w:hAnsi="宋体" w:eastAsia="宋体" w:cs="宋体"/>
          <w:color w:val="auto"/>
          <w:spacing w:val="-1"/>
          <w:sz w:val="24"/>
          <w:szCs w:val="24"/>
          <w:highlight w:val="none"/>
        </w:rPr>
        <w:t>量减少在</w:t>
      </w:r>
      <w:r>
        <w:rPr>
          <w:rFonts w:ascii="Times New Roman" w:hAnsi="Times New Roman" w:eastAsia="Times New Roman" w:cs="Times New Roman"/>
          <w:color w:val="auto"/>
          <w:spacing w:val="-1"/>
          <w:sz w:val="24"/>
          <w:szCs w:val="24"/>
          <w:highlight w:val="none"/>
        </w:rPr>
        <w:t>15%</w:t>
      </w:r>
      <w:r>
        <w:rPr>
          <w:rFonts w:ascii="宋体" w:hAnsi="宋体" w:eastAsia="宋体" w:cs="宋体"/>
          <w:color w:val="auto"/>
          <w:spacing w:val="-1"/>
          <w:sz w:val="24"/>
          <w:szCs w:val="24"/>
          <w:highlight w:val="none"/>
        </w:rPr>
        <w:t>或</w:t>
      </w:r>
      <w:r>
        <w:rPr>
          <w:rFonts w:ascii="Times New Roman" w:hAnsi="Times New Roman" w:eastAsia="Times New Roman" w:cs="Times New Roman"/>
          <w:color w:val="auto"/>
          <w:spacing w:val="-1"/>
          <w:sz w:val="24"/>
          <w:szCs w:val="24"/>
          <w:highlight w:val="none"/>
        </w:rPr>
        <w:t>25%</w:t>
      </w:r>
      <w:r>
        <w:rPr>
          <w:rFonts w:ascii="宋体" w:hAnsi="宋体" w:eastAsia="宋体" w:cs="宋体"/>
          <w:color w:val="auto"/>
          <w:spacing w:val="-1"/>
          <w:sz w:val="24"/>
          <w:szCs w:val="24"/>
          <w:highlight w:val="none"/>
        </w:rPr>
        <w:t>以内的减少部分工程量，按合同单价计算合价后，在该项目合价</w:t>
      </w:r>
      <w:r>
        <w:rPr>
          <w:rFonts w:ascii="宋体" w:hAnsi="宋体" w:eastAsia="宋体" w:cs="宋体"/>
          <w:color w:val="auto"/>
          <w:spacing w:val="-9"/>
          <w:sz w:val="24"/>
          <w:szCs w:val="24"/>
          <w:highlight w:val="none"/>
        </w:rPr>
        <w:t>中扣除。</w:t>
      </w:r>
    </w:p>
    <w:p w14:paraId="4DCF4183">
      <w:pPr>
        <w:spacing w:line="226"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15.4</w:t>
      </w:r>
      <w:r>
        <w:rPr>
          <w:rFonts w:ascii="Times New Roman" w:hAnsi="Times New Roman" w:eastAsia="Times New Roman" w:cs="Times New Roman"/>
          <w:b/>
          <w:bCs/>
          <w:color w:val="auto"/>
          <w:spacing w:val="15"/>
          <w:sz w:val="24"/>
          <w:szCs w:val="24"/>
          <w:highlight w:val="none"/>
        </w:rPr>
        <w:t xml:space="preserve">  </w:t>
      </w:r>
      <w:r>
        <w:rPr>
          <w:rFonts w:ascii="楷体" w:hAnsi="楷体" w:eastAsia="楷体" w:cs="楷体"/>
          <w:b/>
          <w:bCs/>
          <w:color w:val="auto"/>
          <w:spacing w:val="-5"/>
          <w:sz w:val="24"/>
          <w:szCs w:val="24"/>
          <w:highlight w:val="none"/>
        </w:rPr>
        <w:t>变更的估价原则</w:t>
      </w:r>
    </w:p>
    <w:p w14:paraId="2F58B5F1">
      <w:pPr>
        <w:spacing w:before="174" w:line="359" w:lineRule="auto"/>
        <w:ind w:left="5" w:right="18" w:firstLine="484"/>
        <w:jc w:val="both"/>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15.4.3  </w:t>
      </w:r>
      <w:r>
        <w:rPr>
          <w:rFonts w:ascii="宋体" w:hAnsi="宋体" w:eastAsia="宋体" w:cs="宋体"/>
          <w:color w:val="auto"/>
          <w:spacing w:val="-1"/>
          <w:sz w:val="24"/>
          <w:szCs w:val="24"/>
          <w:highlight w:val="none"/>
        </w:rPr>
        <w:t>细化为：本合同在实施过程中，如遇到设计变更出现新增或</w:t>
      </w:r>
      <w:r>
        <w:rPr>
          <w:rFonts w:ascii="宋体" w:hAnsi="宋体" w:eastAsia="宋体" w:cs="宋体"/>
          <w:color w:val="auto"/>
          <w:spacing w:val="-2"/>
          <w:sz w:val="24"/>
          <w:szCs w:val="24"/>
          <w:highlight w:val="none"/>
        </w:rPr>
        <w:t>变更项目时</w:t>
      </w:r>
      <w:r>
        <w:rPr>
          <w:rFonts w:hint="eastAsia" w:ascii="宋体" w:hAnsi="宋体" w:eastAsia="宋体" w:cs="宋体"/>
          <w:color w:val="auto"/>
          <w:spacing w:val="-2"/>
          <w:sz w:val="24"/>
          <w:szCs w:val="24"/>
          <w:highlight w:val="none"/>
          <w:lang w:eastAsia="zh-CN"/>
        </w:rPr>
        <w:t>，</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则该新增或变更项目的单价由承包人按以下原则提出变更单价，监理人审核，发包人</w:t>
      </w:r>
      <w:r>
        <w:rPr>
          <w:rFonts w:ascii="宋体" w:hAnsi="宋体" w:eastAsia="宋体" w:cs="宋体"/>
          <w:color w:val="auto"/>
          <w:spacing w:val="-2"/>
          <w:sz w:val="24"/>
          <w:szCs w:val="24"/>
          <w:highlight w:val="none"/>
        </w:rPr>
        <w:t>同意后进入工程结算，支付方式执行合同约定的支付条款。</w:t>
      </w:r>
    </w:p>
    <w:p w14:paraId="094FB3AF">
      <w:pPr>
        <w:spacing w:line="218"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）人工预算单价采用投标期</w:t>
      </w:r>
      <w:r>
        <w:rPr>
          <w:rFonts w:hint="eastAsia" w:ascii="宋体" w:hAnsi="宋体" w:eastAsia="宋体" w:cs="宋体"/>
          <w:i/>
          <w:iCs/>
          <w:color w:val="auto"/>
          <w:spacing w:val="-2"/>
          <w:sz w:val="24"/>
          <w:szCs w:val="24"/>
          <w:highlight w:val="none"/>
          <w:u w:val="single"/>
          <w:lang w:val="en-US" w:eastAsia="zh-CN"/>
        </w:rPr>
        <w:t>招标控制价中确定</w:t>
      </w:r>
      <w:r>
        <w:rPr>
          <w:rFonts w:hint="eastAsia" w:ascii="宋体" w:hAnsi="宋体" w:eastAsia="宋体" w:cs="宋体"/>
          <w:color w:val="auto"/>
          <w:spacing w:val="-2"/>
          <w:sz w:val="24"/>
          <w:szCs w:val="24"/>
          <w:highlight w:val="none"/>
          <w:lang w:val="en-US" w:eastAsia="zh-CN"/>
        </w:rPr>
        <w:t>的</w:t>
      </w:r>
      <w:r>
        <w:rPr>
          <w:rFonts w:ascii="宋体" w:hAnsi="宋体" w:eastAsia="宋体" w:cs="宋体"/>
          <w:color w:val="auto"/>
          <w:spacing w:val="-2"/>
          <w:sz w:val="24"/>
          <w:szCs w:val="24"/>
          <w:highlight w:val="none"/>
        </w:rPr>
        <w:t>人工预算单价。</w:t>
      </w:r>
    </w:p>
    <w:p w14:paraId="4C868CE1">
      <w:pPr>
        <w:spacing w:before="184" w:line="317" w:lineRule="auto"/>
        <w:ind w:right="83" w:firstLine="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2</w:t>
      </w:r>
      <w:r>
        <w:rPr>
          <w:rFonts w:ascii="宋体" w:hAnsi="宋体" w:eastAsia="宋体" w:cs="宋体"/>
          <w:color w:val="auto"/>
          <w:spacing w:val="-5"/>
          <w:sz w:val="24"/>
          <w:szCs w:val="24"/>
          <w:highlight w:val="none"/>
        </w:rPr>
        <w:t>）材料预算价格采用投标期基价。投标期的基价是指</w:t>
      </w:r>
      <w:r>
        <w:rPr>
          <w:rFonts w:ascii="宋体" w:hAnsi="宋体" w:eastAsia="宋体" w:cs="宋体"/>
          <w:color w:val="auto"/>
          <w:spacing w:val="-97"/>
          <w:sz w:val="24"/>
          <w:szCs w:val="24"/>
          <w:highlight w:val="none"/>
        </w:rPr>
        <w:t xml:space="preserve"> </w:t>
      </w:r>
      <w:r>
        <w:rPr>
          <w:rFonts w:ascii="宋体" w:hAnsi="宋体" w:eastAsia="宋体" w:cs="宋体"/>
          <w:color w:val="auto"/>
          <w:spacing w:val="29"/>
          <w:sz w:val="25"/>
          <w:szCs w:val="25"/>
          <w:highlight w:val="none"/>
          <w:u w:val="single" w:color="auto"/>
        </w:rPr>
        <w:t xml:space="preserve">  </w:t>
      </w:r>
      <w:r>
        <w:rPr>
          <w:rFonts w:hint="eastAsia" w:ascii="宋体" w:hAnsi="宋体" w:eastAsia="宋体" w:cs="宋体"/>
          <w:color w:val="auto"/>
          <w:spacing w:val="29"/>
          <w:sz w:val="25"/>
          <w:szCs w:val="25"/>
          <w:highlight w:val="none"/>
          <w:u w:val="single" w:color="auto"/>
          <w:lang w:val="en-US" w:eastAsia="zh-CN"/>
        </w:rPr>
        <w:t>招标控制价中确定的</w:t>
      </w:r>
      <w:r>
        <w:rPr>
          <w:rFonts w:ascii="宋体" w:hAnsi="宋体" w:eastAsia="宋体" w:cs="宋体"/>
          <w:i/>
          <w:iCs/>
          <w:strike/>
          <w:dstrike w:val="0"/>
          <w:color w:val="auto"/>
          <w:spacing w:val="-5"/>
          <w:sz w:val="25"/>
          <w:szCs w:val="25"/>
          <w:highlight w:val="none"/>
          <w:u w:val="single" w:color="auto"/>
        </w:rPr>
        <w:t>填入信息价发布部门</w:t>
      </w:r>
      <w:r>
        <w:rPr>
          <w:rFonts w:ascii="宋体" w:hAnsi="宋体" w:eastAsia="宋体" w:cs="宋体"/>
          <w:strike/>
          <w:dstrike w:val="0"/>
          <w:color w:val="auto"/>
          <w:spacing w:val="1"/>
          <w:sz w:val="25"/>
          <w:szCs w:val="25"/>
          <w:highlight w:val="none"/>
        </w:rPr>
        <w:t xml:space="preserve"> </w:t>
      </w:r>
      <w:r>
        <w:rPr>
          <w:rFonts w:ascii="宋体" w:hAnsi="宋体" w:eastAsia="宋体" w:cs="宋体"/>
          <w:strike/>
          <w:dstrike w:val="0"/>
          <w:color w:val="auto"/>
          <w:spacing w:val="-13"/>
          <w:sz w:val="24"/>
          <w:szCs w:val="24"/>
          <w:highlight w:val="none"/>
        </w:rPr>
        <w:t>发布的</w:t>
      </w:r>
      <w:r>
        <w:rPr>
          <w:rFonts w:ascii="宋体" w:hAnsi="宋体" w:eastAsia="宋体" w:cs="宋体"/>
          <w:strike/>
          <w:dstrike w:val="0"/>
          <w:color w:val="auto"/>
          <w:spacing w:val="-13"/>
          <w:sz w:val="25"/>
          <w:szCs w:val="25"/>
          <w:highlight w:val="none"/>
          <w:u w:val="single" w:color="auto"/>
        </w:rPr>
        <w:t xml:space="preserve">   </w:t>
      </w:r>
      <w:r>
        <w:rPr>
          <w:rFonts w:ascii="宋体" w:hAnsi="宋体" w:eastAsia="宋体" w:cs="宋体"/>
          <w:i/>
          <w:iCs/>
          <w:strike/>
          <w:dstrike w:val="0"/>
          <w:color w:val="auto"/>
          <w:spacing w:val="-13"/>
          <w:sz w:val="25"/>
          <w:szCs w:val="25"/>
          <w:highlight w:val="none"/>
          <w:u w:val="single" w:color="auto"/>
        </w:rPr>
        <w:t>填入信息价的期刊名称、具体期号（按投标截止时</w:t>
      </w:r>
      <w:r>
        <w:rPr>
          <w:rFonts w:ascii="宋体" w:hAnsi="宋体" w:eastAsia="宋体" w:cs="宋体"/>
          <w:i/>
          <w:iCs/>
          <w:strike/>
          <w:dstrike w:val="0"/>
          <w:color w:val="auto"/>
          <w:spacing w:val="-14"/>
          <w:sz w:val="25"/>
          <w:szCs w:val="25"/>
          <w:highlight w:val="none"/>
          <w:u w:val="single" w:color="auto"/>
        </w:rPr>
        <w:t>间前</w:t>
      </w:r>
      <w:r>
        <w:rPr>
          <w:rFonts w:ascii="Times New Roman" w:hAnsi="Times New Roman" w:eastAsia="Times New Roman" w:cs="Times New Roman"/>
          <w:i/>
          <w:iCs/>
          <w:strike/>
          <w:dstrike w:val="0"/>
          <w:color w:val="auto"/>
          <w:spacing w:val="-14"/>
          <w:sz w:val="24"/>
          <w:szCs w:val="24"/>
          <w:highlight w:val="none"/>
          <w:u w:val="single" w:color="auto"/>
        </w:rPr>
        <w:t>1</w:t>
      </w:r>
      <w:r>
        <w:rPr>
          <w:rFonts w:ascii="宋体" w:hAnsi="宋体" w:eastAsia="宋体" w:cs="宋体"/>
          <w:i/>
          <w:iCs/>
          <w:strike/>
          <w:dstrike w:val="0"/>
          <w:color w:val="auto"/>
          <w:spacing w:val="-14"/>
          <w:sz w:val="25"/>
          <w:szCs w:val="25"/>
          <w:highlight w:val="none"/>
          <w:u w:val="single" w:color="auto"/>
        </w:rPr>
        <w:t>个月的期刊）</w:t>
      </w:r>
      <w:r>
        <w:rPr>
          <w:rFonts w:ascii="宋体" w:hAnsi="宋体" w:eastAsia="宋体" w:cs="宋体"/>
          <w:strike/>
          <w:dstrike w:val="0"/>
          <w:color w:val="auto"/>
          <w:spacing w:val="-58"/>
          <w:sz w:val="25"/>
          <w:szCs w:val="25"/>
          <w:highlight w:val="none"/>
          <w:u w:val="single" w:color="auto"/>
        </w:rPr>
        <w:t xml:space="preserve"> </w:t>
      </w:r>
      <w:r>
        <w:rPr>
          <w:rFonts w:ascii="宋体" w:hAnsi="宋体" w:eastAsia="宋体" w:cs="宋体"/>
          <w:strike/>
          <w:dstrike w:val="0"/>
          <w:color w:val="auto"/>
          <w:spacing w:val="-93"/>
          <w:sz w:val="25"/>
          <w:szCs w:val="25"/>
          <w:highlight w:val="none"/>
        </w:rPr>
        <w:t xml:space="preserve"> </w:t>
      </w:r>
      <w:r>
        <w:rPr>
          <w:rFonts w:ascii="宋体" w:hAnsi="宋体" w:eastAsia="宋体" w:cs="宋体"/>
          <w:strike/>
          <w:dstrike w:val="0"/>
          <w:color w:val="auto"/>
          <w:spacing w:val="-14"/>
          <w:sz w:val="24"/>
          <w:szCs w:val="24"/>
          <w:highlight w:val="none"/>
        </w:rPr>
        <w:t>中项</w:t>
      </w:r>
      <w:r>
        <w:rPr>
          <w:rFonts w:ascii="宋体" w:hAnsi="宋体" w:eastAsia="宋体" w:cs="宋体"/>
          <w:strike/>
          <w:dstrike w:val="0"/>
          <w:color w:val="auto"/>
          <w:spacing w:val="-5"/>
          <w:sz w:val="24"/>
          <w:szCs w:val="24"/>
          <w:highlight w:val="none"/>
        </w:rPr>
        <w:t>目所在地</w:t>
      </w:r>
      <w:r>
        <w:rPr>
          <w:rFonts w:ascii="宋体" w:hAnsi="宋体" w:eastAsia="宋体" w:cs="宋体"/>
          <w:color w:val="auto"/>
          <w:spacing w:val="-5"/>
          <w:sz w:val="24"/>
          <w:szCs w:val="24"/>
          <w:highlight w:val="none"/>
        </w:rPr>
        <w:t>信息价。如无信息价，</w:t>
      </w:r>
      <w:r>
        <w:rPr>
          <w:rFonts w:ascii="宋体" w:hAnsi="宋体" w:eastAsia="宋体" w:cs="宋体"/>
          <w:color w:val="auto"/>
          <w:spacing w:val="-37"/>
          <w:sz w:val="24"/>
          <w:szCs w:val="24"/>
          <w:highlight w:val="none"/>
        </w:rPr>
        <w:t xml:space="preserve"> </w:t>
      </w:r>
      <w:r>
        <w:rPr>
          <w:rFonts w:ascii="宋体" w:hAnsi="宋体" w:eastAsia="宋体" w:cs="宋体"/>
          <w:color w:val="auto"/>
          <w:spacing w:val="-5"/>
          <w:sz w:val="24"/>
          <w:szCs w:val="24"/>
          <w:highlight w:val="none"/>
        </w:rPr>
        <w:t>则根据项目实施时的材料市场价由相关部门组织询价确定材料预算价格。</w:t>
      </w:r>
    </w:p>
    <w:p w14:paraId="3F23C652">
      <w:pPr>
        <w:spacing w:before="184" w:line="289" w:lineRule="auto"/>
        <w:ind w:left="1" w:right="95"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3</w:t>
      </w:r>
      <w:r>
        <w:rPr>
          <w:rFonts w:ascii="宋体" w:hAnsi="宋体" w:eastAsia="宋体" w:cs="宋体"/>
          <w:color w:val="auto"/>
          <w:sz w:val="24"/>
          <w:szCs w:val="24"/>
          <w:highlight w:val="none"/>
        </w:rPr>
        <w:t>）机械台班单价按投标期</w:t>
      </w:r>
      <w:r>
        <w:rPr>
          <w:rFonts w:hint="eastAsia" w:ascii="宋体" w:hAnsi="宋体" w:eastAsia="宋体" w:cs="宋体"/>
          <w:i/>
          <w:iCs/>
          <w:color w:val="auto"/>
          <w:spacing w:val="-2"/>
          <w:sz w:val="24"/>
          <w:szCs w:val="24"/>
          <w:highlight w:val="none"/>
          <w:u w:val="single"/>
          <w:lang w:val="en-US" w:eastAsia="zh-CN"/>
        </w:rPr>
        <w:t>招标控制价中确定的</w:t>
      </w:r>
      <w:r>
        <w:rPr>
          <w:rFonts w:ascii="宋体" w:hAnsi="宋体" w:eastAsia="宋体" w:cs="宋体"/>
          <w:color w:val="auto"/>
          <w:sz w:val="24"/>
          <w:szCs w:val="24"/>
          <w:highlight w:val="none"/>
        </w:rPr>
        <w:t>施工机械台班定额和有关</w:t>
      </w:r>
      <w:r>
        <w:rPr>
          <w:rFonts w:ascii="宋体" w:hAnsi="宋体" w:eastAsia="宋体" w:cs="宋体"/>
          <w:color w:val="auto"/>
          <w:spacing w:val="-8"/>
          <w:sz w:val="24"/>
          <w:szCs w:val="24"/>
          <w:highlight w:val="none"/>
        </w:rPr>
        <w:t>规定计算。</w:t>
      </w:r>
    </w:p>
    <w:p w14:paraId="3AA34452">
      <w:pPr>
        <w:spacing w:before="180" w:line="289" w:lineRule="auto"/>
        <w:ind w:left="3" w:firstLine="483"/>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4</w:t>
      </w:r>
      <w:r>
        <w:rPr>
          <w:rFonts w:ascii="宋体" w:hAnsi="宋体" w:eastAsia="宋体" w:cs="宋体"/>
          <w:color w:val="auto"/>
          <w:sz w:val="24"/>
          <w:szCs w:val="24"/>
          <w:highlight w:val="none"/>
        </w:rPr>
        <w:t>）定额采用投标期</w:t>
      </w:r>
      <w:r>
        <w:rPr>
          <w:rFonts w:hint="eastAsia" w:ascii="宋体" w:hAnsi="宋体" w:eastAsia="宋体" w:cs="宋体"/>
          <w:i/>
          <w:iCs/>
          <w:color w:val="auto"/>
          <w:spacing w:val="-2"/>
          <w:sz w:val="24"/>
          <w:szCs w:val="24"/>
          <w:highlight w:val="none"/>
          <w:u w:val="single"/>
          <w:lang w:val="en-US" w:eastAsia="zh-CN"/>
        </w:rPr>
        <w:t>招标控制价中确定的</w:t>
      </w:r>
      <w:r>
        <w:rPr>
          <w:rFonts w:ascii="宋体" w:hAnsi="宋体" w:eastAsia="宋体" w:cs="宋体"/>
          <w:color w:val="auto"/>
          <w:sz w:val="24"/>
          <w:szCs w:val="24"/>
          <w:highlight w:val="none"/>
        </w:rPr>
        <w:t>定额和有关规定</w:t>
      </w:r>
      <w:r>
        <w:rPr>
          <w:rFonts w:ascii="宋体" w:hAnsi="宋体" w:eastAsia="宋体" w:cs="宋体"/>
          <w:color w:val="auto"/>
          <w:spacing w:val="-1"/>
          <w:sz w:val="24"/>
          <w:szCs w:val="24"/>
          <w:highlight w:val="none"/>
        </w:rPr>
        <w:t>，如</w:t>
      </w:r>
      <w:r>
        <w:rPr>
          <w:rFonts w:hint="eastAsia" w:ascii="宋体" w:hAnsi="宋体" w:eastAsia="宋体" w:cs="宋体"/>
          <w:i/>
          <w:iCs/>
          <w:color w:val="auto"/>
          <w:spacing w:val="-2"/>
          <w:sz w:val="24"/>
          <w:szCs w:val="24"/>
          <w:highlight w:val="none"/>
          <w:u w:val="single"/>
          <w:lang w:val="en-US" w:eastAsia="zh-CN"/>
        </w:rPr>
        <w:t>招标控制价中确定的</w:t>
      </w:r>
      <w:r>
        <w:rPr>
          <w:rFonts w:ascii="宋体" w:hAnsi="宋体" w:eastAsia="宋体" w:cs="宋体"/>
          <w:color w:val="auto"/>
          <w:spacing w:val="-1"/>
          <w:sz w:val="24"/>
          <w:szCs w:val="24"/>
          <w:highlight w:val="none"/>
        </w:rPr>
        <w:t>工程定额不能满足计价，可采用其他相关行业定额的定额含量计价</w:t>
      </w:r>
      <w:r>
        <w:rPr>
          <w:rFonts w:hint="eastAsia" w:ascii="宋体" w:hAnsi="宋体" w:eastAsia="宋体" w:cs="宋体"/>
          <w:color w:val="auto"/>
          <w:spacing w:val="-1"/>
          <w:sz w:val="24"/>
          <w:szCs w:val="24"/>
          <w:highlight w:val="none"/>
          <w:lang w:eastAsia="zh-CN"/>
        </w:rPr>
        <w:t>。</w:t>
      </w:r>
    </w:p>
    <w:p w14:paraId="1E19060B">
      <w:pPr>
        <w:spacing w:before="183" w:line="289" w:lineRule="auto"/>
        <w:ind w:right="136" w:firstLine="487"/>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w:t>
      </w:r>
      <w:r>
        <w:rPr>
          <w:rFonts w:ascii="Times New Roman" w:hAnsi="Times New Roman" w:eastAsia="Times New Roman" w:cs="Times New Roman"/>
          <w:color w:val="auto"/>
          <w:spacing w:val="-8"/>
          <w:sz w:val="24"/>
          <w:szCs w:val="24"/>
          <w:highlight w:val="none"/>
        </w:rPr>
        <w:t>5</w:t>
      </w:r>
      <w:r>
        <w:rPr>
          <w:rFonts w:ascii="宋体" w:hAnsi="宋体" w:eastAsia="宋体" w:cs="宋体"/>
          <w:color w:val="auto"/>
          <w:spacing w:val="-8"/>
          <w:sz w:val="24"/>
          <w:szCs w:val="24"/>
          <w:highlight w:val="none"/>
        </w:rPr>
        <w:t>）取费费率采用投标期</w:t>
      </w:r>
      <w:r>
        <w:rPr>
          <w:rFonts w:hint="eastAsia" w:ascii="宋体" w:hAnsi="宋体" w:eastAsia="宋体" w:cs="宋体"/>
          <w:i/>
          <w:iCs/>
          <w:color w:val="auto"/>
          <w:spacing w:val="-2"/>
          <w:sz w:val="24"/>
          <w:szCs w:val="24"/>
          <w:highlight w:val="none"/>
          <w:u w:val="single"/>
          <w:lang w:val="en-US" w:eastAsia="zh-CN"/>
        </w:rPr>
        <w:t>招标控制价中确定的</w:t>
      </w:r>
      <w:r>
        <w:rPr>
          <w:rFonts w:ascii="宋体" w:hAnsi="宋体" w:eastAsia="宋体" w:cs="宋体"/>
          <w:color w:val="auto"/>
          <w:spacing w:val="-8"/>
          <w:sz w:val="24"/>
          <w:szCs w:val="24"/>
          <w:highlight w:val="none"/>
        </w:rPr>
        <w:t>取费标准，按工程类别选取费率</w:t>
      </w:r>
      <w:r>
        <w:rPr>
          <w:rFonts w:hint="eastAsia" w:ascii="宋体" w:hAnsi="宋体" w:eastAsia="宋体" w:cs="宋体"/>
          <w:color w:val="auto"/>
          <w:spacing w:val="-8"/>
          <w:sz w:val="24"/>
          <w:szCs w:val="24"/>
          <w:highlight w:val="none"/>
          <w:lang w:eastAsia="zh-CN"/>
        </w:rPr>
        <w:t>，</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对各项弹性区间费率取中间值。</w:t>
      </w:r>
    </w:p>
    <w:p w14:paraId="1BC12378">
      <w:pPr>
        <w:spacing w:before="182" w:line="218"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）上述单价按以下计算的综合优惠率进</w:t>
      </w:r>
      <w:r>
        <w:rPr>
          <w:rFonts w:ascii="宋体" w:hAnsi="宋体" w:eastAsia="宋体" w:cs="宋体"/>
          <w:color w:val="auto"/>
          <w:spacing w:val="-3"/>
          <w:sz w:val="24"/>
          <w:szCs w:val="24"/>
          <w:highlight w:val="none"/>
        </w:rPr>
        <w:t>行优惠。</w:t>
      </w:r>
    </w:p>
    <w:p w14:paraId="09B7D7BD">
      <w:pPr>
        <w:spacing w:before="184" w:line="212" w:lineRule="auto"/>
        <w:ind w:left="48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综合优惠率＝</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6"/>
          <w:sz w:val="24"/>
          <w:szCs w:val="24"/>
          <w:highlight w:val="none"/>
        </w:rPr>
        <w:t>－（</w:t>
      </w:r>
      <w:r>
        <w:rPr>
          <w:rFonts w:ascii="宋体" w:hAnsi="宋体" w:eastAsia="宋体" w:cs="宋体"/>
          <w:color w:val="auto"/>
          <w:spacing w:val="-2"/>
          <w:sz w:val="24"/>
          <w:szCs w:val="24"/>
          <w:highlight w:val="none"/>
        </w:rPr>
        <w:t>投标人投标价－预留金－暂估价）</w:t>
      </w:r>
      <w:r>
        <w:rPr>
          <w:rFonts w:ascii="宋体" w:hAnsi="宋体" w:eastAsia="宋体" w:cs="宋体"/>
          <w:color w:val="auto"/>
          <w:spacing w:val="-68"/>
          <w:sz w:val="24"/>
          <w:szCs w:val="24"/>
          <w:highlight w:val="none"/>
        </w:rPr>
        <w:t xml:space="preserve"> </w:t>
      </w:r>
      <w:r>
        <w:rPr>
          <w:rFonts w:ascii="宋体" w:hAnsi="宋体" w:eastAsia="宋体" w:cs="宋体"/>
          <w:color w:val="auto"/>
          <w:spacing w:val="-2"/>
          <w:sz w:val="24"/>
          <w:szCs w:val="24"/>
          <w:highlight w:val="none"/>
        </w:rPr>
        <w:t>÷（本标段最高</w:t>
      </w:r>
      <w:r>
        <w:rPr>
          <w:rFonts w:ascii="宋体" w:hAnsi="宋体" w:eastAsia="宋体" w:cs="宋体"/>
          <w:color w:val="auto"/>
          <w:spacing w:val="-3"/>
          <w:sz w:val="24"/>
          <w:szCs w:val="24"/>
          <w:highlight w:val="none"/>
        </w:rPr>
        <w:t>投标限价</w:t>
      </w:r>
    </w:p>
    <w:p w14:paraId="18C30845">
      <w:pPr>
        <w:spacing w:before="192" w:line="212" w:lineRule="auto"/>
        <w:ind w:left="22"/>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-预留金－暂估价）</w:t>
      </w:r>
      <w:r>
        <w:rPr>
          <w:rFonts w:ascii="Times New Roman" w:hAnsi="Times New Roman" w:eastAsia="Times New Roman" w:cs="Times New Roman"/>
          <w:color w:val="auto"/>
          <w:spacing w:val="-7"/>
          <w:sz w:val="24"/>
          <w:szCs w:val="24"/>
          <w:highlight w:val="none"/>
        </w:rPr>
        <w:t>]</w:t>
      </w:r>
      <w:r>
        <w:rPr>
          <w:rFonts w:ascii="Times New Roman" w:hAnsi="Times New Roman" w:eastAsia="Times New Roman" w:cs="Times New Roman"/>
          <w:color w:val="auto"/>
          <w:spacing w:val="-1"/>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92"/>
          <w:sz w:val="24"/>
          <w:szCs w:val="24"/>
          <w:highlight w:val="none"/>
        </w:rPr>
        <w:t xml:space="preserve"> </w:t>
      </w:r>
      <w:r>
        <w:rPr>
          <w:rFonts w:ascii="Times New Roman" w:hAnsi="Times New Roman" w:eastAsia="Times New Roman" w:cs="Times New Roman"/>
          <w:color w:val="auto"/>
          <w:spacing w:val="-7"/>
          <w:sz w:val="24"/>
          <w:szCs w:val="24"/>
          <w:highlight w:val="none"/>
        </w:rPr>
        <w:t>100%</w:t>
      </w:r>
      <w:r>
        <w:rPr>
          <w:rFonts w:ascii="宋体" w:hAnsi="宋体" w:eastAsia="宋体" w:cs="宋体"/>
          <w:color w:val="auto"/>
          <w:spacing w:val="-7"/>
          <w:sz w:val="24"/>
          <w:szCs w:val="24"/>
          <w:highlight w:val="none"/>
        </w:rPr>
        <w:t>。</w:t>
      </w:r>
    </w:p>
    <w:p w14:paraId="73BB9988">
      <w:pPr>
        <w:spacing w:before="191" w:line="218"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7</w:t>
      </w:r>
      <w:r>
        <w:rPr>
          <w:rFonts w:ascii="宋体" w:hAnsi="宋体" w:eastAsia="宋体" w:cs="宋体"/>
          <w:color w:val="auto"/>
          <w:spacing w:val="-2"/>
          <w:sz w:val="24"/>
          <w:szCs w:val="24"/>
          <w:highlight w:val="none"/>
        </w:rPr>
        <w:t>）按照上述仍无法组价的，根据市场招标或询价确定。</w:t>
      </w:r>
    </w:p>
    <w:p w14:paraId="04C1A2FD">
      <w:pPr>
        <w:spacing w:before="183" w:line="229"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15.5  </w:t>
      </w:r>
      <w:r>
        <w:rPr>
          <w:rFonts w:ascii="楷体" w:hAnsi="楷体" w:eastAsia="楷体" w:cs="楷体"/>
          <w:b/>
          <w:bCs/>
          <w:color w:val="auto"/>
          <w:spacing w:val="-2"/>
          <w:sz w:val="24"/>
          <w:szCs w:val="24"/>
          <w:highlight w:val="none"/>
        </w:rPr>
        <w:t>承包人的合理化建议</w:t>
      </w:r>
    </w:p>
    <w:p w14:paraId="287B2529">
      <w:pPr>
        <w:spacing w:before="169" w:line="220" w:lineRule="auto"/>
        <w:ind w:left="48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15.5.2  </w:t>
      </w:r>
      <w:r>
        <w:rPr>
          <w:rFonts w:ascii="宋体" w:hAnsi="宋体" w:eastAsia="宋体" w:cs="宋体"/>
          <w:color w:val="auto"/>
          <w:spacing w:val="-1"/>
          <w:sz w:val="24"/>
          <w:szCs w:val="24"/>
          <w:highlight w:val="none"/>
        </w:rPr>
        <w:t>承包人实现合理化建议的奖励金额为：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不奖励</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7A0E165E">
      <w:pPr>
        <w:spacing w:before="181" w:line="227"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15.8</w:t>
      </w:r>
      <w:r>
        <w:rPr>
          <w:rFonts w:ascii="Times New Roman" w:hAnsi="Times New Roman" w:eastAsia="Times New Roman" w:cs="Times New Roman"/>
          <w:b/>
          <w:bCs/>
          <w:color w:val="auto"/>
          <w:spacing w:val="8"/>
          <w:sz w:val="24"/>
          <w:szCs w:val="24"/>
          <w:highlight w:val="none"/>
        </w:rPr>
        <w:t xml:space="preserve">  </w:t>
      </w:r>
      <w:r>
        <w:rPr>
          <w:rFonts w:ascii="楷体" w:hAnsi="楷体" w:eastAsia="楷体" w:cs="楷体"/>
          <w:b/>
          <w:bCs/>
          <w:color w:val="auto"/>
          <w:spacing w:val="-5"/>
          <w:sz w:val="24"/>
          <w:szCs w:val="24"/>
          <w:highlight w:val="none"/>
        </w:rPr>
        <w:t>暂估价</w:t>
      </w:r>
    </w:p>
    <w:p w14:paraId="287C5617">
      <w:pPr>
        <w:spacing w:before="169" w:line="220" w:lineRule="auto"/>
        <w:ind w:left="489"/>
        <w:rPr>
          <w:rFonts w:ascii="宋体" w:hAnsi="宋体" w:eastAsia="宋体" w:cs="宋体"/>
          <w:color w:val="auto"/>
          <w:spacing w:val="-1"/>
          <w:sz w:val="24"/>
          <w:szCs w:val="24"/>
          <w:highlight w:val="none"/>
        </w:rPr>
      </w:pPr>
      <w:r>
        <w:rPr>
          <w:rFonts w:ascii="Times New Roman" w:hAnsi="Times New Roman" w:eastAsia="Times New Roman" w:cs="Times New Roman"/>
          <w:b/>
          <w:bCs/>
          <w:color w:val="auto"/>
          <w:spacing w:val="-1"/>
          <w:sz w:val="24"/>
          <w:szCs w:val="24"/>
          <w:highlight w:val="none"/>
        </w:rPr>
        <w:t>15.8.1</w:t>
      </w:r>
      <w:r>
        <w:rPr>
          <w:rFonts w:ascii="宋体" w:hAnsi="宋体" w:eastAsia="宋体" w:cs="宋体"/>
          <w:color w:val="auto"/>
          <w:spacing w:val="-1"/>
          <w:sz w:val="24"/>
          <w:szCs w:val="24"/>
          <w:highlight w:val="none"/>
        </w:rPr>
        <w:t>（1）发包人和承包人组织招标的暂估价项目：</w:t>
      </w:r>
      <w:r>
        <w:rPr>
          <w:rFonts w:ascii="宋体" w:hAnsi="宋体" w:eastAsia="宋体" w:cs="宋体"/>
          <w:color w:val="auto"/>
          <w:spacing w:val="-1"/>
          <w:sz w:val="24"/>
          <w:szCs w:val="24"/>
          <w:highlight w:val="none"/>
          <w:u w:val="single" w:color="auto"/>
        </w:rPr>
        <w:t xml:space="preserve"> （签约后填入） </w:t>
      </w:r>
      <w:r>
        <w:rPr>
          <w:rFonts w:ascii="宋体" w:hAnsi="宋体" w:eastAsia="宋体" w:cs="宋体"/>
          <w:color w:val="auto"/>
          <w:spacing w:val="-1"/>
          <w:sz w:val="24"/>
          <w:szCs w:val="24"/>
          <w:highlight w:val="none"/>
        </w:rPr>
        <w:t>；发包</w:t>
      </w:r>
    </w:p>
    <w:p w14:paraId="43B56E00">
      <w:pPr>
        <w:spacing w:before="169" w:line="220" w:lineRule="auto"/>
        <w:ind w:left="48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人组织招标的暂估价项目：</w:t>
      </w:r>
      <w:r>
        <w:rPr>
          <w:rFonts w:ascii="宋体" w:hAnsi="宋体" w:eastAsia="宋体" w:cs="宋体"/>
          <w:color w:val="auto"/>
          <w:spacing w:val="121"/>
          <w:sz w:val="24"/>
          <w:szCs w:val="24"/>
          <w:highlight w:val="none"/>
          <w:u w:val="single" w:color="auto"/>
        </w:rPr>
        <w:t xml:space="preserve"> </w:t>
      </w:r>
      <w:r>
        <w:rPr>
          <w:rFonts w:ascii="宋体" w:hAnsi="宋体" w:eastAsia="宋体" w:cs="宋体"/>
          <w:color w:val="auto"/>
          <w:spacing w:val="3"/>
          <w:sz w:val="24"/>
          <w:szCs w:val="24"/>
          <w:highlight w:val="none"/>
          <w:u w:val="single" w:color="auto"/>
        </w:rPr>
        <w:t>（</w:t>
      </w:r>
      <w:r>
        <w:rPr>
          <w:rFonts w:ascii="宋体" w:hAnsi="宋体" w:eastAsia="宋体" w:cs="宋体"/>
          <w:color w:val="auto"/>
          <w:spacing w:val="-1"/>
          <w:sz w:val="24"/>
          <w:szCs w:val="24"/>
          <w:highlight w:val="none"/>
          <w:u w:val="single" w:color="auto"/>
        </w:rPr>
        <w:t xml:space="preserve">签约后填入）  </w:t>
      </w:r>
      <w:r>
        <w:rPr>
          <w:rFonts w:ascii="宋体" w:hAnsi="宋体" w:eastAsia="宋体" w:cs="宋体"/>
          <w:color w:val="auto"/>
          <w:spacing w:val="-1"/>
          <w:sz w:val="24"/>
          <w:szCs w:val="24"/>
          <w:highlight w:val="none"/>
        </w:rPr>
        <w:t>。</w:t>
      </w:r>
    </w:p>
    <w:p w14:paraId="342861B9">
      <w:pPr>
        <w:spacing w:before="183" w:line="361" w:lineRule="auto"/>
        <w:ind w:right="95"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）发包人和承包人以招标方式选择暂估价项目供应商或分包人时，双方的权</w:t>
      </w:r>
      <w:r>
        <w:rPr>
          <w:rFonts w:ascii="宋体" w:hAnsi="宋体" w:eastAsia="宋体" w:cs="宋体"/>
          <w:color w:val="auto"/>
          <w:spacing w:val="-1"/>
          <w:sz w:val="24"/>
          <w:szCs w:val="24"/>
          <w:highlight w:val="none"/>
        </w:rPr>
        <w:t>利义务关系：</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40A0D51C">
      <w:pPr>
        <w:spacing w:before="120" w:line="225" w:lineRule="auto"/>
        <w:ind w:left="8"/>
        <w:outlineLvl w:val="2"/>
        <w:rPr>
          <w:rFonts w:ascii="宋体" w:hAnsi="宋体" w:eastAsia="宋体" w:cs="宋体"/>
          <w:color w:val="auto"/>
          <w:sz w:val="27"/>
          <w:szCs w:val="27"/>
          <w:highlight w:val="none"/>
        </w:rPr>
      </w:pPr>
      <w:bookmarkStart w:id="130" w:name="bookmark87"/>
      <w:bookmarkEnd w:id="130"/>
      <w:bookmarkStart w:id="131" w:name="_Toc3321"/>
      <w:r>
        <w:rPr>
          <w:rFonts w:ascii="Times New Roman" w:hAnsi="Times New Roman" w:eastAsia="Times New Roman" w:cs="Times New Roman"/>
          <w:b/>
          <w:bCs/>
          <w:color w:val="auto"/>
          <w:spacing w:val="1"/>
          <w:sz w:val="27"/>
          <w:szCs w:val="27"/>
          <w:highlight w:val="none"/>
        </w:rPr>
        <w:t>16</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1"/>
          <w:sz w:val="27"/>
          <w:szCs w:val="27"/>
          <w:highlight w:val="none"/>
        </w:rPr>
        <w:t>价格调整</w:t>
      </w:r>
      <w:bookmarkEnd w:id="131"/>
    </w:p>
    <w:p w14:paraId="47F5FCFE">
      <w:pPr>
        <w:pStyle w:val="8"/>
        <w:spacing w:line="249" w:lineRule="auto"/>
        <w:rPr>
          <w:color w:val="auto"/>
          <w:highlight w:val="none"/>
        </w:rPr>
      </w:pPr>
    </w:p>
    <w:p w14:paraId="00EB1C21">
      <w:pPr>
        <w:spacing w:before="78" w:line="230" w:lineRule="auto"/>
        <w:ind w:left="5"/>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16.1  </w:t>
      </w:r>
      <w:r>
        <w:rPr>
          <w:rFonts w:ascii="楷体" w:hAnsi="楷体" w:eastAsia="楷体" w:cs="楷体"/>
          <w:b/>
          <w:bCs/>
          <w:color w:val="auto"/>
          <w:spacing w:val="-2"/>
          <w:sz w:val="24"/>
          <w:szCs w:val="24"/>
          <w:highlight w:val="none"/>
        </w:rPr>
        <w:t>物价波动引起的价格调整</w:t>
      </w:r>
    </w:p>
    <w:p w14:paraId="2A180D90">
      <w:pPr>
        <w:spacing w:before="168" w:line="218" w:lineRule="auto"/>
        <w:ind w:left="47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物价波动引起的价格调整方式：</w:t>
      </w:r>
      <w:r>
        <w:rPr>
          <w:rFonts w:hint="eastAsia" w:ascii="宋体" w:hAnsi="宋体" w:eastAsia="宋体" w:cs="宋体"/>
          <w:color w:val="auto"/>
          <w:spacing w:val="-1"/>
          <w:sz w:val="24"/>
          <w:szCs w:val="24"/>
          <w:highlight w:val="none"/>
          <w:u w:val="single" w:color="auto"/>
          <w:lang w:val="en-US" w:eastAsia="zh-CN"/>
        </w:rPr>
        <w:t>不调整</w:t>
      </w:r>
      <w:r>
        <w:rPr>
          <w:rFonts w:ascii="宋体" w:hAnsi="宋体" w:eastAsia="宋体" w:cs="宋体"/>
          <w:color w:val="auto"/>
          <w:spacing w:val="-1"/>
          <w:sz w:val="24"/>
          <w:szCs w:val="24"/>
          <w:highlight w:val="none"/>
          <w:u w:val="single" w:color="auto"/>
        </w:rPr>
        <w:t>。</w:t>
      </w:r>
    </w:p>
    <w:p w14:paraId="6464ACB0">
      <w:pPr>
        <w:spacing w:before="184" w:line="218" w:lineRule="auto"/>
        <w:jc w:val="right"/>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6"/>
          <w:sz w:val="24"/>
          <w:szCs w:val="24"/>
          <w:highlight w:val="none"/>
        </w:rPr>
        <w:t xml:space="preserve">16.1.2  </w:t>
      </w:r>
      <w:r>
        <w:rPr>
          <w:rFonts w:ascii="宋体" w:hAnsi="宋体" w:eastAsia="宋体" w:cs="宋体"/>
          <w:strike/>
          <w:dstrike w:val="0"/>
          <w:color w:val="auto"/>
          <w:spacing w:val="-6"/>
          <w:sz w:val="24"/>
          <w:szCs w:val="24"/>
          <w:highlight w:val="none"/>
        </w:rPr>
        <w:t>约定为：合同执行期间，仅对合同工程的</w:t>
      </w:r>
      <w:r>
        <w:rPr>
          <w:rFonts w:ascii="宋体" w:hAnsi="宋体" w:eastAsia="宋体" w:cs="宋体"/>
          <w:strike/>
          <w:dstrike w:val="0"/>
          <w:color w:val="auto"/>
          <w:spacing w:val="-6"/>
          <w:sz w:val="24"/>
          <w:szCs w:val="24"/>
          <w:highlight w:val="none"/>
          <w:u w:val="single" w:color="auto"/>
        </w:rPr>
        <w:t xml:space="preserve">  </w:t>
      </w:r>
      <w:r>
        <w:rPr>
          <w:rFonts w:ascii="宋体" w:hAnsi="宋体" w:eastAsia="宋体" w:cs="宋体"/>
          <w:strike/>
          <w:dstrike w:val="0"/>
          <w:color w:val="auto"/>
          <w:spacing w:val="-7"/>
          <w:sz w:val="24"/>
          <w:szCs w:val="24"/>
          <w:highlight w:val="none"/>
          <w:u w:val="single" w:color="auto"/>
        </w:rPr>
        <w:t xml:space="preserve">单价承包部分  </w:t>
      </w:r>
      <w:r>
        <w:rPr>
          <w:rFonts w:ascii="宋体" w:hAnsi="宋体" w:eastAsia="宋体" w:cs="宋体"/>
          <w:strike/>
          <w:dstrike w:val="0"/>
          <w:color w:val="auto"/>
          <w:spacing w:val="-113"/>
          <w:sz w:val="24"/>
          <w:szCs w:val="24"/>
          <w:highlight w:val="none"/>
        </w:rPr>
        <w:t xml:space="preserve"> </w:t>
      </w:r>
      <w:r>
        <w:rPr>
          <w:rFonts w:ascii="宋体" w:hAnsi="宋体" w:eastAsia="宋体" w:cs="宋体"/>
          <w:strike/>
          <w:dstrike w:val="0"/>
          <w:color w:val="auto"/>
          <w:spacing w:val="-7"/>
          <w:sz w:val="24"/>
          <w:szCs w:val="24"/>
          <w:highlight w:val="none"/>
        </w:rPr>
        <w:t>进行价格调差。</w:t>
      </w:r>
    </w:p>
    <w:p w14:paraId="68E07354">
      <w:pPr>
        <w:spacing w:before="184" w:line="289" w:lineRule="auto"/>
        <w:ind w:right="96" w:firstLine="484"/>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）在合同执行期间，人工预算单价调整执行浙江省水利厅关于人工预算单价</w:t>
      </w:r>
      <w:r>
        <w:rPr>
          <w:rFonts w:ascii="宋体" w:hAnsi="宋体" w:eastAsia="宋体" w:cs="宋体"/>
          <w:strike/>
          <w:dstrike w:val="0"/>
          <w:color w:val="auto"/>
          <w:spacing w:val="-6"/>
          <w:sz w:val="24"/>
          <w:szCs w:val="24"/>
          <w:highlight w:val="none"/>
        </w:rPr>
        <w:t>调整的相关文件。</w:t>
      </w:r>
    </w:p>
    <w:p w14:paraId="54B9BBA6">
      <w:pPr>
        <w:spacing w:before="180" w:line="321" w:lineRule="auto"/>
        <w:ind w:right="84" w:firstLine="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）在合同执行期间，主要材料</w:t>
      </w:r>
      <w:r>
        <w:rPr>
          <w:rFonts w:ascii="宋体" w:hAnsi="宋体" w:eastAsia="宋体" w:cs="宋体"/>
          <w:strike/>
          <w:dstrike w:val="0"/>
          <w:color w:val="auto"/>
          <w:spacing w:val="-112"/>
          <w:sz w:val="24"/>
          <w:szCs w:val="24"/>
          <w:highlight w:val="none"/>
        </w:rPr>
        <w:t xml:space="preserve"> </w:t>
      </w:r>
      <w:r>
        <w:rPr>
          <w:rFonts w:ascii="宋体" w:hAnsi="宋体" w:eastAsia="宋体" w:cs="宋体"/>
          <w:strike/>
          <w:dstrike w:val="0"/>
          <w:color w:val="auto"/>
          <w:spacing w:val="-4"/>
          <w:sz w:val="25"/>
          <w:szCs w:val="25"/>
          <w:highlight w:val="none"/>
          <w:u w:val="single" w:color="auto"/>
        </w:rPr>
        <w:t xml:space="preserve">  </w:t>
      </w:r>
      <w:r>
        <w:rPr>
          <w:rFonts w:ascii="宋体" w:hAnsi="宋体" w:eastAsia="宋体" w:cs="宋体"/>
          <w:i/>
          <w:iCs/>
          <w:strike/>
          <w:dstrike w:val="0"/>
          <w:color w:val="auto"/>
          <w:spacing w:val="-4"/>
          <w:sz w:val="25"/>
          <w:szCs w:val="25"/>
          <w:highlight w:val="none"/>
          <w:u w:val="single" w:color="auto"/>
        </w:rPr>
        <w:t>（指影响投资较大的材料）</w:t>
      </w:r>
      <w:r>
        <w:rPr>
          <w:rFonts w:ascii="宋体" w:hAnsi="宋体" w:eastAsia="宋体" w:cs="宋体"/>
          <w:strike/>
          <w:dstrike w:val="0"/>
          <w:color w:val="auto"/>
          <w:spacing w:val="-4"/>
          <w:sz w:val="25"/>
          <w:szCs w:val="25"/>
          <w:highlight w:val="none"/>
          <w:u w:val="single" w:color="auto"/>
        </w:rPr>
        <w:t xml:space="preserve">    </w:t>
      </w:r>
      <w:r>
        <w:rPr>
          <w:rFonts w:ascii="宋体" w:hAnsi="宋体" w:eastAsia="宋体" w:cs="宋体"/>
          <w:strike/>
          <w:dstrike w:val="0"/>
          <w:color w:val="auto"/>
          <w:spacing w:val="-113"/>
          <w:sz w:val="25"/>
          <w:szCs w:val="25"/>
          <w:highlight w:val="none"/>
        </w:rPr>
        <w:t xml:space="preserve"> </w:t>
      </w:r>
      <w:r>
        <w:rPr>
          <w:rFonts w:ascii="宋体" w:hAnsi="宋体" w:eastAsia="宋体" w:cs="宋体"/>
          <w:strike/>
          <w:dstrike w:val="0"/>
          <w:color w:val="auto"/>
          <w:spacing w:val="-5"/>
          <w:sz w:val="24"/>
          <w:szCs w:val="24"/>
          <w:highlight w:val="none"/>
        </w:rPr>
        <w:t>上下浮动超过</w:t>
      </w:r>
      <w:r>
        <w:rPr>
          <w:rFonts w:ascii="Times New Roman" w:hAnsi="Times New Roman" w:eastAsia="Times New Roman" w:cs="Times New Roman"/>
          <w:strike/>
          <w:dstrike w:val="0"/>
          <w:color w:val="auto"/>
          <w:spacing w:val="-5"/>
          <w:sz w:val="24"/>
          <w:szCs w:val="24"/>
          <w:highlight w:val="none"/>
          <w:u w:val="single" w:color="auto"/>
        </w:rPr>
        <w:t xml:space="preserve">  5 </w:t>
      </w:r>
      <w:r>
        <w:rPr>
          <w:rFonts w:ascii="Times New Roman" w:hAnsi="Times New Roman" w:eastAsia="Times New Roman" w:cs="Times New Roman"/>
          <w:strike/>
          <w:dstrike w:val="0"/>
          <w:color w:val="auto"/>
          <w:spacing w:val="-5"/>
          <w:sz w:val="24"/>
          <w:szCs w:val="24"/>
          <w:highlight w:val="none"/>
        </w:rPr>
        <w:t>%</w:t>
      </w:r>
      <w:r>
        <w:rPr>
          <w:rFonts w:ascii="宋体" w:hAnsi="宋体" w:eastAsia="宋体" w:cs="宋体"/>
          <w:strike/>
          <w:dstrike w:val="0"/>
          <w:color w:val="auto"/>
          <w:spacing w:val="-5"/>
          <w:sz w:val="24"/>
          <w:szCs w:val="24"/>
          <w:highlight w:val="none"/>
        </w:rPr>
        <w:t>时应进行价格调整。价格调整按工程进</w:t>
      </w:r>
      <w:r>
        <w:rPr>
          <w:rFonts w:ascii="宋体" w:hAnsi="宋体" w:eastAsia="宋体" w:cs="宋体"/>
          <w:strike/>
          <w:dstrike w:val="0"/>
          <w:color w:val="auto"/>
          <w:spacing w:val="-6"/>
          <w:sz w:val="24"/>
          <w:szCs w:val="24"/>
          <w:highlight w:val="none"/>
        </w:rPr>
        <w:t>度款结算周期进行，</w:t>
      </w:r>
      <w:r>
        <w:rPr>
          <w:rFonts w:ascii="宋体" w:hAnsi="宋体" w:eastAsia="宋体" w:cs="宋体"/>
          <w:strike/>
          <w:dstrike w:val="0"/>
          <w:color w:val="auto"/>
          <w:spacing w:val="-25"/>
          <w:sz w:val="24"/>
          <w:szCs w:val="24"/>
          <w:highlight w:val="none"/>
        </w:rPr>
        <w:t xml:space="preserve"> </w:t>
      </w:r>
      <w:r>
        <w:rPr>
          <w:rFonts w:ascii="宋体" w:hAnsi="宋体" w:eastAsia="宋体" w:cs="宋体"/>
          <w:strike/>
          <w:dstrike w:val="0"/>
          <w:color w:val="auto"/>
          <w:spacing w:val="-6"/>
          <w:sz w:val="24"/>
          <w:szCs w:val="24"/>
          <w:highlight w:val="none"/>
        </w:rPr>
        <w:t>以投标期基价与施</w:t>
      </w:r>
      <w:r>
        <w:rPr>
          <w:rFonts w:ascii="宋体" w:hAnsi="宋体" w:eastAsia="宋体" w:cs="宋体"/>
          <w:strike/>
          <w:dstrike w:val="0"/>
          <w:color w:val="auto"/>
          <w:spacing w:val="-1"/>
          <w:sz w:val="24"/>
          <w:szCs w:val="24"/>
          <w:highlight w:val="none"/>
        </w:rPr>
        <w:t>工期项目所在地造价管理部门发布的信息价对照计算，对其价格超过</w:t>
      </w:r>
      <w:r>
        <w:rPr>
          <w:rFonts w:ascii="Times New Roman" w:hAnsi="Times New Roman" w:eastAsia="Times New Roman" w:cs="Times New Roman"/>
          <w:strike/>
          <w:dstrike w:val="0"/>
          <w:color w:val="auto"/>
          <w:spacing w:val="-1"/>
          <w:sz w:val="24"/>
          <w:szCs w:val="24"/>
          <w:highlight w:val="none"/>
        </w:rPr>
        <w:t>±</w:t>
      </w:r>
      <w:r>
        <w:rPr>
          <w:rFonts w:ascii="Times New Roman" w:hAnsi="Times New Roman" w:eastAsia="Times New Roman" w:cs="Times New Roman"/>
          <w:strike/>
          <w:dstrike w:val="0"/>
          <w:color w:val="auto"/>
          <w:spacing w:val="45"/>
          <w:sz w:val="24"/>
          <w:szCs w:val="24"/>
          <w:highlight w:val="none"/>
          <w:u w:val="single" w:color="auto"/>
        </w:rPr>
        <w:t xml:space="preserve"> </w:t>
      </w:r>
      <w:r>
        <w:rPr>
          <w:rFonts w:ascii="Times New Roman" w:hAnsi="Times New Roman" w:eastAsia="Times New Roman" w:cs="Times New Roman"/>
          <w:strike/>
          <w:dstrike w:val="0"/>
          <w:color w:val="auto"/>
          <w:spacing w:val="-1"/>
          <w:sz w:val="24"/>
          <w:szCs w:val="24"/>
          <w:highlight w:val="none"/>
          <w:u w:val="single" w:color="auto"/>
        </w:rPr>
        <w:t>5</w:t>
      </w:r>
      <w:r>
        <w:rPr>
          <w:rFonts w:ascii="Times New Roman" w:hAnsi="Times New Roman" w:eastAsia="Times New Roman" w:cs="Times New Roman"/>
          <w:strike/>
          <w:dstrike w:val="0"/>
          <w:color w:val="auto"/>
          <w:spacing w:val="36"/>
          <w:w w:val="101"/>
          <w:sz w:val="24"/>
          <w:szCs w:val="24"/>
          <w:highlight w:val="none"/>
          <w:u w:val="single" w:color="auto"/>
        </w:rPr>
        <w:t xml:space="preserve"> </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部分进行</w:t>
      </w:r>
      <w:r>
        <w:rPr>
          <w:rFonts w:ascii="宋体" w:hAnsi="宋体" w:eastAsia="宋体" w:cs="宋体"/>
          <w:strike/>
          <w:dstrike w:val="0"/>
          <w:color w:val="auto"/>
          <w:spacing w:val="-3"/>
          <w:sz w:val="24"/>
          <w:szCs w:val="24"/>
          <w:highlight w:val="none"/>
        </w:rPr>
        <w:t>调整（只计材料信息价差价及其税金）。</w:t>
      </w:r>
    </w:p>
    <w:p w14:paraId="77834E87">
      <w:pPr>
        <w:spacing w:before="182" w:line="352" w:lineRule="auto"/>
        <w:ind w:left="4" w:right="52" w:firstLine="477"/>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3"/>
          <w:sz w:val="24"/>
          <w:szCs w:val="24"/>
          <w:highlight w:val="none"/>
        </w:rPr>
        <w:t>投标期的基价是指</w:t>
      </w:r>
      <w:r>
        <w:rPr>
          <w:rFonts w:ascii="宋体" w:hAnsi="宋体" w:eastAsia="宋体" w:cs="宋体"/>
          <w:strike/>
          <w:dstrike w:val="0"/>
          <w:color w:val="auto"/>
          <w:spacing w:val="29"/>
          <w:sz w:val="25"/>
          <w:szCs w:val="25"/>
          <w:highlight w:val="none"/>
          <w:u w:val="single" w:color="auto"/>
        </w:rPr>
        <w:t xml:space="preserve">  </w:t>
      </w:r>
      <w:r>
        <w:rPr>
          <w:rFonts w:ascii="宋体" w:hAnsi="宋体" w:eastAsia="宋体" w:cs="宋体"/>
          <w:i/>
          <w:iCs/>
          <w:strike/>
          <w:dstrike w:val="0"/>
          <w:color w:val="auto"/>
          <w:spacing w:val="-13"/>
          <w:sz w:val="25"/>
          <w:szCs w:val="25"/>
          <w:highlight w:val="none"/>
          <w:u w:val="single" w:color="auto"/>
        </w:rPr>
        <w:t>填入信息价发布部门</w:t>
      </w:r>
      <w:r>
        <w:rPr>
          <w:rFonts w:ascii="宋体" w:hAnsi="宋体" w:eastAsia="宋体" w:cs="宋体"/>
          <w:strike/>
          <w:dstrike w:val="0"/>
          <w:color w:val="auto"/>
          <w:spacing w:val="-13"/>
          <w:sz w:val="25"/>
          <w:szCs w:val="25"/>
          <w:highlight w:val="none"/>
          <w:u w:val="single" w:color="auto"/>
        </w:rPr>
        <w:t xml:space="preserve">  </w:t>
      </w:r>
      <w:r>
        <w:rPr>
          <w:rFonts w:ascii="宋体" w:hAnsi="宋体" w:eastAsia="宋体" w:cs="宋体"/>
          <w:strike/>
          <w:dstrike w:val="0"/>
          <w:color w:val="auto"/>
          <w:spacing w:val="-111"/>
          <w:sz w:val="25"/>
          <w:szCs w:val="25"/>
          <w:highlight w:val="none"/>
        </w:rPr>
        <w:t xml:space="preserve"> </w:t>
      </w:r>
      <w:r>
        <w:rPr>
          <w:rFonts w:ascii="宋体" w:hAnsi="宋体" w:eastAsia="宋体" w:cs="宋体"/>
          <w:strike/>
          <w:dstrike w:val="0"/>
          <w:color w:val="auto"/>
          <w:spacing w:val="-13"/>
          <w:sz w:val="24"/>
          <w:szCs w:val="24"/>
          <w:highlight w:val="none"/>
        </w:rPr>
        <w:t>发布的</w:t>
      </w:r>
      <w:r>
        <w:rPr>
          <w:rFonts w:ascii="宋体" w:hAnsi="宋体" w:eastAsia="宋体" w:cs="宋体"/>
          <w:strike/>
          <w:dstrike w:val="0"/>
          <w:color w:val="auto"/>
          <w:spacing w:val="32"/>
          <w:sz w:val="25"/>
          <w:szCs w:val="25"/>
          <w:highlight w:val="none"/>
          <w:u w:val="single" w:color="auto"/>
        </w:rPr>
        <w:t xml:space="preserve">  </w:t>
      </w:r>
      <w:r>
        <w:rPr>
          <w:rFonts w:ascii="宋体" w:hAnsi="宋体" w:eastAsia="宋体" w:cs="宋体"/>
          <w:i/>
          <w:iCs/>
          <w:strike/>
          <w:dstrike w:val="0"/>
          <w:color w:val="auto"/>
          <w:spacing w:val="-13"/>
          <w:sz w:val="25"/>
          <w:szCs w:val="25"/>
          <w:highlight w:val="none"/>
          <w:u w:val="single" w:color="auto"/>
        </w:rPr>
        <w:t>填入信息价的</w:t>
      </w:r>
      <w:r>
        <w:rPr>
          <w:rFonts w:ascii="宋体" w:hAnsi="宋体" w:eastAsia="宋体" w:cs="宋体"/>
          <w:i/>
          <w:iCs/>
          <w:strike/>
          <w:dstrike w:val="0"/>
          <w:color w:val="auto"/>
          <w:spacing w:val="-14"/>
          <w:sz w:val="25"/>
          <w:szCs w:val="25"/>
          <w:highlight w:val="none"/>
          <w:u w:val="single" w:color="auto"/>
        </w:rPr>
        <w:t>期刊名称、具</w:t>
      </w:r>
      <w:r>
        <w:rPr>
          <w:rFonts w:ascii="宋体" w:hAnsi="宋体" w:eastAsia="宋体" w:cs="宋体"/>
          <w:i/>
          <w:iCs/>
          <w:strike/>
          <w:dstrike w:val="0"/>
          <w:color w:val="auto"/>
          <w:spacing w:val="-5"/>
          <w:sz w:val="25"/>
          <w:szCs w:val="25"/>
          <w:highlight w:val="none"/>
          <w:u w:val="single" w:color="auto"/>
        </w:rPr>
        <w:t>体期号（按投标截止时间前</w:t>
      </w:r>
      <w:r>
        <w:rPr>
          <w:rFonts w:ascii="Times New Roman" w:hAnsi="Times New Roman" w:eastAsia="Times New Roman" w:cs="Times New Roman"/>
          <w:i/>
          <w:iCs/>
          <w:strike/>
          <w:dstrike w:val="0"/>
          <w:color w:val="auto"/>
          <w:spacing w:val="-5"/>
          <w:sz w:val="24"/>
          <w:szCs w:val="24"/>
          <w:highlight w:val="none"/>
          <w:u w:val="single" w:color="auto"/>
        </w:rPr>
        <w:t>1</w:t>
      </w:r>
      <w:r>
        <w:rPr>
          <w:rFonts w:ascii="宋体" w:hAnsi="宋体" w:eastAsia="宋体" w:cs="宋体"/>
          <w:i/>
          <w:iCs/>
          <w:strike/>
          <w:dstrike w:val="0"/>
          <w:color w:val="auto"/>
          <w:spacing w:val="-5"/>
          <w:sz w:val="25"/>
          <w:szCs w:val="25"/>
          <w:highlight w:val="none"/>
          <w:u w:val="single" w:color="auto"/>
        </w:rPr>
        <w:t>个月的期刊）</w:t>
      </w:r>
      <w:r>
        <w:rPr>
          <w:rFonts w:ascii="宋体" w:hAnsi="宋体" w:eastAsia="宋体" w:cs="宋体"/>
          <w:strike/>
          <w:dstrike w:val="0"/>
          <w:color w:val="auto"/>
          <w:spacing w:val="93"/>
          <w:sz w:val="25"/>
          <w:szCs w:val="25"/>
          <w:highlight w:val="none"/>
          <w:u w:val="single" w:color="auto"/>
        </w:rPr>
        <w:t xml:space="preserve"> </w:t>
      </w:r>
      <w:r>
        <w:rPr>
          <w:rFonts w:ascii="宋体" w:hAnsi="宋体" w:eastAsia="宋体" w:cs="宋体"/>
          <w:strike/>
          <w:dstrike w:val="0"/>
          <w:color w:val="auto"/>
          <w:spacing w:val="-93"/>
          <w:sz w:val="25"/>
          <w:szCs w:val="25"/>
          <w:highlight w:val="none"/>
        </w:rPr>
        <w:t xml:space="preserve"> </w:t>
      </w:r>
      <w:r>
        <w:rPr>
          <w:rFonts w:ascii="宋体" w:hAnsi="宋体" w:eastAsia="宋体" w:cs="宋体"/>
          <w:strike/>
          <w:dstrike w:val="0"/>
          <w:color w:val="auto"/>
          <w:spacing w:val="-5"/>
          <w:sz w:val="24"/>
          <w:szCs w:val="24"/>
          <w:highlight w:val="none"/>
        </w:rPr>
        <w:t>中项目所在地信息价。材料数量按当月</w:t>
      </w:r>
      <w:r>
        <w:rPr>
          <w:rFonts w:ascii="宋体" w:hAnsi="宋体" w:eastAsia="宋体" w:cs="宋体"/>
          <w:strike/>
          <w:dstrike w:val="0"/>
          <w:color w:val="auto"/>
          <w:spacing w:val="4"/>
          <w:sz w:val="24"/>
          <w:szCs w:val="24"/>
          <w:highlight w:val="none"/>
        </w:rPr>
        <w:t>实际完成的工程量及投标文件单价分析表中的材料含</w:t>
      </w:r>
      <w:r>
        <w:rPr>
          <w:rFonts w:ascii="宋体" w:hAnsi="宋体" w:eastAsia="宋体" w:cs="宋体"/>
          <w:strike/>
          <w:dstrike w:val="0"/>
          <w:color w:val="auto"/>
          <w:spacing w:val="3"/>
          <w:sz w:val="24"/>
          <w:szCs w:val="24"/>
          <w:highlight w:val="none"/>
        </w:rPr>
        <w:t>量计算，最终补差材料的数量</w:t>
      </w:r>
      <w:r>
        <w:rPr>
          <w:rFonts w:ascii="宋体" w:hAnsi="宋体" w:eastAsia="宋体" w:cs="宋体"/>
          <w:strike/>
          <w:dstrike w:val="0"/>
          <w:color w:val="auto"/>
          <w:spacing w:val="-2"/>
          <w:sz w:val="24"/>
          <w:szCs w:val="24"/>
          <w:highlight w:val="none"/>
        </w:rPr>
        <w:t>（工程量清单增减部分除外）不应超过现行浙江省水利定额计算的总用量。</w:t>
      </w:r>
    </w:p>
    <w:p w14:paraId="0E4EA192">
      <w:pPr>
        <w:spacing w:before="1" w:line="288" w:lineRule="auto"/>
        <w:ind w:left="2" w:right="119" w:firstLine="48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3</w:t>
      </w:r>
      <w:r>
        <w:rPr>
          <w:rFonts w:ascii="宋体" w:hAnsi="宋体" w:eastAsia="宋体" w:cs="宋体"/>
          <w:strike/>
          <w:dstrike w:val="0"/>
          <w:color w:val="auto"/>
          <w:spacing w:val="-1"/>
          <w:sz w:val="24"/>
          <w:szCs w:val="24"/>
          <w:highlight w:val="none"/>
        </w:rPr>
        <w:t>）其他材料的价格按当前的市场价考虑风险系数进入单价，在合同执行期内</w:t>
      </w:r>
      <w:r>
        <w:rPr>
          <w:rFonts w:ascii="宋体" w:hAnsi="宋体" w:eastAsia="宋体" w:cs="宋体"/>
          <w:strike/>
          <w:dstrike w:val="0"/>
          <w:color w:val="auto"/>
          <w:spacing w:val="-3"/>
          <w:sz w:val="24"/>
          <w:szCs w:val="24"/>
          <w:highlight w:val="none"/>
        </w:rPr>
        <w:t>不作调整，价格风险由承包人自负。</w:t>
      </w:r>
    </w:p>
    <w:p w14:paraId="7EC3EC76">
      <w:pPr>
        <w:spacing w:before="183" w:line="218"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4</w:t>
      </w:r>
      <w:r>
        <w:rPr>
          <w:rFonts w:ascii="宋体" w:hAnsi="宋体" w:eastAsia="宋体" w:cs="宋体"/>
          <w:strike/>
          <w:dstrike w:val="0"/>
          <w:color w:val="auto"/>
          <w:spacing w:val="-1"/>
          <w:sz w:val="24"/>
          <w:szCs w:val="24"/>
          <w:highlight w:val="none"/>
        </w:rPr>
        <w:t>）因工期延误产生的人工、材料、施工机械台班等价格变化</w:t>
      </w:r>
    </w:p>
    <w:p w14:paraId="146C7394">
      <w:pPr>
        <w:spacing w:before="184" w:line="312" w:lineRule="auto"/>
        <w:ind w:right="123" w:firstLine="496"/>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）因发包人原因或者非承发包双方原因造成工期延误的，延误期间价</w:t>
      </w:r>
      <w:r>
        <w:rPr>
          <w:rFonts w:ascii="宋体" w:hAnsi="宋体" w:eastAsia="宋体" w:cs="宋体"/>
          <w:strike/>
          <w:dstrike w:val="0"/>
          <w:color w:val="auto"/>
          <w:spacing w:val="-2"/>
          <w:sz w:val="24"/>
          <w:szCs w:val="24"/>
          <w:highlight w:val="none"/>
        </w:rPr>
        <w:t>格上涨造</w:t>
      </w:r>
      <w:r>
        <w:rPr>
          <w:rFonts w:ascii="宋体" w:hAnsi="宋体" w:eastAsia="宋体" w:cs="宋体"/>
          <w:strike/>
          <w:dstrike w:val="0"/>
          <w:color w:val="auto"/>
          <w:sz w:val="24"/>
          <w:szCs w:val="24"/>
          <w:highlight w:val="none"/>
        </w:rPr>
        <w:t>成的价差由发包人承担，价差（正值）计入工程造价</w:t>
      </w:r>
      <w:r>
        <w:rPr>
          <w:rFonts w:ascii="宋体" w:hAnsi="宋体" w:eastAsia="宋体" w:cs="宋体"/>
          <w:strike/>
          <w:dstrike w:val="0"/>
          <w:color w:val="auto"/>
          <w:spacing w:val="-1"/>
          <w:sz w:val="24"/>
          <w:szCs w:val="24"/>
          <w:highlight w:val="none"/>
        </w:rPr>
        <w:t>；反之，价格下降造成的价差</w:t>
      </w:r>
      <w:r>
        <w:rPr>
          <w:rFonts w:ascii="宋体" w:hAnsi="宋体" w:eastAsia="宋体" w:cs="宋体"/>
          <w:strike/>
          <w:dstrike w:val="0"/>
          <w:color w:val="auto"/>
          <w:spacing w:val="-2"/>
          <w:sz w:val="24"/>
          <w:szCs w:val="24"/>
          <w:highlight w:val="none"/>
        </w:rPr>
        <w:t>则由承包人收益，价差不计入（负值）工程造价。</w:t>
      </w:r>
    </w:p>
    <w:p w14:paraId="763C0251">
      <w:pPr>
        <w:spacing w:before="184" w:line="312" w:lineRule="auto"/>
        <w:ind w:right="287" w:firstLine="47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）因承包人原因造成工期延误的，延误期间价格上涨造成的价差由承包人承</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2"/>
          <w:sz w:val="24"/>
          <w:szCs w:val="24"/>
          <w:highlight w:val="none"/>
        </w:rPr>
        <w:t>担，价差（正值）不计入工程造价；反之，价格下降造成的价差则由发包人收益，</w:t>
      </w:r>
      <w:r>
        <w:rPr>
          <w:rFonts w:ascii="宋体" w:hAnsi="宋体" w:eastAsia="宋体" w:cs="宋体"/>
          <w:strike/>
          <w:dstrike w:val="0"/>
          <w:color w:val="auto"/>
          <w:spacing w:val="-4"/>
          <w:sz w:val="24"/>
          <w:szCs w:val="24"/>
          <w:highlight w:val="none"/>
        </w:rPr>
        <w:t>价差计入（负值）工程造价。</w:t>
      </w:r>
    </w:p>
    <w:p w14:paraId="72DFB1E4">
      <w:pPr>
        <w:spacing w:before="310" w:line="226" w:lineRule="auto"/>
        <w:ind w:left="8"/>
        <w:outlineLvl w:val="2"/>
        <w:rPr>
          <w:rFonts w:ascii="宋体" w:hAnsi="宋体" w:eastAsia="宋体" w:cs="宋体"/>
          <w:color w:val="auto"/>
          <w:sz w:val="27"/>
          <w:szCs w:val="27"/>
          <w:highlight w:val="none"/>
        </w:rPr>
      </w:pPr>
      <w:bookmarkStart w:id="132" w:name="bookmark88"/>
      <w:bookmarkEnd w:id="132"/>
      <w:bookmarkStart w:id="133" w:name="_Toc8504"/>
      <w:r>
        <w:rPr>
          <w:rFonts w:ascii="Times New Roman" w:hAnsi="Times New Roman" w:eastAsia="Times New Roman" w:cs="Times New Roman"/>
          <w:b/>
          <w:bCs/>
          <w:color w:val="auto"/>
          <w:spacing w:val="4"/>
          <w:sz w:val="27"/>
          <w:szCs w:val="27"/>
          <w:highlight w:val="none"/>
        </w:rPr>
        <w:t xml:space="preserve">17  </w:t>
      </w:r>
      <w:r>
        <w:rPr>
          <w:rFonts w:ascii="宋体" w:hAnsi="宋体" w:eastAsia="宋体" w:cs="宋体"/>
          <w:b/>
          <w:bCs/>
          <w:color w:val="auto"/>
          <w:spacing w:val="4"/>
          <w:sz w:val="27"/>
          <w:szCs w:val="27"/>
          <w:highlight w:val="none"/>
        </w:rPr>
        <w:t>计量与支付</w:t>
      </w:r>
      <w:bookmarkEnd w:id="133"/>
    </w:p>
    <w:p w14:paraId="232C3A63">
      <w:pPr>
        <w:pStyle w:val="8"/>
        <w:spacing w:line="247" w:lineRule="auto"/>
        <w:rPr>
          <w:color w:val="auto"/>
          <w:highlight w:val="none"/>
        </w:rPr>
      </w:pPr>
    </w:p>
    <w:p w14:paraId="20556AEE">
      <w:pPr>
        <w:pStyle w:val="8"/>
        <w:spacing w:line="247" w:lineRule="auto"/>
        <w:rPr>
          <w:color w:val="auto"/>
          <w:highlight w:val="none"/>
        </w:rPr>
      </w:pPr>
      <w:r>
        <w:rPr>
          <w:rFonts w:ascii="Times New Roman" w:hAnsi="Times New Roman" w:eastAsia="Times New Roman" w:cs="Times New Roman"/>
          <w:b/>
          <w:bCs/>
          <w:color w:val="auto"/>
          <w:spacing w:val="-5"/>
          <w:sz w:val="24"/>
          <w:szCs w:val="24"/>
          <w:highlight w:val="none"/>
        </w:rPr>
        <w:t>17.2</w:t>
      </w:r>
      <w:r>
        <w:rPr>
          <w:rFonts w:ascii="Times New Roman" w:hAnsi="Times New Roman" w:eastAsia="Times New Roman" w:cs="Times New Roman"/>
          <w:b/>
          <w:bCs/>
          <w:color w:val="auto"/>
          <w:spacing w:val="9"/>
          <w:sz w:val="24"/>
          <w:szCs w:val="24"/>
          <w:highlight w:val="none"/>
        </w:rPr>
        <w:t xml:space="preserve">  </w:t>
      </w:r>
      <w:r>
        <w:rPr>
          <w:rFonts w:ascii="楷体" w:hAnsi="楷体" w:eastAsia="楷体" w:cs="楷体"/>
          <w:b/>
          <w:bCs/>
          <w:color w:val="auto"/>
          <w:spacing w:val="-5"/>
          <w:sz w:val="24"/>
          <w:szCs w:val="24"/>
          <w:highlight w:val="none"/>
        </w:rPr>
        <w:t>预付款</w:t>
      </w:r>
    </w:p>
    <w:p w14:paraId="63706DF5">
      <w:pPr>
        <w:pStyle w:val="8"/>
        <w:spacing w:line="248" w:lineRule="auto"/>
        <w:rPr>
          <w:color w:val="auto"/>
          <w:highlight w:val="none"/>
        </w:rPr>
      </w:pPr>
    </w:p>
    <w:p w14:paraId="2FA8E17B">
      <w:pPr>
        <w:spacing w:before="78" w:line="220" w:lineRule="auto"/>
        <w:ind w:left="489"/>
        <w:rPr>
          <w:rFonts w:ascii="宋体" w:hAnsi="宋体" w:eastAsia="宋体" w:cs="宋体"/>
          <w:color w:val="auto"/>
          <w:sz w:val="24"/>
          <w:szCs w:val="24"/>
          <w:highlight w:val="none"/>
        </w:rPr>
      </w:pPr>
      <w:bookmarkStart w:id="134" w:name="bookmark414"/>
      <w:bookmarkEnd w:id="134"/>
      <w:r>
        <w:rPr>
          <w:rFonts w:ascii="Times New Roman" w:hAnsi="Times New Roman" w:eastAsia="Times New Roman" w:cs="Times New Roman"/>
          <w:b/>
          <w:bCs/>
          <w:color w:val="auto"/>
          <w:spacing w:val="-3"/>
          <w:sz w:val="24"/>
          <w:szCs w:val="24"/>
          <w:highlight w:val="none"/>
        </w:rPr>
        <w:t>17.2.1</w:t>
      </w:r>
      <w:r>
        <w:rPr>
          <w:rFonts w:ascii="Times New Roman" w:hAnsi="Times New Roman" w:eastAsia="Times New Roman" w:cs="Times New Roman"/>
          <w:b/>
          <w:bCs/>
          <w:color w:val="auto"/>
          <w:spacing w:val="6"/>
          <w:sz w:val="24"/>
          <w:szCs w:val="24"/>
          <w:highlight w:val="none"/>
        </w:rPr>
        <w:t xml:space="preserve">  </w:t>
      </w:r>
      <w:r>
        <w:rPr>
          <w:rFonts w:ascii="宋体" w:hAnsi="宋体" w:eastAsia="宋体" w:cs="宋体"/>
          <w:color w:val="auto"/>
          <w:spacing w:val="-3"/>
          <w:sz w:val="24"/>
          <w:szCs w:val="24"/>
          <w:highlight w:val="none"/>
        </w:rPr>
        <w:t>预付款</w:t>
      </w:r>
    </w:p>
    <w:p w14:paraId="40691578">
      <w:pPr>
        <w:spacing w:before="181" w:line="359" w:lineRule="auto"/>
        <w:ind w:right="1" w:firstLine="486"/>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1</w:t>
      </w:r>
      <w:r>
        <w:rPr>
          <w:rFonts w:ascii="宋体" w:hAnsi="宋体" w:eastAsia="宋体" w:cs="宋体"/>
          <w:color w:val="auto"/>
          <w:spacing w:val="-6"/>
          <w:sz w:val="24"/>
          <w:szCs w:val="24"/>
          <w:highlight w:val="none"/>
        </w:rPr>
        <w:t>）工程预付款的总金额为签约合同价（扣除预留金后）的</w:t>
      </w:r>
      <w:r>
        <w:rPr>
          <w:rFonts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10</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112"/>
          <w:sz w:val="24"/>
          <w:szCs w:val="24"/>
          <w:highlight w:val="none"/>
        </w:rPr>
        <w:t xml:space="preserve"> </w:t>
      </w:r>
      <w:r>
        <w:rPr>
          <w:rFonts w:ascii="Times New Roman" w:hAnsi="Times New Roman" w:eastAsia="Times New Roman" w:cs="Times New Roman"/>
          <w:color w:val="auto"/>
          <w:spacing w:val="-7"/>
          <w:sz w:val="24"/>
          <w:szCs w:val="24"/>
          <w:highlight w:val="none"/>
        </w:rPr>
        <w:t>%</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1</w:t>
      </w:r>
      <w:r>
        <w:rPr>
          <w:rFonts w:ascii="宋体" w:hAnsi="宋体" w:eastAsia="宋体" w:cs="宋体"/>
          <w:color w:val="auto"/>
          <w:spacing w:val="-104"/>
          <w:sz w:val="24"/>
          <w:szCs w:val="24"/>
          <w:highlight w:val="none"/>
        </w:rPr>
        <w:t xml:space="preserve"> </w:t>
      </w:r>
      <w:r>
        <w:rPr>
          <w:rFonts w:ascii="宋体" w:hAnsi="宋体" w:eastAsia="宋体" w:cs="宋体"/>
          <w:color w:val="auto"/>
          <w:spacing w:val="-7"/>
          <w:sz w:val="24"/>
          <w:szCs w:val="24"/>
          <w:highlight w:val="none"/>
        </w:rPr>
        <w:t>次支付给承包人。</w:t>
      </w:r>
    </w:p>
    <w:p w14:paraId="10913474">
      <w:pPr>
        <w:spacing w:line="219" w:lineRule="auto"/>
        <w:ind w:left="483"/>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预付款的支付额度和付款时间为：</w:t>
      </w:r>
    </w:p>
    <w:p w14:paraId="71B71E53">
      <w:pPr>
        <w:spacing w:before="179" w:line="313" w:lineRule="auto"/>
        <w:ind w:firstLine="49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付款时间应在合同协议书签订后，由承包人提出书面申请，并经监理人出具付款证书报送发包人批准后</w:t>
      </w:r>
      <w:r>
        <w:rPr>
          <w:rFonts w:hint="eastAsia" w:ascii="Times New Roman" w:hAnsi="Times New Roman" w:eastAsia="宋体" w:cs="Times New Roman"/>
          <w:color w:val="auto"/>
          <w:spacing w:val="-3"/>
          <w:sz w:val="24"/>
          <w:szCs w:val="24"/>
          <w:highlight w:val="none"/>
          <w:lang w:val="en-US" w:eastAsia="zh-CN"/>
        </w:rPr>
        <w:t>30</w:t>
      </w:r>
      <w:r>
        <w:rPr>
          <w:rFonts w:ascii="宋体" w:hAnsi="宋体" w:eastAsia="宋体" w:cs="宋体"/>
          <w:color w:val="auto"/>
          <w:spacing w:val="-3"/>
          <w:sz w:val="24"/>
          <w:szCs w:val="24"/>
          <w:highlight w:val="none"/>
        </w:rPr>
        <w:t>天内</w:t>
      </w:r>
      <w:r>
        <w:rPr>
          <w:rFonts w:ascii="宋体" w:hAnsi="宋体" w:eastAsia="宋体" w:cs="宋体"/>
          <w:color w:val="auto"/>
          <w:spacing w:val="-8"/>
          <w:sz w:val="24"/>
          <w:szCs w:val="24"/>
          <w:highlight w:val="none"/>
        </w:rPr>
        <w:t>予以支付。</w:t>
      </w:r>
    </w:p>
    <w:p w14:paraId="7A0E3F3A">
      <w:pPr>
        <w:spacing w:before="174" w:line="219" w:lineRule="auto"/>
        <w:ind w:left="48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）工程材料预付款的额度和预付办法约定为：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596ED527">
      <w:pPr>
        <w:spacing w:before="182" w:line="220" w:lineRule="auto"/>
        <w:ind w:left="48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17.2.3  </w:t>
      </w:r>
      <w:r>
        <w:rPr>
          <w:rFonts w:ascii="宋体" w:hAnsi="宋体" w:eastAsia="宋体" w:cs="宋体"/>
          <w:color w:val="auto"/>
          <w:spacing w:val="-1"/>
          <w:sz w:val="24"/>
          <w:szCs w:val="24"/>
          <w:highlight w:val="none"/>
        </w:rPr>
        <w:t>预付款的扣回与还清</w:t>
      </w:r>
    </w:p>
    <w:p w14:paraId="7B35D403">
      <w:pPr>
        <w:spacing w:before="180" w:line="313" w:lineRule="auto"/>
        <w:ind w:left="3" w:right="1" w:firstLine="483"/>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w:t>
      </w:r>
      <w:r>
        <w:rPr>
          <w:rFonts w:ascii="Times New Roman" w:hAnsi="Times New Roman" w:eastAsia="Times New Roman" w:cs="Times New Roman"/>
          <w:color w:val="auto"/>
          <w:spacing w:val="-8"/>
          <w:sz w:val="24"/>
          <w:szCs w:val="24"/>
          <w:highlight w:val="none"/>
        </w:rPr>
        <w:t>1</w:t>
      </w:r>
      <w:r>
        <w:rPr>
          <w:rFonts w:ascii="宋体" w:hAnsi="宋体" w:eastAsia="宋体" w:cs="宋体"/>
          <w:color w:val="auto"/>
          <w:spacing w:val="-8"/>
          <w:sz w:val="24"/>
          <w:szCs w:val="24"/>
          <w:highlight w:val="none"/>
        </w:rPr>
        <w:t>）工程预付款在合同累计完成金额达到签约合同价（扣除预留金后）的</w:t>
      </w:r>
      <w:r>
        <w:rPr>
          <w:rFonts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8"/>
          <w:sz w:val="24"/>
          <w:szCs w:val="24"/>
          <w:highlight w:val="none"/>
          <w:u w:val="single" w:color="auto"/>
          <w:lang w:val="en-US" w:eastAsia="zh-CN"/>
        </w:rPr>
        <w:t>1</w:t>
      </w:r>
      <w:r>
        <w:rPr>
          <w:rFonts w:hint="eastAsia" w:ascii="宋体" w:hAnsi="宋体" w:eastAsia="宋体" w:cs="宋体"/>
          <w:color w:val="auto"/>
          <w:spacing w:val="-9"/>
          <w:sz w:val="24"/>
          <w:szCs w:val="24"/>
          <w:highlight w:val="none"/>
          <w:u w:val="single" w:color="auto"/>
          <w:lang w:val="en-US" w:eastAsia="zh-CN"/>
        </w:rPr>
        <w:t>0</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pacing w:val="-112"/>
          <w:sz w:val="24"/>
          <w:szCs w:val="24"/>
          <w:highlight w:val="none"/>
        </w:rPr>
        <w:t xml:space="preserve"> </w:t>
      </w:r>
      <w:r>
        <w:rPr>
          <w:rFonts w:ascii="Times New Roman" w:hAnsi="Times New Roman" w:eastAsia="Times New Roman" w:cs="Times New Roman"/>
          <w:color w:val="auto"/>
          <w:spacing w:val="-9"/>
          <w:sz w:val="24"/>
          <w:szCs w:val="24"/>
          <w:highlight w:val="none"/>
        </w:rPr>
        <w:t>%</w:t>
      </w:r>
      <w:r>
        <w:rPr>
          <w:rFonts w:ascii="Times New Roman" w:hAnsi="Times New Roman" w:eastAsia="Times New Roman" w:cs="Times New Roman"/>
          <w:color w:val="auto"/>
          <w:sz w:val="24"/>
          <w:szCs w:val="24"/>
          <w:highlight w:val="none"/>
        </w:rPr>
        <w:t xml:space="preserve"> </w:t>
      </w:r>
      <w:r>
        <w:rPr>
          <w:rFonts w:ascii="宋体" w:hAnsi="宋体" w:eastAsia="宋体" w:cs="宋体"/>
          <w:color w:val="auto"/>
          <w:spacing w:val="-5"/>
          <w:sz w:val="24"/>
          <w:szCs w:val="24"/>
          <w:highlight w:val="none"/>
        </w:rPr>
        <w:t>时开始扣款，直至合同累计完成金额达到签约合同价（扣除预留金后）的</w:t>
      </w:r>
      <w:r>
        <w:rPr>
          <w:rFonts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5"/>
          <w:sz w:val="24"/>
          <w:szCs w:val="24"/>
          <w:highlight w:val="none"/>
          <w:u w:val="single" w:color="auto"/>
          <w:lang w:val="en-US" w:eastAsia="zh-CN"/>
        </w:rPr>
        <w:t>50</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Times New Roman" w:hAnsi="Times New Roman" w:eastAsia="Times New Roman" w:cs="Times New Roman"/>
          <w:color w:val="auto"/>
          <w:spacing w:val="-5"/>
          <w:sz w:val="24"/>
          <w:szCs w:val="24"/>
          <w:highlight w:val="none"/>
        </w:rPr>
        <w:t>%</w:t>
      </w:r>
      <w:r>
        <w:rPr>
          <w:rFonts w:ascii="宋体" w:hAnsi="宋体" w:eastAsia="宋体" w:cs="宋体"/>
          <w:color w:val="auto"/>
          <w:spacing w:val="-5"/>
          <w:sz w:val="24"/>
          <w:szCs w:val="24"/>
          <w:highlight w:val="none"/>
        </w:rPr>
        <w:t>时全</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部扣清。</w:t>
      </w:r>
      <w:r>
        <w:rPr>
          <w:rFonts w:hint="eastAsia" w:ascii="宋体" w:hAnsi="宋体" w:eastAsia="宋体" w:cs="宋体"/>
          <w:color w:val="auto"/>
          <w:spacing w:val="-5"/>
          <w:sz w:val="24"/>
          <w:szCs w:val="24"/>
          <w:highlight w:val="none"/>
        </w:rPr>
        <w:t>当月可支付工程款不足以扣回预付款时，当月不支付工程款，未抵扣预付款至下期扣回。</w:t>
      </w:r>
      <w:r>
        <w:rPr>
          <w:rFonts w:hint="eastAsia" w:ascii="宋体" w:hAnsi="宋体" w:eastAsia="宋体" w:cs="宋体"/>
          <w:strike/>
          <w:dstrike w:val="0"/>
          <w:color w:val="auto"/>
          <w:spacing w:val="-5"/>
          <w:sz w:val="24"/>
          <w:szCs w:val="24"/>
          <w:highlight w:val="none"/>
        </w:rPr>
        <w:t>安全文明措施费预付款不扣回。</w:t>
      </w:r>
    </w:p>
    <w:p w14:paraId="4F047431">
      <w:pPr>
        <w:spacing w:before="181" w:line="219" w:lineRule="auto"/>
        <w:ind w:left="48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）工程材料预付款的扣回与还清约定为：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01392404">
      <w:pPr>
        <w:spacing w:before="182" w:line="230"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17.3  </w:t>
      </w:r>
      <w:r>
        <w:rPr>
          <w:rFonts w:ascii="楷体" w:hAnsi="楷体" w:eastAsia="楷体" w:cs="楷体"/>
          <w:b/>
          <w:bCs/>
          <w:color w:val="auto"/>
          <w:spacing w:val="-2"/>
          <w:sz w:val="24"/>
          <w:szCs w:val="24"/>
          <w:highlight w:val="none"/>
        </w:rPr>
        <w:t>工程进度付款</w:t>
      </w:r>
    </w:p>
    <w:p w14:paraId="6A8BEA09">
      <w:pPr>
        <w:spacing w:before="167" w:line="220" w:lineRule="auto"/>
        <w:ind w:right="39"/>
        <w:jc w:val="center"/>
        <w:rPr>
          <w:rFonts w:ascii="宋体" w:hAnsi="宋体" w:eastAsia="宋体" w:cs="宋体"/>
          <w:color w:val="auto"/>
          <w:sz w:val="24"/>
          <w:szCs w:val="24"/>
          <w:highlight w:val="none"/>
        </w:rPr>
      </w:pPr>
      <w:r>
        <w:rPr>
          <w:rFonts w:hint="eastAsia" w:ascii="Times New Roman" w:hAnsi="Times New Roman" w:eastAsia="宋体" w:cs="Times New Roman"/>
          <w:b/>
          <w:bCs/>
          <w:color w:val="auto"/>
          <w:spacing w:val="-1"/>
          <w:sz w:val="24"/>
          <w:szCs w:val="24"/>
          <w:highlight w:val="none"/>
          <w:lang w:val="en-US" w:eastAsia="zh-CN"/>
        </w:rPr>
        <w:t xml:space="preserve">      </w:t>
      </w:r>
      <w:r>
        <w:rPr>
          <w:rFonts w:ascii="Times New Roman" w:hAnsi="Times New Roman" w:eastAsia="Times New Roman" w:cs="Times New Roman"/>
          <w:b/>
          <w:bCs/>
          <w:color w:val="auto"/>
          <w:spacing w:val="-1"/>
          <w:sz w:val="24"/>
          <w:szCs w:val="24"/>
          <w:highlight w:val="none"/>
        </w:rPr>
        <w:t xml:space="preserve">17.3.2  </w:t>
      </w:r>
      <w:r>
        <w:rPr>
          <w:rFonts w:ascii="宋体" w:hAnsi="宋体" w:eastAsia="宋体" w:cs="宋体"/>
          <w:color w:val="auto"/>
          <w:spacing w:val="-1"/>
          <w:sz w:val="24"/>
          <w:szCs w:val="24"/>
          <w:highlight w:val="none"/>
        </w:rPr>
        <w:t>承包人在每个付款周期末向监理人提交进度付款申请单的份数：</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6</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1"/>
          <w:sz w:val="24"/>
          <w:szCs w:val="24"/>
          <w:highlight w:val="none"/>
        </w:rPr>
        <w:t>份。</w:t>
      </w:r>
    </w:p>
    <w:p w14:paraId="1B74DFE0">
      <w:pPr>
        <w:spacing w:before="181" w:line="219" w:lineRule="auto"/>
        <w:ind w:left="48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17.3.3  </w:t>
      </w:r>
      <w:r>
        <w:rPr>
          <w:rFonts w:ascii="宋体" w:hAnsi="宋体" w:eastAsia="宋体" w:cs="宋体"/>
          <w:color w:val="auto"/>
          <w:spacing w:val="-1"/>
          <w:sz w:val="24"/>
          <w:szCs w:val="24"/>
          <w:highlight w:val="none"/>
        </w:rPr>
        <w:t>进度付款证书和支付时间</w:t>
      </w:r>
    </w:p>
    <w:p w14:paraId="70901A04">
      <w:pPr>
        <w:keepNext w:val="0"/>
        <w:keepLines w:val="0"/>
        <w:pageBreakBefore w:val="0"/>
        <w:widowControl/>
        <w:kinsoku w:val="0"/>
        <w:wordWrap/>
        <w:overflowPunct/>
        <w:topLinePunct w:val="0"/>
        <w:autoSpaceDE w:val="0"/>
        <w:autoSpaceDN w:val="0"/>
        <w:bidi w:val="0"/>
        <w:adjustRightInd w:val="0"/>
        <w:snapToGrid w:val="0"/>
        <w:spacing w:before="183" w:line="360" w:lineRule="auto"/>
        <w:ind w:left="487"/>
        <w:textAlignment w:val="baseline"/>
        <w:rPr>
          <w:rFonts w:ascii="宋体" w:hAnsi="宋体" w:eastAsia="宋体" w:cs="宋体"/>
          <w:color w:val="auto"/>
          <w:spacing w:val="-9"/>
          <w:sz w:val="24"/>
          <w:szCs w:val="24"/>
          <w:highlight w:val="none"/>
        </w:rPr>
      </w:pPr>
      <w:r>
        <w:rPr>
          <w:rFonts w:ascii="宋体" w:hAnsi="宋体" w:eastAsia="宋体" w:cs="宋体"/>
          <w:color w:val="auto"/>
          <w:spacing w:val="-9"/>
          <w:sz w:val="24"/>
          <w:szCs w:val="24"/>
          <w:highlight w:val="none"/>
        </w:rPr>
        <w:t>（</w:t>
      </w:r>
      <w:r>
        <w:rPr>
          <w:rFonts w:ascii="Times New Roman" w:hAnsi="Times New Roman" w:eastAsia="Times New Roman" w:cs="Times New Roman"/>
          <w:color w:val="auto"/>
          <w:spacing w:val="-9"/>
          <w:sz w:val="24"/>
          <w:szCs w:val="24"/>
          <w:highlight w:val="none"/>
        </w:rPr>
        <w:t>1</w:t>
      </w:r>
      <w:r>
        <w:rPr>
          <w:rFonts w:ascii="宋体" w:hAnsi="宋体" w:eastAsia="宋体" w:cs="宋体"/>
          <w:color w:val="auto"/>
          <w:spacing w:val="-9"/>
          <w:sz w:val="24"/>
          <w:szCs w:val="24"/>
          <w:highlight w:val="none"/>
        </w:rPr>
        <w:t>）细化为：</w:t>
      </w:r>
    </w:p>
    <w:p w14:paraId="31EB0F53">
      <w:pPr>
        <w:keepNext w:val="0"/>
        <w:keepLines w:val="0"/>
        <w:pageBreakBefore w:val="0"/>
        <w:widowControl/>
        <w:kinsoku w:val="0"/>
        <w:wordWrap/>
        <w:overflowPunct/>
        <w:topLinePunct w:val="0"/>
        <w:autoSpaceDE w:val="0"/>
        <w:autoSpaceDN w:val="0"/>
        <w:bidi w:val="0"/>
        <w:adjustRightInd w:val="0"/>
        <w:snapToGrid w:val="0"/>
        <w:spacing w:before="1" w:line="360" w:lineRule="auto"/>
        <w:ind w:right="13" w:firstLine="486"/>
        <w:textAlignment w:val="baseline"/>
        <w:rPr>
          <w:rFonts w:hint="eastAsia" w:ascii="宋体" w:hAnsi="宋体" w:eastAsia="宋体" w:cs="宋体"/>
          <w:color w:val="auto"/>
          <w:sz w:val="24"/>
          <w:szCs w:val="24"/>
          <w:highlight w:val="none"/>
        </w:rPr>
      </w:pPr>
      <w:r>
        <w:rPr>
          <w:rFonts w:hint="eastAsia" w:ascii="宋体" w:hAnsi="宋体" w:eastAsia="宋体" w:cs="宋体"/>
          <w:strike/>
          <w:dstrike w:val="0"/>
          <w:color w:val="auto"/>
          <w:sz w:val="24"/>
          <w:szCs w:val="24"/>
          <w:highlight w:val="none"/>
        </w:rPr>
        <w:t>开工后28天内预付安全文明施工费总额的50%，之后随进度款支付，工程完工前付清。</w:t>
      </w:r>
      <w:r>
        <w:rPr>
          <w:rFonts w:hint="eastAsia" w:ascii="宋体" w:hAnsi="宋体" w:eastAsia="宋体" w:cs="宋体"/>
          <w:color w:val="auto"/>
          <w:sz w:val="24"/>
          <w:szCs w:val="24"/>
          <w:highlight w:val="none"/>
        </w:rPr>
        <w:t>合同签订、承包人交履约保函、总监理工程师发出开工指令后，一个月内支付签约合同价10%的工程预付款（不含暂（估）列金额</w:t>
      </w:r>
      <w:r>
        <w:rPr>
          <w:rFonts w:hint="eastAsia" w:ascii="宋体" w:hAnsi="宋体" w:eastAsia="宋体" w:cs="宋体"/>
          <w:strike/>
          <w:dstrike w:val="0"/>
          <w:color w:val="auto"/>
          <w:sz w:val="24"/>
          <w:szCs w:val="24"/>
          <w:highlight w:val="none"/>
        </w:rPr>
        <w:t>和安全文明施工费</w:t>
      </w:r>
      <w:r>
        <w:rPr>
          <w:rFonts w:hint="eastAsia" w:ascii="宋体" w:hAnsi="宋体" w:eastAsia="宋体" w:cs="宋体"/>
          <w:color w:val="auto"/>
          <w:sz w:val="24"/>
          <w:szCs w:val="24"/>
          <w:highlight w:val="none"/>
        </w:rPr>
        <w:t>），此预付款在工程产值达到合同价的10%后分</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期扣回，第一期回扣50%，第二期扣完全部的预付款，当月可支付产值不足以抵扣预付款时，当月不支付工程款，未抵扣预付款累计入下次抵扣。</w:t>
      </w:r>
    </w:p>
    <w:p w14:paraId="3BE195CA">
      <w:pPr>
        <w:spacing w:before="1" w:line="359" w:lineRule="auto"/>
        <w:ind w:right="13" w:firstLine="48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按月进度支付。承包人于每月20日前向监理单位及发包人上报产值报表，支付比例为发包人审核值的</w:t>
      </w:r>
      <w:r>
        <w:rPr>
          <w:rFonts w:hint="eastAsia" w:ascii="宋体" w:hAnsi="宋体" w:eastAsia="宋体" w:cs="宋体"/>
          <w:color w:val="auto"/>
          <w:sz w:val="24"/>
          <w:szCs w:val="24"/>
          <w:highlight w:val="none"/>
          <w:lang w:val="en-US" w:eastAsia="zh-CN"/>
        </w:rPr>
        <w:t>85</w:t>
      </w:r>
      <w:r>
        <w:rPr>
          <w:rFonts w:hint="eastAsia" w:ascii="宋体" w:hAnsi="宋体" w:eastAsia="宋体" w:cs="宋体"/>
          <w:color w:val="auto"/>
          <w:sz w:val="24"/>
          <w:szCs w:val="24"/>
          <w:highlight w:val="none"/>
        </w:rPr>
        <w:t>％；工程竣工验收合格后，竣工资料整理并归档、备案后付至合同价的90％（如实际完成的工程量低于合同，则付至经发包人核准的实际完成工程量的90％)；工程结算经审计后（发包人委托的造价咨询机构出具的并经</w:t>
      </w:r>
      <w:r>
        <w:rPr>
          <w:rFonts w:hint="eastAsia" w:ascii="宋体" w:hAnsi="宋体" w:eastAsia="宋体" w:cs="宋体"/>
          <w:color w:val="auto"/>
          <w:sz w:val="24"/>
          <w:szCs w:val="24"/>
          <w:highlight w:val="none"/>
          <w:lang w:val="en-US" w:eastAsia="zh-CN"/>
        </w:rPr>
        <w:t>承包人</w:t>
      </w:r>
      <w:r>
        <w:rPr>
          <w:rFonts w:hint="eastAsia" w:ascii="宋体" w:hAnsi="宋体" w:eastAsia="宋体" w:cs="宋体"/>
          <w:color w:val="auto"/>
          <w:sz w:val="24"/>
          <w:szCs w:val="24"/>
          <w:highlight w:val="none"/>
        </w:rPr>
        <w:t>审核同意后的审计结果）付至结算价的98.5％；余款1.5％作为工程质量</w:t>
      </w:r>
      <w:r>
        <w:rPr>
          <w:rFonts w:hint="eastAsia" w:ascii="宋体" w:hAnsi="宋体" w:eastAsia="宋体" w:cs="宋体"/>
          <w:color w:val="auto"/>
          <w:sz w:val="24"/>
          <w:szCs w:val="24"/>
          <w:highlight w:val="none"/>
          <w:lang w:eastAsia="zh-CN"/>
        </w:rPr>
        <w:t>保证金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在缺陷责任期满且发包人组织缺陷验收合格后支付（保证金不计利息，根据实际的修复情况多退少补）。发包人可采用现金、转账、承兑汇票等形式支付。</w:t>
      </w:r>
    </w:p>
    <w:p w14:paraId="69B806E4">
      <w:pPr>
        <w:spacing w:before="1" w:line="359" w:lineRule="auto"/>
        <w:ind w:right="13" w:firstLine="48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承包人未能完成月计划进度或工程质量未达到约定要求的，或者调减变更未及时上报的，发包人有权暂缓支付工程进度款；最终结算价格以发包人委托的造价咨询机构出具的并经</w:t>
      </w:r>
      <w:r>
        <w:rPr>
          <w:rFonts w:hint="eastAsia" w:ascii="宋体" w:hAnsi="宋体" w:eastAsia="宋体" w:cs="宋体"/>
          <w:color w:val="auto"/>
          <w:sz w:val="24"/>
          <w:szCs w:val="24"/>
          <w:highlight w:val="none"/>
          <w:lang w:val="en-US" w:eastAsia="zh-CN"/>
        </w:rPr>
        <w:t>承包人</w:t>
      </w:r>
      <w:r>
        <w:rPr>
          <w:rFonts w:hint="eastAsia" w:ascii="宋体" w:hAnsi="宋体" w:eastAsia="宋体" w:cs="宋体"/>
          <w:color w:val="auto"/>
          <w:sz w:val="24"/>
          <w:szCs w:val="24"/>
          <w:highlight w:val="none"/>
        </w:rPr>
        <w:t>审核同意后的审计结果作为工程竣工结算依据</w:t>
      </w:r>
      <w:r>
        <w:rPr>
          <w:rFonts w:ascii="宋体" w:hAnsi="宋体" w:eastAsia="宋体" w:cs="宋体"/>
          <w:color w:val="auto"/>
          <w:sz w:val="24"/>
          <w:szCs w:val="24"/>
          <w:highlight w:val="none"/>
        </w:rPr>
        <w:t>。</w:t>
      </w:r>
    </w:p>
    <w:p w14:paraId="59091E28">
      <w:pPr>
        <w:numPr>
          <w:ilvl w:val="0"/>
          <w:numId w:val="3"/>
        </w:numPr>
        <w:spacing w:before="1" w:line="359" w:lineRule="auto"/>
        <w:ind w:right="13" w:firstLine="486"/>
        <w:rPr>
          <w:color w:val="auto"/>
          <w:highlight w:val="none"/>
        </w:rPr>
      </w:pPr>
      <w:r>
        <w:rPr>
          <w:rFonts w:ascii="宋体" w:hAnsi="宋体" w:eastAsia="宋体" w:cs="宋体"/>
          <w:color w:val="auto"/>
          <w:sz w:val="24"/>
          <w:szCs w:val="24"/>
          <w:highlight w:val="none"/>
        </w:rPr>
        <w:t xml:space="preserve">本款中规定的逾期付款违约金为按中国人民银行规定的同期贷款基准利率 </w:t>
      </w:r>
      <w:r>
        <w:rPr>
          <w:rFonts w:ascii="宋体" w:hAnsi="宋体" w:eastAsia="宋体" w:cs="宋体"/>
          <w:color w:val="auto"/>
          <w:spacing w:val="-4"/>
          <w:sz w:val="24"/>
          <w:szCs w:val="24"/>
          <w:highlight w:val="none"/>
        </w:rPr>
        <w:t>计算的逾期付款金额的利息。</w:t>
      </w:r>
    </w:p>
    <w:p w14:paraId="71666CFE">
      <w:pPr>
        <w:numPr>
          <w:ilvl w:val="0"/>
          <w:numId w:val="3"/>
        </w:numPr>
        <w:spacing w:before="1" w:line="359" w:lineRule="auto"/>
        <w:ind w:right="13" w:firstLine="486"/>
        <w:rPr>
          <w:rFonts w:hint="eastAsia"/>
          <w:color w:val="auto"/>
          <w:highlight w:val="none"/>
          <w:lang w:eastAsia="zh-CN"/>
        </w:rPr>
      </w:pPr>
      <w:r>
        <w:rPr>
          <w:rFonts w:hint="eastAsia" w:ascii="宋体" w:hAnsi="宋体" w:eastAsia="宋体" w:cs="宋体"/>
          <w:color w:val="auto"/>
          <w:sz w:val="24"/>
          <w:szCs w:val="24"/>
          <w:highlight w:val="none"/>
          <w:lang w:val="en-US" w:eastAsia="zh-CN"/>
        </w:rPr>
        <w:t>按照</w:t>
      </w:r>
      <w:r>
        <w:rPr>
          <w:rFonts w:ascii="宋体" w:hAnsi="宋体" w:eastAsia="宋体" w:cs="宋体"/>
          <w:snapToGrid w:val="0"/>
          <w:color w:val="auto"/>
          <w:kern w:val="0"/>
          <w:sz w:val="24"/>
          <w:szCs w:val="24"/>
          <w:highlight w:val="none"/>
          <w:lang w:val="en-US" w:eastAsia="zh-CN" w:bidi="ar"/>
        </w:rPr>
        <w:t>浙建〔2020〕7号、浙人社发〔2022〕14号、绍市人社发〔2024〕17号文件规定，农民工工资实行专用账户资金管理，设立人工费分账基准比例：15%</w:t>
      </w:r>
      <w:r>
        <w:rPr>
          <w:rFonts w:hint="eastAsia" w:ascii="宋体" w:hAnsi="宋体" w:eastAsia="宋体" w:cs="宋体"/>
          <w:snapToGrid w:val="0"/>
          <w:color w:val="auto"/>
          <w:kern w:val="0"/>
          <w:sz w:val="24"/>
          <w:szCs w:val="24"/>
          <w:highlight w:val="none"/>
          <w:lang w:val="en-US" w:eastAsia="zh-CN" w:bidi="ar"/>
        </w:rPr>
        <w:t>。</w:t>
      </w:r>
    </w:p>
    <w:p w14:paraId="4994D826">
      <w:pPr>
        <w:spacing w:before="1" w:line="227" w:lineRule="auto"/>
        <w:ind w:left="7"/>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17.4  </w:t>
      </w:r>
      <w:r>
        <w:rPr>
          <w:rFonts w:ascii="楷体" w:hAnsi="楷体" w:eastAsia="楷体" w:cs="楷体"/>
          <w:b/>
          <w:bCs/>
          <w:color w:val="auto"/>
          <w:spacing w:val="-2"/>
          <w:sz w:val="24"/>
          <w:szCs w:val="24"/>
          <w:highlight w:val="none"/>
        </w:rPr>
        <w:t>质量保证金</w:t>
      </w:r>
    </w:p>
    <w:p w14:paraId="0AA97ABF">
      <w:pPr>
        <w:spacing w:before="170" w:line="212" w:lineRule="auto"/>
        <w:ind w:left="489"/>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17.4.1  </w:t>
      </w:r>
      <w:r>
        <w:rPr>
          <w:rFonts w:ascii="宋体" w:hAnsi="宋体" w:eastAsia="宋体" w:cs="宋体"/>
          <w:color w:val="auto"/>
          <w:spacing w:val="-3"/>
          <w:sz w:val="24"/>
          <w:szCs w:val="24"/>
          <w:highlight w:val="none"/>
        </w:rPr>
        <w:t>质量保证金总额为完工结算价款总额的</w:t>
      </w:r>
      <w:r>
        <w:rPr>
          <w:rFonts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val="en-US" w:eastAsia="zh-CN"/>
        </w:rPr>
        <w:t>1.5</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97"/>
          <w:sz w:val="24"/>
          <w:szCs w:val="24"/>
          <w:highlight w:val="none"/>
        </w:rPr>
        <w:t xml:space="preserve"> </w:t>
      </w:r>
      <w:r>
        <w:rPr>
          <w:rFonts w:ascii="Times New Roman" w:hAnsi="Times New Roman" w:eastAsia="Times New Roman" w:cs="Times New Roman"/>
          <w:color w:val="auto"/>
          <w:spacing w:val="-3"/>
          <w:sz w:val="24"/>
          <w:szCs w:val="24"/>
          <w:highlight w:val="none"/>
        </w:rPr>
        <w:t>%</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i/>
          <w:iCs/>
          <w:color w:val="auto"/>
          <w:spacing w:val="-3"/>
          <w:sz w:val="25"/>
          <w:szCs w:val="25"/>
          <w:highlight w:val="none"/>
        </w:rPr>
        <w:t>（不得超过</w:t>
      </w:r>
      <w:r>
        <w:rPr>
          <w:rFonts w:ascii="Times New Roman" w:hAnsi="Times New Roman" w:eastAsia="Times New Roman" w:cs="Times New Roman"/>
          <w:i/>
          <w:iCs/>
          <w:color w:val="auto"/>
          <w:spacing w:val="-3"/>
          <w:sz w:val="24"/>
          <w:szCs w:val="24"/>
          <w:highlight w:val="none"/>
        </w:rPr>
        <w:t>1.5%</w:t>
      </w:r>
      <w:r>
        <w:rPr>
          <w:rFonts w:ascii="宋体" w:hAnsi="宋体" w:eastAsia="宋体" w:cs="宋体"/>
          <w:i/>
          <w:iCs/>
          <w:color w:val="auto"/>
          <w:spacing w:val="-3"/>
          <w:sz w:val="25"/>
          <w:szCs w:val="25"/>
          <w:highlight w:val="none"/>
        </w:rPr>
        <w:t>）</w:t>
      </w:r>
      <w:r>
        <w:rPr>
          <w:rFonts w:ascii="宋体" w:hAnsi="宋体" w:eastAsia="宋体" w:cs="宋体"/>
          <w:color w:val="auto"/>
          <w:spacing w:val="-3"/>
          <w:sz w:val="24"/>
          <w:szCs w:val="24"/>
          <w:highlight w:val="none"/>
        </w:rPr>
        <w:t>。</w:t>
      </w:r>
    </w:p>
    <w:p w14:paraId="632E9BA0">
      <w:pPr>
        <w:spacing w:before="181" w:line="228" w:lineRule="auto"/>
        <w:ind w:left="7"/>
        <w:rPr>
          <w:rFonts w:ascii="楷体" w:hAnsi="楷体" w:eastAsia="楷体" w:cs="楷体"/>
          <w:b/>
          <w:bCs/>
          <w:color w:val="auto"/>
          <w:spacing w:val="-5"/>
          <w:sz w:val="24"/>
          <w:szCs w:val="24"/>
          <w:highlight w:val="none"/>
        </w:rPr>
      </w:pPr>
      <w:r>
        <w:rPr>
          <w:rFonts w:ascii="Times New Roman" w:hAnsi="Times New Roman" w:eastAsia="Times New Roman" w:cs="Times New Roman"/>
          <w:b/>
          <w:bCs/>
          <w:color w:val="auto"/>
          <w:spacing w:val="-5"/>
          <w:sz w:val="24"/>
          <w:szCs w:val="24"/>
          <w:highlight w:val="none"/>
        </w:rPr>
        <w:t>17.5</w:t>
      </w:r>
      <w:r>
        <w:rPr>
          <w:rFonts w:ascii="Times New Roman" w:hAnsi="Times New Roman" w:eastAsia="Times New Roman" w:cs="Times New Roman"/>
          <w:b/>
          <w:bCs/>
          <w:color w:val="auto"/>
          <w:spacing w:val="10"/>
          <w:sz w:val="24"/>
          <w:szCs w:val="24"/>
          <w:highlight w:val="none"/>
        </w:rPr>
        <w:t xml:space="preserve">  </w:t>
      </w:r>
      <w:r>
        <w:rPr>
          <w:rFonts w:ascii="楷体" w:hAnsi="楷体" w:eastAsia="楷体" w:cs="楷体"/>
          <w:b/>
          <w:bCs/>
          <w:color w:val="auto"/>
          <w:spacing w:val="-5"/>
          <w:sz w:val="24"/>
          <w:szCs w:val="24"/>
          <w:highlight w:val="none"/>
        </w:rPr>
        <w:t>完工结算</w:t>
      </w:r>
    </w:p>
    <w:p w14:paraId="78AD1A44">
      <w:pPr>
        <w:spacing w:before="170" w:line="212" w:lineRule="auto"/>
        <w:ind w:left="48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17.5.1  </w:t>
      </w:r>
      <w:r>
        <w:rPr>
          <w:rFonts w:ascii="宋体" w:hAnsi="宋体" w:eastAsia="宋体" w:cs="宋体"/>
          <w:color w:val="auto"/>
          <w:spacing w:val="-1"/>
          <w:sz w:val="24"/>
          <w:szCs w:val="24"/>
          <w:highlight w:val="none"/>
        </w:rPr>
        <w:t>完工付款申请单</w:t>
      </w:r>
    </w:p>
    <w:p w14:paraId="5560A03E">
      <w:pPr>
        <w:spacing w:before="180" w:line="220" w:lineRule="auto"/>
        <w:ind w:left="48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）承包人应提交完工付款申请单一式</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6</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2"/>
          <w:sz w:val="24"/>
          <w:szCs w:val="24"/>
          <w:highlight w:val="none"/>
        </w:rPr>
        <w:t xml:space="preserve"> </w:t>
      </w:r>
      <w:r>
        <w:rPr>
          <w:rFonts w:ascii="宋体" w:hAnsi="宋体" w:eastAsia="宋体" w:cs="宋体"/>
          <w:color w:val="auto"/>
          <w:spacing w:val="-2"/>
          <w:sz w:val="24"/>
          <w:szCs w:val="24"/>
          <w:highlight w:val="none"/>
        </w:rPr>
        <w:t>份。</w:t>
      </w:r>
    </w:p>
    <w:p w14:paraId="79AE04C1">
      <w:pPr>
        <w:spacing w:before="181" w:line="222" w:lineRule="auto"/>
        <w:ind w:left="3"/>
        <w:rPr>
          <w:rFonts w:ascii="楷体" w:hAnsi="楷体" w:eastAsia="楷体" w:cs="楷体"/>
          <w:color w:val="auto"/>
          <w:sz w:val="24"/>
          <w:szCs w:val="24"/>
          <w:highlight w:val="none"/>
        </w:rPr>
      </w:pPr>
      <w:bookmarkStart w:id="135" w:name="bookmark415"/>
      <w:bookmarkEnd w:id="135"/>
      <w:r>
        <w:rPr>
          <w:rFonts w:ascii="Times New Roman" w:hAnsi="Times New Roman" w:eastAsia="Times New Roman" w:cs="Times New Roman"/>
          <w:b/>
          <w:bCs/>
          <w:color w:val="auto"/>
          <w:spacing w:val="-5"/>
          <w:sz w:val="24"/>
          <w:szCs w:val="24"/>
          <w:highlight w:val="none"/>
        </w:rPr>
        <w:t>17.6</w:t>
      </w:r>
      <w:r>
        <w:rPr>
          <w:rFonts w:ascii="Times New Roman" w:hAnsi="Times New Roman" w:eastAsia="Times New Roman" w:cs="Times New Roman"/>
          <w:b/>
          <w:bCs/>
          <w:color w:val="auto"/>
          <w:spacing w:val="10"/>
          <w:sz w:val="24"/>
          <w:szCs w:val="24"/>
          <w:highlight w:val="none"/>
        </w:rPr>
        <w:t xml:space="preserve">  </w:t>
      </w:r>
      <w:r>
        <w:rPr>
          <w:rFonts w:ascii="楷体" w:hAnsi="楷体" w:eastAsia="楷体" w:cs="楷体"/>
          <w:b/>
          <w:bCs/>
          <w:color w:val="auto"/>
          <w:spacing w:val="-5"/>
          <w:sz w:val="24"/>
          <w:szCs w:val="24"/>
          <w:highlight w:val="none"/>
        </w:rPr>
        <w:t>最终结清</w:t>
      </w:r>
    </w:p>
    <w:p w14:paraId="190152D3">
      <w:pPr>
        <w:spacing w:before="177" w:line="220"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17.6.1  </w:t>
      </w:r>
      <w:r>
        <w:rPr>
          <w:rFonts w:ascii="宋体" w:hAnsi="宋体" w:eastAsia="宋体" w:cs="宋体"/>
          <w:color w:val="auto"/>
          <w:spacing w:val="-1"/>
          <w:sz w:val="24"/>
          <w:szCs w:val="24"/>
          <w:highlight w:val="none"/>
        </w:rPr>
        <w:t>最终结清申请单</w:t>
      </w:r>
    </w:p>
    <w:p w14:paraId="27B26328">
      <w:pPr>
        <w:spacing w:before="181" w:line="220" w:lineRule="auto"/>
        <w:ind w:left="48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）承包人应提交最终结清申请单一式</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6</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2"/>
          <w:sz w:val="24"/>
          <w:szCs w:val="24"/>
          <w:highlight w:val="none"/>
        </w:rPr>
        <w:t xml:space="preserve"> </w:t>
      </w:r>
      <w:r>
        <w:rPr>
          <w:rFonts w:ascii="宋体" w:hAnsi="宋体" w:eastAsia="宋体" w:cs="宋体"/>
          <w:color w:val="auto"/>
          <w:spacing w:val="-2"/>
          <w:sz w:val="24"/>
          <w:szCs w:val="24"/>
          <w:highlight w:val="none"/>
        </w:rPr>
        <w:t>份。</w:t>
      </w:r>
    </w:p>
    <w:p w14:paraId="39BEA738">
      <w:pPr>
        <w:spacing w:before="181" w:line="225"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17.7  </w:t>
      </w:r>
      <w:r>
        <w:rPr>
          <w:rFonts w:ascii="楷体" w:hAnsi="楷体" w:eastAsia="楷体" w:cs="楷体"/>
          <w:b/>
          <w:bCs/>
          <w:color w:val="auto"/>
          <w:spacing w:val="-3"/>
          <w:sz w:val="24"/>
          <w:szCs w:val="24"/>
          <w:highlight w:val="none"/>
        </w:rPr>
        <w:t>竣工财务决算</w:t>
      </w:r>
    </w:p>
    <w:p w14:paraId="3E587596">
      <w:pPr>
        <w:spacing w:before="174" w:line="219" w:lineRule="auto"/>
        <w:ind w:left="477"/>
        <w:rPr>
          <w:rFonts w:ascii="宋体" w:hAnsi="宋体" w:eastAsia="宋体" w:cs="宋体"/>
          <w:color w:val="auto"/>
          <w:sz w:val="24"/>
          <w:szCs w:val="24"/>
          <w:highlight w:val="none"/>
        </w:rPr>
      </w:pPr>
      <w:r>
        <w:rPr>
          <w:rFonts w:ascii="宋体" w:hAnsi="宋体" w:eastAsia="宋体" w:cs="宋体"/>
          <w:color w:val="auto"/>
          <w:sz w:val="24"/>
          <w:szCs w:val="24"/>
          <w:highlight w:val="none"/>
        </w:rPr>
        <w:t>承包人应为竣工财务决算编制提供的资料：</w:t>
      </w:r>
      <w:r>
        <w:rPr>
          <w:rFonts w:ascii="宋体" w:hAnsi="宋体" w:eastAsia="宋体" w:cs="宋体"/>
          <w:color w:val="auto"/>
          <w:sz w:val="24"/>
          <w:szCs w:val="24"/>
          <w:highlight w:val="none"/>
          <w:u w:val="single" w:color="auto"/>
        </w:rPr>
        <w:t xml:space="preserve"> </w:t>
      </w:r>
      <w:r>
        <w:rPr>
          <w:rFonts w:ascii="Times New Roman" w:hAnsi="Times New Roman" w:eastAsia="宋体" w:cs="Times New Roman"/>
          <w:color w:val="auto"/>
          <w:sz w:val="24"/>
          <w:szCs w:val="24"/>
          <w:highlight w:val="none"/>
          <w:u w:val="single"/>
          <w:lang w:eastAsia="zh-CN"/>
        </w:rPr>
        <w:t>财务决算所需的一切资料</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6BF2B2E8">
      <w:pPr>
        <w:spacing w:before="309" w:line="226" w:lineRule="auto"/>
        <w:ind w:left="6"/>
        <w:outlineLvl w:val="2"/>
        <w:rPr>
          <w:rFonts w:ascii="宋体" w:hAnsi="宋体" w:eastAsia="宋体" w:cs="宋体"/>
          <w:color w:val="auto"/>
          <w:sz w:val="27"/>
          <w:szCs w:val="27"/>
          <w:highlight w:val="none"/>
        </w:rPr>
      </w:pPr>
      <w:bookmarkStart w:id="136" w:name="bookmark89"/>
      <w:bookmarkEnd w:id="136"/>
      <w:bookmarkStart w:id="137" w:name="_Toc32004"/>
      <w:r>
        <w:rPr>
          <w:rFonts w:ascii="Times New Roman" w:hAnsi="Times New Roman" w:eastAsia="Times New Roman" w:cs="Times New Roman"/>
          <w:b/>
          <w:bCs/>
          <w:color w:val="auto"/>
          <w:spacing w:val="1"/>
          <w:sz w:val="27"/>
          <w:szCs w:val="27"/>
          <w:highlight w:val="none"/>
        </w:rPr>
        <w:t>18</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1"/>
          <w:sz w:val="27"/>
          <w:szCs w:val="27"/>
          <w:highlight w:val="none"/>
        </w:rPr>
        <w:t>工程验收</w:t>
      </w:r>
      <w:bookmarkEnd w:id="137"/>
    </w:p>
    <w:p w14:paraId="428E4798">
      <w:pPr>
        <w:pStyle w:val="8"/>
        <w:spacing w:line="248" w:lineRule="auto"/>
        <w:rPr>
          <w:color w:val="auto"/>
          <w:highlight w:val="none"/>
        </w:rPr>
      </w:pPr>
    </w:p>
    <w:p w14:paraId="5EA8EB77">
      <w:pPr>
        <w:spacing w:before="78" w:line="223"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18.1  </w:t>
      </w:r>
      <w:r>
        <w:rPr>
          <w:rFonts w:ascii="楷体" w:hAnsi="楷体" w:eastAsia="楷体" w:cs="楷体"/>
          <w:b/>
          <w:bCs/>
          <w:color w:val="auto"/>
          <w:spacing w:val="-3"/>
          <w:sz w:val="24"/>
          <w:szCs w:val="24"/>
          <w:highlight w:val="none"/>
        </w:rPr>
        <w:t>验收工作分类</w:t>
      </w:r>
    </w:p>
    <w:p w14:paraId="2883D6B4">
      <w:pPr>
        <w:spacing w:before="176" w:line="360" w:lineRule="auto"/>
        <w:ind w:right="98" w:firstLine="47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本工程法人验收包括</w:t>
      </w:r>
      <w:r>
        <w:rPr>
          <w:rFonts w:ascii="宋体" w:hAnsi="宋体" w:eastAsia="宋体" w:cs="宋体"/>
          <w:color w:val="auto"/>
          <w:spacing w:val="4"/>
          <w:sz w:val="24"/>
          <w:szCs w:val="24"/>
          <w:highlight w:val="none"/>
        </w:rPr>
        <w:t>：</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u w:val="single" w:color="auto"/>
        </w:rPr>
        <w:t xml:space="preserve"> </w:t>
      </w:r>
      <w:r>
        <w:rPr>
          <w:rFonts w:hint="eastAsia" w:ascii="Times New Roman" w:hAnsi="Times New Roman" w:eastAsia="宋体" w:cs="Times New Roman"/>
          <w:color w:val="auto"/>
          <w:spacing w:val="-8"/>
          <w:sz w:val="24"/>
          <w:szCs w:val="24"/>
          <w:highlight w:val="none"/>
          <w:u w:val="single"/>
          <w:lang w:val="en-US" w:eastAsia="zh-CN"/>
        </w:rPr>
        <w:t>/</w:t>
      </w:r>
      <w:r>
        <w:rPr>
          <w:rFonts w:hint="eastAsia" w:ascii="Times New Roman" w:hAnsi="Times New Roman" w:eastAsia="宋体" w:cs="Times New Roman"/>
          <w:color w:val="auto"/>
          <w:spacing w:val="-8"/>
          <w:sz w:val="24"/>
          <w:szCs w:val="24"/>
          <w:highlight w:val="none"/>
          <w:u w:val="single"/>
          <w:lang w:eastAsia="zh-CN"/>
        </w:rPr>
        <w:t>；</w:t>
      </w:r>
      <w:r>
        <w:rPr>
          <w:rFonts w:ascii="宋体" w:hAnsi="宋体" w:eastAsia="宋体" w:cs="宋体"/>
          <w:color w:val="auto"/>
          <w:spacing w:val="1"/>
          <w:sz w:val="24"/>
          <w:szCs w:val="24"/>
          <w:highlight w:val="none"/>
        </w:rPr>
        <w:t>政府验收包括：</w:t>
      </w:r>
      <w:r>
        <w:rPr>
          <w:rFonts w:ascii="宋体" w:hAnsi="宋体" w:eastAsia="宋体" w:cs="宋体"/>
          <w:color w:val="auto"/>
          <w:spacing w:val="-28"/>
          <w:sz w:val="24"/>
          <w:szCs w:val="24"/>
          <w:highlight w:val="none"/>
        </w:rPr>
        <w:t xml:space="preserve"> </w:t>
      </w:r>
      <w:r>
        <w:rPr>
          <w:rFonts w:ascii="宋体" w:hAnsi="宋体" w:eastAsia="宋体" w:cs="宋体"/>
          <w:color w:val="auto"/>
          <w:spacing w:val="7"/>
          <w:sz w:val="24"/>
          <w:szCs w:val="24"/>
          <w:highlight w:val="none"/>
          <w:u w:val="single" w:color="auto"/>
        </w:rPr>
        <w:t xml:space="preserve"> </w:t>
      </w:r>
      <w:r>
        <w:rPr>
          <w:rFonts w:hint="eastAsia" w:ascii="Times New Roman" w:hAnsi="Times New Roman" w:eastAsia="宋体" w:cs="Times New Roman"/>
          <w:color w:val="auto"/>
          <w:spacing w:val="-11"/>
          <w:sz w:val="24"/>
          <w:szCs w:val="24"/>
          <w:highlight w:val="none"/>
          <w:u w:val="single"/>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1"/>
          <w:sz w:val="24"/>
          <w:szCs w:val="24"/>
          <w:highlight w:val="none"/>
        </w:rPr>
        <w:t>。验收条件</w:t>
      </w:r>
      <w:r>
        <w:rPr>
          <w:rFonts w:ascii="宋体" w:hAnsi="宋体" w:eastAsia="宋体" w:cs="宋体"/>
          <w:color w:val="auto"/>
          <w:spacing w:val="-1"/>
          <w:sz w:val="24"/>
          <w:szCs w:val="24"/>
          <w:highlight w:val="none"/>
        </w:rPr>
        <w:t>为</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hint="eastAsia" w:ascii="Times New Roman" w:hAnsi="Times New Roman" w:eastAsia="宋体" w:cs="Times New Roman"/>
          <w:color w:val="auto"/>
          <w:spacing w:val="-11"/>
          <w:sz w:val="24"/>
          <w:szCs w:val="24"/>
          <w:highlight w:val="none"/>
          <w:u w:val="single"/>
          <w:lang w:val="en-US" w:eastAsia="zh-CN"/>
        </w:rPr>
        <w:t>项目工程建设符合土地整治工程建设标准及高标准农田建设标准</w:t>
      </w:r>
      <w:r>
        <w:rPr>
          <w:rFonts w:ascii="宋体" w:hAnsi="宋体" w:eastAsia="宋体" w:cs="宋体"/>
          <w:color w:val="auto"/>
          <w:spacing w:val="4"/>
          <w:sz w:val="24"/>
          <w:szCs w:val="24"/>
          <w:highlight w:val="none"/>
        </w:rPr>
        <w:t>，</w:t>
      </w:r>
      <w:r>
        <w:rPr>
          <w:rFonts w:ascii="宋体" w:hAnsi="宋体" w:eastAsia="宋体" w:cs="宋体"/>
          <w:color w:val="auto"/>
          <w:spacing w:val="-1"/>
          <w:sz w:val="24"/>
          <w:szCs w:val="24"/>
          <w:highlight w:val="none"/>
        </w:rPr>
        <w:t>验收程序为：</w:t>
      </w:r>
      <w:r>
        <w:rPr>
          <w:rFonts w:ascii="宋体" w:hAnsi="宋体" w:eastAsia="宋体" w:cs="宋体"/>
          <w:color w:val="auto"/>
          <w:spacing w:val="-1"/>
          <w:sz w:val="24"/>
          <w:szCs w:val="24"/>
          <w:highlight w:val="none"/>
          <w:u w:val="single" w:color="auto"/>
        </w:rPr>
        <w:t xml:space="preserve"> </w:t>
      </w:r>
      <w:r>
        <w:rPr>
          <w:rFonts w:hint="default" w:ascii="Times New Roman" w:hAnsi="Times New Roman" w:eastAsia="宋体" w:cs="Times New Roman"/>
          <w:color w:val="auto"/>
          <w:spacing w:val="-11"/>
          <w:sz w:val="24"/>
          <w:szCs w:val="24"/>
          <w:highlight w:val="none"/>
          <w:u w:val="single"/>
          <w:lang w:val="en-US" w:eastAsia="zh-CN"/>
        </w:rPr>
        <w:t>按</w:t>
      </w:r>
      <w:r>
        <w:rPr>
          <w:rFonts w:hint="eastAsia" w:ascii="Times New Roman" w:hAnsi="Times New Roman" w:eastAsia="宋体" w:cs="Times New Roman"/>
          <w:color w:val="auto"/>
          <w:spacing w:val="-11"/>
          <w:sz w:val="24"/>
          <w:szCs w:val="24"/>
          <w:highlight w:val="none"/>
          <w:u w:val="single"/>
          <w:lang w:val="en-US" w:eastAsia="zh-CN"/>
        </w:rPr>
        <w:t>现行土地整治项目验收规程验收</w:t>
      </w:r>
      <w:r>
        <w:rPr>
          <w:rFonts w:ascii="宋体" w:hAnsi="宋体" w:eastAsia="宋体" w:cs="宋体"/>
          <w:color w:val="auto"/>
          <w:spacing w:val="-1"/>
          <w:sz w:val="24"/>
          <w:szCs w:val="24"/>
          <w:highlight w:val="none"/>
        </w:rPr>
        <w:t>。</w:t>
      </w:r>
    </w:p>
    <w:p w14:paraId="251AF5FA">
      <w:pPr>
        <w:spacing w:before="1" w:line="224"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18.2  </w:t>
      </w:r>
      <w:r>
        <w:rPr>
          <w:rFonts w:ascii="楷体" w:hAnsi="楷体" w:eastAsia="楷体" w:cs="楷体"/>
          <w:b/>
          <w:bCs/>
          <w:color w:val="auto"/>
          <w:spacing w:val="-2"/>
          <w:sz w:val="24"/>
          <w:szCs w:val="24"/>
          <w:highlight w:val="none"/>
        </w:rPr>
        <w:t>分部工程验收</w:t>
      </w:r>
    </w:p>
    <w:p w14:paraId="13EF610D">
      <w:pPr>
        <w:spacing w:before="175" w:line="359" w:lineRule="auto"/>
        <w:ind w:right="86" w:firstLine="485"/>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18.2.2  </w:t>
      </w:r>
      <w:r>
        <w:rPr>
          <w:rFonts w:ascii="宋体" w:hAnsi="宋体" w:eastAsia="宋体" w:cs="宋体"/>
          <w:color w:val="auto"/>
          <w:spacing w:val="-3"/>
          <w:sz w:val="24"/>
          <w:szCs w:val="24"/>
          <w:highlight w:val="none"/>
        </w:rPr>
        <w:t>本工程由监理人主持的分部工程验收在监理合同中约定，其余由发包人主</w:t>
      </w:r>
      <w:r>
        <w:rPr>
          <w:rFonts w:ascii="宋体" w:hAnsi="宋体" w:eastAsia="宋体" w:cs="宋体"/>
          <w:color w:val="auto"/>
          <w:spacing w:val="-12"/>
          <w:sz w:val="24"/>
          <w:szCs w:val="24"/>
          <w:highlight w:val="none"/>
        </w:rPr>
        <w:t>持。</w:t>
      </w:r>
    </w:p>
    <w:p w14:paraId="70F1F47B">
      <w:pPr>
        <w:spacing w:line="225"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18.3  </w:t>
      </w:r>
      <w:r>
        <w:rPr>
          <w:rFonts w:ascii="楷体" w:hAnsi="楷体" w:eastAsia="楷体" w:cs="楷体"/>
          <w:b/>
          <w:bCs/>
          <w:color w:val="auto"/>
          <w:spacing w:val="-2"/>
          <w:sz w:val="24"/>
          <w:szCs w:val="24"/>
          <w:highlight w:val="none"/>
        </w:rPr>
        <w:t>单位工程验收</w:t>
      </w:r>
    </w:p>
    <w:p w14:paraId="54D258A3">
      <w:pPr>
        <w:spacing w:before="173" w:line="220" w:lineRule="auto"/>
        <w:ind w:left="485"/>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18.3.4  </w:t>
      </w:r>
      <w:r>
        <w:rPr>
          <w:rFonts w:ascii="宋体" w:hAnsi="宋体" w:eastAsia="宋体" w:cs="宋体"/>
          <w:color w:val="auto"/>
          <w:spacing w:val="-2"/>
          <w:sz w:val="24"/>
          <w:szCs w:val="24"/>
          <w:highlight w:val="none"/>
        </w:rPr>
        <w:t>提前投入使用的单位工程包括：</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6020F232">
      <w:pPr>
        <w:spacing w:before="182" w:line="228"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6"/>
          <w:sz w:val="24"/>
          <w:szCs w:val="24"/>
          <w:highlight w:val="none"/>
        </w:rPr>
        <w:t>18.5</w:t>
      </w:r>
      <w:r>
        <w:rPr>
          <w:rFonts w:ascii="Times New Roman" w:hAnsi="Times New Roman" w:eastAsia="Times New Roman" w:cs="Times New Roman"/>
          <w:b/>
          <w:bCs/>
          <w:color w:val="auto"/>
          <w:spacing w:val="15"/>
          <w:sz w:val="24"/>
          <w:szCs w:val="24"/>
          <w:highlight w:val="none"/>
        </w:rPr>
        <w:t xml:space="preserve">  </w:t>
      </w:r>
      <w:r>
        <w:rPr>
          <w:rFonts w:ascii="楷体" w:hAnsi="楷体" w:eastAsia="楷体" w:cs="楷体"/>
          <w:b/>
          <w:bCs/>
          <w:color w:val="auto"/>
          <w:spacing w:val="-6"/>
          <w:sz w:val="24"/>
          <w:szCs w:val="24"/>
          <w:highlight w:val="none"/>
        </w:rPr>
        <w:t>阶段验收</w:t>
      </w:r>
    </w:p>
    <w:p w14:paraId="5946AD62">
      <w:pPr>
        <w:spacing w:before="170"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18.5.1  </w:t>
      </w:r>
      <w:r>
        <w:rPr>
          <w:rFonts w:ascii="宋体" w:hAnsi="宋体" w:eastAsia="宋体" w:cs="宋体"/>
          <w:color w:val="auto"/>
          <w:spacing w:val="-2"/>
          <w:sz w:val="24"/>
          <w:szCs w:val="24"/>
          <w:highlight w:val="none"/>
        </w:rPr>
        <w:t>本合同工程阶段验收类别包括：</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4AA17D7A">
      <w:pPr>
        <w:spacing w:before="183" w:line="225"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18.6</w:t>
      </w:r>
      <w:r>
        <w:rPr>
          <w:rFonts w:ascii="Times New Roman" w:hAnsi="Times New Roman" w:eastAsia="Times New Roman" w:cs="Times New Roman"/>
          <w:b/>
          <w:bCs/>
          <w:color w:val="auto"/>
          <w:spacing w:val="10"/>
          <w:sz w:val="24"/>
          <w:szCs w:val="24"/>
          <w:highlight w:val="none"/>
        </w:rPr>
        <w:t xml:space="preserve">  </w:t>
      </w:r>
      <w:r>
        <w:rPr>
          <w:rFonts w:ascii="楷体" w:hAnsi="楷体" w:eastAsia="楷体" w:cs="楷体"/>
          <w:b/>
          <w:bCs/>
          <w:color w:val="auto"/>
          <w:spacing w:val="-5"/>
          <w:sz w:val="24"/>
          <w:szCs w:val="24"/>
          <w:highlight w:val="none"/>
        </w:rPr>
        <w:t>专项验收</w:t>
      </w:r>
    </w:p>
    <w:p w14:paraId="108B409C">
      <w:pPr>
        <w:spacing w:before="173"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18.6.2  </w:t>
      </w:r>
      <w:r>
        <w:rPr>
          <w:rFonts w:ascii="宋体" w:hAnsi="宋体" w:eastAsia="宋体" w:cs="宋体"/>
          <w:color w:val="auto"/>
          <w:spacing w:val="-2"/>
          <w:sz w:val="24"/>
          <w:szCs w:val="24"/>
          <w:highlight w:val="none"/>
        </w:rPr>
        <w:t>本合同工程专项验收类别包括：</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707A2766">
      <w:pPr>
        <w:spacing w:before="182" w:line="235" w:lineRule="auto"/>
        <w:ind w:left="3"/>
        <w:rPr>
          <w:rFonts w:ascii="Times New Roman" w:hAnsi="Times New Roman" w:eastAsia="Times New Roman" w:cs="Times New Roman"/>
          <w:b/>
          <w:bCs/>
          <w:color w:val="auto"/>
          <w:spacing w:val="-1"/>
          <w:sz w:val="24"/>
          <w:szCs w:val="24"/>
          <w:highlight w:val="none"/>
        </w:rPr>
      </w:pPr>
      <w:r>
        <w:rPr>
          <w:rFonts w:ascii="Times New Roman" w:hAnsi="Times New Roman" w:eastAsia="Times New Roman" w:cs="Times New Roman"/>
          <w:b/>
          <w:bCs/>
          <w:color w:val="auto"/>
          <w:spacing w:val="-3"/>
          <w:sz w:val="24"/>
          <w:szCs w:val="24"/>
          <w:highlight w:val="none"/>
        </w:rPr>
        <w:t xml:space="preserve">18.7  </w:t>
      </w:r>
      <w:r>
        <w:rPr>
          <w:rFonts w:ascii="楷体" w:hAnsi="楷体" w:eastAsia="楷体" w:cs="楷体"/>
          <w:b/>
          <w:bCs/>
          <w:color w:val="auto"/>
          <w:spacing w:val="-3"/>
          <w:sz w:val="24"/>
          <w:szCs w:val="24"/>
          <w:highlight w:val="none"/>
        </w:rPr>
        <w:t>竣工验收</w:t>
      </w:r>
    </w:p>
    <w:p w14:paraId="7D16E237">
      <w:pPr>
        <w:spacing w:before="175" w:line="220"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18.7.3  </w:t>
      </w:r>
      <w:r>
        <w:rPr>
          <w:rFonts w:ascii="宋体" w:hAnsi="宋体" w:eastAsia="宋体" w:cs="宋体"/>
          <w:color w:val="auto"/>
          <w:spacing w:val="-1"/>
          <w:sz w:val="24"/>
          <w:szCs w:val="24"/>
          <w:highlight w:val="none"/>
        </w:rPr>
        <w:t>本工程</w:t>
      </w:r>
      <w:r>
        <w:rPr>
          <w:rFonts w:ascii="宋体" w:hAnsi="宋体" w:eastAsia="宋体" w:cs="宋体"/>
          <w:color w:val="auto"/>
          <w:spacing w:val="-100"/>
          <w:sz w:val="24"/>
          <w:szCs w:val="24"/>
          <w:highlight w:val="none"/>
        </w:rPr>
        <w:t xml:space="preserve"> </w:t>
      </w:r>
      <w:r>
        <w:rPr>
          <w:rFonts w:ascii="宋体" w:hAnsi="宋体" w:eastAsia="宋体" w:cs="宋体"/>
          <w:color w:val="auto"/>
          <w:spacing w:val="-2"/>
          <w:sz w:val="24"/>
          <w:szCs w:val="24"/>
          <w:highlight w:val="none"/>
          <w:u w:val="single" w:color="auto"/>
        </w:rPr>
        <w:t>不需要</w:t>
      </w:r>
      <w:r>
        <w:rPr>
          <w:rFonts w:ascii="宋体" w:hAnsi="宋体" w:eastAsia="宋体" w:cs="宋体"/>
          <w:color w:val="auto"/>
          <w:spacing w:val="-1"/>
          <w:sz w:val="24"/>
          <w:szCs w:val="24"/>
          <w:highlight w:val="none"/>
        </w:rPr>
        <w:t>（需要、不需要）竣工验收技术鉴定（蓄水安全鉴定）。</w:t>
      </w:r>
    </w:p>
    <w:p w14:paraId="351F03F7">
      <w:pPr>
        <w:spacing w:before="182" w:line="225"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18.8  </w:t>
      </w:r>
      <w:r>
        <w:rPr>
          <w:rFonts w:ascii="楷体" w:hAnsi="楷体" w:eastAsia="楷体" w:cs="楷体"/>
          <w:b/>
          <w:bCs/>
          <w:color w:val="auto"/>
          <w:spacing w:val="-3"/>
          <w:sz w:val="24"/>
          <w:szCs w:val="24"/>
          <w:highlight w:val="none"/>
        </w:rPr>
        <w:t>施工期运行</w:t>
      </w:r>
    </w:p>
    <w:p w14:paraId="4D3B34A9">
      <w:pPr>
        <w:spacing w:before="175" w:line="220"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18.8.1  </w:t>
      </w:r>
      <w:r>
        <w:rPr>
          <w:rFonts w:ascii="宋体" w:hAnsi="宋体" w:eastAsia="宋体" w:cs="宋体"/>
          <w:color w:val="auto"/>
          <w:spacing w:val="-1"/>
          <w:sz w:val="24"/>
          <w:szCs w:val="24"/>
          <w:highlight w:val="none"/>
        </w:rPr>
        <w:t>需要在施工期运行的单位工程或</w:t>
      </w:r>
      <w:r>
        <w:rPr>
          <w:rFonts w:ascii="宋体" w:hAnsi="宋体" w:eastAsia="宋体" w:cs="宋体"/>
          <w:color w:val="auto"/>
          <w:spacing w:val="-2"/>
          <w:sz w:val="24"/>
          <w:szCs w:val="24"/>
          <w:highlight w:val="none"/>
        </w:rPr>
        <w:t>工程设备为：</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425EF14C">
      <w:pPr>
        <w:spacing w:before="181" w:line="230"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5"/>
          <w:sz w:val="24"/>
          <w:szCs w:val="24"/>
          <w:highlight w:val="none"/>
        </w:rPr>
        <w:t>18.9</w:t>
      </w:r>
      <w:r>
        <w:rPr>
          <w:rFonts w:ascii="Times New Roman" w:hAnsi="Times New Roman" w:eastAsia="Times New Roman" w:cs="Times New Roman"/>
          <w:b/>
          <w:bCs/>
          <w:color w:val="auto"/>
          <w:spacing w:val="7"/>
          <w:sz w:val="24"/>
          <w:szCs w:val="24"/>
          <w:highlight w:val="none"/>
        </w:rPr>
        <w:t xml:space="preserve">  </w:t>
      </w:r>
      <w:r>
        <w:rPr>
          <w:rFonts w:ascii="楷体" w:hAnsi="楷体" w:eastAsia="楷体" w:cs="楷体"/>
          <w:b/>
          <w:bCs/>
          <w:color w:val="auto"/>
          <w:spacing w:val="-5"/>
          <w:sz w:val="24"/>
          <w:szCs w:val="24"/>
          <w:highlight w:val="none"/>
        </w:rPr>
        <w:t>试运行</w:t>
      </w:r>
    </w:p>
    <w:p w14:paraId="23C4C48A">
      <w:pPr>
        <w:spacing w:before="166" w:line="220"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18.9.1  </w:t>
      </w:r>
      <w:r>
        <w:rPr>
          <w:rFonts w:ascii="宋体" w:hAnsi="宋体" w:eastAsia="宋体" w:cs="宋体"/>
          <w:color w:val="auto"/>
          <w:spacing w:val="-1"/>
          <w:sz w:val="24"/>
          <w:szCs w:val="24"/>
          <w:highlight w:val="none"/>
        </w:rPr>
        <w:t>试运行的组织</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1"/>
          <w:sz w:val="24"/>
          <w:szCs w:val="24"/>
          <w:highlight w:val="none"/>
        </w:rPr>
        <w:t>费用承担：</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4BC4D032">
      <w:pPr>
        <w:spacing w:before="309" w:line="226" w:lineRule="auto"/>
        <w:ind w:left="6"/>
        <w:outlineLvl w:val="2"/>
        <w:rPr>
          <w:rFonts w:ascii="宋体" w:hAnsi="宋体" w:eastAsia="宋体" w:cs="宋体"/>
          <w:color w:val="auto"/>
          <w:sz w:val="27"/>
          <w:szCs w:val="27"/>
          <w:highlight w:val="none"/>
        </w:rPr>
      </w:pPr>
      <w:bookmarkStart w:id="138" w:name="bookmark90"/>
      <w:bookmarkEnd w:id="138"/>
      <w:bookmarkStart w:id="139" w:name="_Toc25081"/>
      <w:r>
        <w:rPr>
          <w:rFonts w:ascii="Times New Roman" w:hAnsi="Times New Roman" w:eastAsia="Times New Roman" w:cs="Times New Roman"/>
          <w:b/>
          <w:bCs/>
          <w:color w:val="auto"/>
          <w:spacing w:val="5"/>
          <w:sz w:val="27"/>
          <w:szCs w:val="27"/>
          <w:highlight w:val="none"/>
        </w:rPr>
        <w:t xml:space="preserve">19  </w:t>
      </w:r>
      <w:r>
        <w:rPr>
          <w:rFonts w:ascii="宋体" w:hAnsi="宋体" w:eastAsia="宋体" w:cs="宋体"/>
          <w:b/>
          <w:bCs/>
          <w:color w:val="auto"/>
          <w:spacing w:val="5"/>
          <w:sz w:val="27"/>
          <w:szCs w:val="27"/>
          <w:highlight w:val="none"/>
        </w:rPr>
        <w:t>缺陷责任与保修责任</w:t>
      </w:r>
      <w:bookmarkEnd w:id="139"/>
    </w:p>
    <w:p w14:paraId="6F6A7106">
      <w:pPr>
        <w:pStyle w:val="8"/>
        <w:spacing w:line="247" w:lineRule="auto"/>
        <w:rPr>
          <w:color w:val="auto"/>
          <w:highlight w:val="none"/>
        </w:rPr>
      </w:pPr>
    </w:p>
    <w:p w14:paraId="42C86595">
      <w:pPr>
        <w:spacing w:before="78" w:line="225" w:lineRule="auto"/>
        <w:ind w:left="3"/>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19.1  </w:t>
      </w:r>
      <w:r>
        <w:rPr>
          <w:rFonts w:ascii="楷体" w:hAnsi="楷体" w:eastAsia="楷体" w:cs="楷体"/>
          <w:b/>
          <w:bCs/>
          <w:color w:val="auto"/>
          <w:spacing w:val="-2"/>
          <w:sz w:val="24"/>
          <w:szCs w:val="24"/>
          <w:highlight w:val="none"/>
        </w:rPr>
        <w:t>缺陷责任期（工程质量保修期）的起算时间</w:t>
      </w:r>
    </w:p>
    <w:p w14:paraId="540F423C">
      <w:pPr>
        <w:pStyle w:val="8"/>
        <w:spacing w:line="247" w:lineRule="auto"/>
        <w:rPr>
          <w:color w:val="auto"/>
          <w:highlight w:val="none"/>
        </w:rPr>
      </w:pPr>
    </w:p>
    <w:p w14:paraId="2F7D104C">
      <w:pPr>
        <w:spacing w:before="78" w:line="219" w:lineRule="auto"/>
        <w:ind w:left="4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本工程缺陷责任期（工程质量保修期）为</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2</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96"/>
          <w:sz w:val="24"/>
          <w:szCs w:val="24"/>
          <w:highlight w:val="none"/>
        </w:rPr>
        <w:t xml:space="preserve"> </w:t>
      </w:r>
      <w:r>
        <w:rPr>
          <w:rFonts w:ascii="宋体" w:hAnsi="宋体" w:eastAsia="宋体" w:cs="宋体"/>
          <w:color w:val="auto"/>
          <w:spacing w:val="-2"/>
          <w:sz w:val="24"/>
          <w:szCs w:val="24"/>
          <w:highlight w:val="none"/>
        </w:rPr>
        <w:t>年。</w:t>
      </w:r>
    </w:p>
    <w:p w14:paraId="65F6C59C">
      <w:pPr>
        <w:spacing w:before="308" w:line="227" w:lineRule="auto"/>
        <w:outlineLvl w:val="2"/>
        <w:rPr>
          <w:rFonts w:ascii="宋体" w:hAnsi="宋体" w:eastAsia="宋体" w:cs="宋体"/>
          <w:color w:val="auto"/>
          <w:sz w:val="27"/>
          <w:szCs w:val="27"/>
          <w:highlight w:val="none"/>
        </w:rPr>
      </w:pPr>
      <w:bookmarkStart w:id="140" w:name="bookmark91"/>
      <w:bookmarkEnd w:id="140"/>
      <w:bookmarkStart w:id="141" w:name="_Toc17470"/>
      <w:r>
        <w:rPr>
          <w:rFonts w:ascii="Times New Roman" w:hAnsi="Times New Roman" w:eastAsia="Times New Roman" w:cs="Times New Roman"/>
          <w:b/>
          <w:bCs/>
          <w:color w:val="auto"/>
          <w:spacing w:val="1"/>
          <w:sz w:val="27"/>
          <w:szCs w:val="27"/>
          <w:highlight w:val="none"/>
        </w:rPr>
        <w:t>20</w:t>
      </w:r>
      <w:r>
        <w:rPr>
          <w:rFonts w:ascii="Times New Roman" w:hAnsi="Times New Roman" w:eastAsia="Times New Roman" w:cs="Times New Roman"/>
          <w:b/>
          <w:bCs/>
          <w:color w:val="auto"/>
          <w:spacing w:val="9"/>
          <w:sz w:val="27"/>
          <w:szCs w:val="27"/>
          <w:highlight w:val="none"/>
        </w:rPr>
        <w:t xml:space="preserve">  </w:t>
      </w:r>
      <w:r>
        <w:rPr>
          <w:rFonts w:ascii="宋体" w:hAnsi="宋体" w:eastAsia="宋体" w:cs="宋体"/>
          <w:b/>
          <w:bCs/>
          <w:color w:val="auto"/>
          <w:spacing w:val="1"/>
          <w:sz w:val="27"/>
          <w:szCs w:val="27"/>
          <w:highlight w:val="none"/>
        </w:rPr>
        <w:t>保险</w:t>
      </w:r>
      <w:bookmarkEnd w:id="141"/>
    </w:p>
    <w:p w14:paraId="1B051A56">
      <w:pPr>
        <w:pStyle w:val="8"/>
        <w:spacing w:line="247" w:lineRule="auto"/>
        <w:rPr>
          <w:color w:val="auto"/>
          <w:highlight w:val="none"/>
        </w:rPr>
      </w:pPr>
    </w:p>
    <w:p w14:paraId="52ADE102">
      <w:pPr>
        <w:spacing w:before="78" w:line="228"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20.1  </w:t>
      </w:r>
      <w:r>
        <w:rPr>
          <w:rFonts w:ascii="楷体" w:hAnsi="楷体" w:eastAsia="楷体" w:cs="楷体"/>
          <w:b/>
          <w:bCs/>
          <w:color w:val="auto"/>
          <w:spacing w:val="-2"/>
          <w:sz w:val="24"/>
          <w:szCs w:val="24"/>
          <w:highlight w:val="none"/>
        </w:rPr>
        <w:t>建筑安装工程保险</w:t>
      </w:r>
    </w:p>
    <w:p w14:paraId="7F815819">
      <w:pPr>
        <w:spacing w:before="170" w:line="220" w:lineRule="auto"/>
        <w:ind w:left="486"/>
        <w:rPr>
          <w:rFonts w:ascii="宋体" w:hAnsi="宋体" w:eastAsia="宋体" w:cs="宋体"/>
          <w:color w:val="auto"/>
          <w:sz w:val="24"/>
          <w:szCs w:val="24"/>
          <w:highlight w:val="none"/>
        </w:rPr>
      </w:pPr>
      <w:r>
        <w:rPr>
          <w:rFonts w:ascii="宋体" w:hAnsi="宋体" w:eastAsia="宋体" w:cs="宋体"/>
          <w:color w:val="auto"/>
          <w:sz w:val="24"/>
          <w:szCs w:val="24"/>
          <w:highlight w:val="none"/>
        </w:rPr>
        <w:t>建筑工程一切险和（或）安装工程一切险投保人</w:t>
      </w:r>
      <w:r>
        <w:rPr>
          <w:rFonts w:ascii="宋体" w:hAnsi="宋体" w:eastAsia="宋体" w:cs="宋体"/>
          <w:color w:val="auto"/>
          <w:spacing w:val="-1"/>
          <w:sz w:val="24"/>
          <w:szCs w:val="24"/>
          <w:highlight w:val="none"/>
        </w:rPr>
        <w:t>：</w:t>
      </w:r>
      <w:r>
        <w:rPr>
          <w:rFonts w:hint="default"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由承包人以发包人和承包人的名义投保</w:t>
      </w:r>
      <w:r>
        <w:rPr>
          <w:rFonts w:hint="default"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7EEE125D">
      <w:pPr>
        <w:spacing w:before="180" w:line="220" w:lineRule="auto"/>
        <w:ind w:left="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投保内容：</w:t>
      </w:r>
      <w:r>
        <w:rPr>
          <w:rFonts w:ascii="宋体" w:hAnsi="宋体" w:eastAsia="宋体" w:cs="宋体"/>
          <w:color w:val="auto"/>
          <w:spacing w:val="-1"/>
          <w:sz w:val="24"/>
          <w:szCs w:val="24"/>
          <w:highlight w:val="none"/>
          <w:u w:val="single" w:color="auto"/>
        </w:rPr>
        <w:t xml:space="preserve"> </w:t>
      </w:r>
      <w:r>
        <w:rPr>
          <w:rFonts w:hint="default" w:ascii="宋体" w:hAnsi="宋体" w:eastAsia="宋体" w:cs="宋体"/>
          <w:color w:val="auto"/>
          <w:spacing w:val="-1"/>
          <w:sz w:val="24"/>
          <w:szCs w:val="24"/>
          <w:highlight w:val="none"/>
          <w:u w:val="single" w:color="auto"/>
        </w:rPr>
        <w:t>为本合同工程的永久工程、临时工程、设备及已运至施工工地用于永久工程的材料和设备所投的保险</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442ECBFF">
      <w:pPr>
        <w:spacing w:before="180" w:line="220" w:lineRule="auto"/>
        <w:ind w:left="484"/>
        <w:rPr>
          <w:rFonts w:ascii="宋体" w:hAnsi="宋体" w:eastAsia="宋体" w:cs="宋体"/>
          <w:color w:val="auto"/>
          <w:sz w:val="24"/>
          <w:szCs w:val="24"/>
          <w:highlight w:val="none"/>
        </w:rPr>
      </w:pPr>
      <w:r>
        <w:rPr>
          <w:rFonts w:ascii="宋体" w:hAnsi="宋体" w:eastAsia="宋体" w:cs="宋体"/>
          <w:color w:val="auto"/>
          <w:sz w:val="24"/>
          <w:szCs w:val="24"/>
          <w:highlight w:val="none"/>
        </w:rPr>
        <w:t>保险金额、保险费率和保险期限：</w:t>
      </w:r>
      <w:r>
        <w:rPr>
          <w:rFonts w:ascii="宋体" w:hAnsi="宋体" w:eastAsia="宋体" w:cs="宋体"/>
          <w:color w:val="auto"/>
          <w:sz w:val="24"/>
          <w:szCs w:val="24"/>
          <w:highlight w:val="none"/>
          <w:u w:val="single" w:color="auto"/>
        </w:rPr>
        <w:t xml:space="preserve">  </w:t>
      </w:r>
      <w:r>
        <w:rPr>
          <w:rFonts w:hint="default" w:ascii="Times New Roman" w:hAnsi="Times New Roman" w:eastAsia="宋体" w:cs="Times New Roman"/>
          <w:color w:val="auto"/>
          <w:spacing w:val="-12"/>
          <w:sz w:val="24"/>
          <w:szCs w:val="24"/>
          <w:highlight w:val="none"/>
          <w:u w:val="single"/>
        </w:rPr>
        <w:t>保险金额按保险人规定，保险费率由承包人与保险人协商确定，保险期限自开工即日算起至颁发工程移交证书</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6E3D2B4D">
      <w:pPr>
        <w:spacing w:before="181" w:line="225"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20.4</w:t>
      </w:r>
      <w:r>
        <w:rPr>
          <w:rFonts w:ascii="Times New Roman" w:hAnsi="Times New Roman" w:eastAsia="Times New Roman" w:cs="Times New Roman"/>
          <w:b/>
          <w:bCs/>
          <w:color w:val="auto"/>
          <w:spacing w:val="13"/>
          <w:sz w:val="24"/>
          <w:szCs w:val="24"/>
          <w:highlight w:val="none"/>
        </w:rPr>
        <w:t xml:space="preserve">  </w:t>
      </w:r>
      <w:r>
        <w:rPr>
          <w:rFonts w:ascii="楷体" w:hAnsi="楷体" w:eastAsia="楷体" w:cs="楷体"/>
          <w:b/>
          <w:bCs/>
          <w:color w:val="auto"/>
          <w:spacing w:val="-4"/>
          <w:sz w:val="24"/>
          <w:szCs w:val="24"/>
          <w:highlight w:val="none"/>
        </w:rPr>
        <w:t>第三者责任险</w:t>
      </w:r>
    </w:p>
    <w:p w14:paraId="73225C58">
      <w:pPr>
        <w:spacing w:before="174"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20.4.2  </w:t>
      </w:r>
      <w:r>
        <w:rPr>
          <w:rFonts w:ascii="宋体" w:hAnsi="宋体" w:eastAsia="宋体" w:cs="宋体"/>
          <w:color w:val="auto"/>
          <w:sz w:val="24"/>
          <w:szCs w:val="24"/>
          <w:highlight w:val="none"/>
        </w:rPr>
        <w:t>第三者责任险保险费率</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hint="eastAsia" w:ascii="Times New Roman" w:hAnsi="Times New Roman" w:eastAsia="宋体" w:cs="Times New Roman"/>
          <w:color w:val="auto"/>
          <w:spacing w:val="-12"/>
          <w:sz w:val="24"/>
          <w:szCs w:val="24"/>
          <w:highlight w:val="none"/>
          <w:u w:val="single"/>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第三者责任险保险金额：</w:t>
      </w:r>
      <w:r>
        <w:rPr>
          <w:rFonts w:hint="default" w:ascii="Times New Roman" w:hAnsi="Times New Roman" w:eastAsia="宋体" w:cs="Times New Roman"/>
          <w:color w:val="auto"/>
          <w:spacing w:val="-12"/>
          <w:sz w:val="24"/>
          <w:szCs w:val="24"/>
          <w:highlight w:val="none"/>
          <w:u w:val="single"/>
        </w:rPr>
        <w:t xml:space="preserve"> </w:t>
      </w:r>
      <w:r>
        <w:rPr>
          <w:rFonts w:hint="eastAsia" w:ascii="Times New Roman" w:hAnsi="Times New Roman" w:eastAsia="宋体" w:cs="Times New Roman"/>
          <w:color w:val="auto"/>
          <w:spacing w:val="-12"/>
          <w:sz w:val="24"/>
          <w:szCs w:val="24"/>
          <w:highlight w:val="none"/>
          <w:u w:val="single"/>
          <w:lang w:val="en-US" w:eastAsia="zh-CN"/>
        </w:rPr>
        <w:t>200万元，由承包人负责投保，其费用均列入报价。</w:t>
      </w:r>
    </w:p>
    <w:p w14:paraId="30B6AD60">
      <w:pPr>
        <w:spacing w:before="182" w:line="225"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20.5  </w:t>
      </w:r>
      <w:r>
        <w:rPr>
          <w:rFonts w:ascii="楷体" w:hAnsi="楷体" w:eastAsia="楷体" w:cs="楷体"/>
          <w:b/>
          <w:bCs/>
          <w:color w:val="auto"/>
          <w:spacing w:val="-2"/>
          <w:sz w:val="24"/>
          <w:szCs w:val="24"/>
          <w:highlight w:val="none"/>
        </w:rPr>
        <w:t>其他保险</w:t>
      </w:r>
    </w:p>
    <w:p w14:paraId="408CA377">
      <w:pPr>
        <w:spacing w:before="174" w:line="220" w:lineRule="auto"/>
        <w:ind w:left="49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需要投保的其他内容：</w:t>
      </w:r>
      <w:r>
        <w:rPr>
          <w:rFonts w:hint="eastAsia" w:ascii="宋体" w:hAnsi="宋体" w:eastAsia="宋体" w:cs="宋体"/>
          <w:color w:val="auto"/>
          <w:spacing w:val="-2"/>
          <w:sz w:val="24"/>
          <w:szCs w:val="24"/>
          <w:highlight w:val="none"/>
          <w:u w:val="single" w:color="auto"/>
          <w:lang w:val="en-US" w:eastAsia="zh-CN"/>
        </w:rPr>
        <w:t>农民工工伤保险等当地要求的保险，由承包人负责投保。</w:t>
      </w:r>
    </w:p>
    <w:p w14:paraId="31C1DD33">
      <w:pPr>
        <w:spacing w:before="180" w:line="220" w:lineRule="auto"/>
        <w:ind w:left="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保险金额、保险费率和保险期限：</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rPr>
        <w:t>。</w:t>
      </w:r>
    </w:p>
    <w:p w14:paraId="3593552D">
      <w:pPr>
        <w:spacing w:before="183" w:line="228"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20.6  </w:t>
      </w:r>
      <w:r>
        <w:rPr>
          <w:rFonts w:ascii="楷体" w:hAnsi="楷体" w:eastAsia="楷体" w:cs="楷体"/>
          <w:b/>
          <w:bCs/>
          <w:color w:val="auto"/>
          <w:spacing w:val="-2"/>
          <w:sz w:val="24"/>
          <w:szCs w:val="24"/>
          <w:highlight w:val="none"/>
        </w:rPr>
        <w:t>对各项保险的一般要求</w:t>
      </w:r>
    </w:p>
    <w:p w14:paraId="3EC0689D">
      <w:pPr>
        <w:spacing w:before="170"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20.6.1  </w:t>
      </w:r>
      <w:r>
        <w:rPr>
          <w:rFonts w:ascii="宋体" w:hAnsi="宋体" w:eastAsia="宋体" w:cs="宋体"/>
          <w:color w:val="auto"/>
          <w:spacing w:val="-1"/>
          <w:sz w:val="24"/>
          <w:szCs w:val="24"/>
          <w:highlight w:val="none"/>
        </w:rPr>
        <w:t>保险凭证</w:t>
      </w:r>
    </w:p>
    <w:p w14:paraId="7ECC6332">
      <w:pPr>
        <w:spacing w:before="181" w:line="220" w:lineRule="auto"/>
        <w:ind w:left="48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承包人提交保险凭证的期限：保险手续办理完毕后</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14</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88"/>
          <w:sz w:val="24"/>
          <w:szCs w:val="24"/>
          <w:highlight w:val="none"/>
        </w:rPr>
        <w:t xml:space="preserve"> </w:t>
      </w:r>
      <w:r>
        <w:rPr>
          <w:rFonts w:ascii="宋体" w:hAnsi="宋体" w:eastAsia="宋体" w:cs="宋体"/>
          <w:color w:val="auto"/>
          <w:spacing w:val="-2"/>
          <w:sz w:val="24"/>
          <w:szCs w:val="24"/>
          <w:highlight w:val="none"/>
        </w:rPr>
        <w:t>天内提交。</w:t>
      </w:r>
    </w:p>
    <w:p w14:paraId="711DE5E0">
      <w:pPr>
        <w:spacing w:before="180" w:line="220" w:lineRule="auto"/>
        <w:ind w:left="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保险条件：</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99B0272">
      <w:pPr>
        <w:spacing w:before="182"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20.6.4  </w:t>
      </w:r>
      <w:r>
        <w:rPr>
          <w:rFonts w:ascii="宋体" w:hAnsi="宋体" w:eastAsia="宋体" w:cs="宋体"/>
          <w:color w:val="auto"/>
          <w:spacing w:val="-1"/>
          <w:sz w:val="24"/>
          <w:szCs w:val="24"/>
          <w:highlight w:val="none"/>
        </w:rPr>
        <w:t>保险金不足的补偿</w:t>
      </w:r>
    </w:p>
    <w:p w14:paraId="61BFBC2D">
      <w:pPr>
        <w:spacing w:before="180" w:line="220" w:lineRule="auto"/>
        <w:ind w:left="483"/>
        <w:rPr>
          <w:rFonts w:ascii="宋体" w:hAnsi="宋体" w:eastAsia="宋体" w:cs="宋体"/>
          <w:color w:val="auto"/>
          <w:sz w:val="24"/>
          <w:szCs w:val="24"/>
          <w:highlight w:val="none"/>
        </w:rPr>
      </w:pPr>
      <w:r>
        <w:rPr>
          <w:rFonts w:ascii="宋体" w:hAnsi="宋体" w:eastAsia="宋体" w:cs="宋体"/>
          <w:color w:val="auto"/>
          <w:sz w:val="24"/>
          <w:szCs w:val="24"/>
          <w:highlight w:val="none"/>
        </w:rPr>
        <w:t>承包人负责补偿的范围与金额：</w:t>
      </w:r>
      <w:r>
        <w:rPr>
          <w:rFonts w:hint="eastAsia" w:ascii="Times New Roman" w:hAnsi="Times New Roman" w:eastAsia="宋体" w:cs="Times New Roman"/>
          <w:color w:val="auto"/>
          <w:spacing w:val="-13"/>
          <w:sz w:val="24"/>
          <w:szCs w:val="24"/>
          <w:highlight w:val="none"/>
          <w:u w:val="single"/>
          <w:lang w:val="en-US" w:eastAsia="zh-CN"/>
        </w:rPr>
        <w:t>免赔额部分及保险金不足的补偿均由承包人负责。</w:t>
      </w:r>
    </w:p>
    <w:p w14:paraId="40AEC494">
      <w:pPr>
        <w:spacing w:before="181" w:line="220" w:lineRule="auto"/>
        <w:ind w:left="48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发包人负责补偿的范围与金额：</w:t>
      </w:r>
      <w:r>
        <w:rPr>
          <w:rFonts w:ascii="宋体" w:hAnsi="宋体" w:eastAsia="宋体" w:cs="宋体"/>
          <w:color w:val="auto"/>
          <w:spacing w:val="-1"/>
          <w:sz w:val="24"/>
          <w:szCs w:val="24"/>
          <w:highlight w:val="none"/>
          <w:u w:val="single" w:color="auto"/>
        </w:rPr>
        <w:t xml:space="preserve"> </w:t>
      </w:r>
      <w:r>
        <w:rPr>
          <w:rFonts w:hint="eastAsia" w:ascii="Times New Roman" w:hAnsi="Times New Roman" w:eastAsia="宋体" w:cs="Times New Roman"/>
          <w:color w:val="auto"/>
          <w:spacing w:val="-13"/>
          <w:sz w:val="24"/>
          <w:szCs w:val="24"/>
          <w:highlight w:val="none"/>
          <w:u w:val="single"/>
          <w:lang w:val="en-US" w:eastAsia="zh-CN"/>
        </w:rPr>
        <w:t>由于本工程一切保险均由承包人负责投保，其费用均列入报价，故招标人不承担保险金不足的补偿</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66FDD9ED">
      <w:pPr>
        <w:spacing w:before="308" w:line="226" w:lineRule="auto"/>
        <w:outlineLvl w:val="2"/>
        <w:rPr>
          <w:rFonts w:ascii="宋体" w:hAnsi="宋体" w:eastAsia="宋体" w:cs="宋体"/>
          <w:color w:val="auto"/>
          <w:sz w:val="27"/>
          <w:szCs w:val="27"/>
          <w:highlight w:val="none"/>
        </w:rPr>
      </w:pPr>
      <w:bookmarkStart w:id="142" w:name="bookmark92"/>
      <w:bookmarkEnd w:id="142"/>
      <w:bookmarkStart w:id="143" w:name="_Toc15214"/>
      <w:r>
        <w:rPr>
          <w:rFonts w:ascii="Times New Roman" w:hAnsi="Times New Roman" w:eastAsia="Times New Roman" w:cs="Times New Roman"/>
          <w:b/>
          <w:bCs/>
          <w:color w:val="auto"/>
          <w:spacing w:val="3"/>
          <w:sz w:val="27"/>
          <w:szCs w:val="27"/>
          <w:highlight w:val="none"/>
        </w:rPr>
        <w:t>24</w:t>
      </w:r>
      <w:r>
        <w:rPr>
          <w:rFonts w:ascii="Times New Roman" w:hAnsi="Times New Roman" w:eastAsia="Times New Roman" w:cs="Times New Roman"/>
          <w:b/>
          <w:bCs/>
          <w:color w:val="auto"/>
          <w:spacing w:val="13"/>
          <w:sz w:val="27"/>
          <w:szCs w:val="27"/>
          <w:highlight w:val="none"/>
        </w:rPr>
        <w:t xml:space="preserve">  </w:t>
      </w:r>
      <w:r>
        <w:rPr>
          <w:rFonts w:ascii="宋体" w:hAnsi="宋体" w:eastAsia="宋体" w:cs="宋体"/>
          <w:b/>
          <w:bCs/>
          <w:color w:val="auto"/>
          <w:spacing w:val="3"/>
          <w:sz w:val="27"/>
          <w:szCs w:val="27"/>
          <w:highlight w:val="none"/>
        </w:rPr>
        <w:t>争议的解决</w:t>
      </w:r>
      <w:bookmarkEnd w:id="143"/>
    </w:p>
    <w:p w14:paraId="0C30CFB2">
      <w:pPr>
        <w:pStyle w:val="8"/>
        <w:spacing w:line="248" w:lineRule="auto"/>
        <w:rPr>
          <w:color w:val="auto"/>
          <w:highlight w:val="none"/>
        </w:rPr>
      </w:pPr>
    </w:p>
    <w:p w14:paraId="2348CC3E">
      <w:pPr>
        <w:spacing w:before="78" w:line="225"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24.1</w:t>
      </w:r>
      <w:r>
        <w:rPr>
          <w:rFonts w:ascii="Times New Roman" w:hAnsi="Times New Roman" w:eastAsia="Times New Roman" w:cs="Times New Roman"/>
          <w:b/>
          <w:bCs/>
          <w:color w:val="auto"/>
          <w:spacing w:val="14"/>
          <w:sz w:val="24"/>
          <w:szCs w:val="24"/>
          <w:highlight w:val="none"/>
        </w:rPr>
        <w:t xml:space="preserve">  </w:t>
      </w:r>
      <w:r>
        <w:rPr>
          <w:rFonts w:ascii="楷体" w:hAnsi="楷体" w:eastAsia="楷体" w:cs="楷体"/>
          <w:b/>
          <w:bCs/>
          <w:color w:val="auto"/>
          <w:spacing w:val="-4"/>
          <w:sz w:val="24"/>
          <w:szCs w:val="24"/>
          <w:highlight w:val="none"/>
        </w:rPr>
        <w:t>争议的解决方式</w:t>
      </w:r>
    </w:p>
    <w:p w14:paraId="066116D7">
      <w:pPr>
        <w:spacing w:before="174" w:line="359" w:lineRule="auto"/>
        <w:ind w:left="23" w:right="387" w:firstLine="461"/>
        <w:rPr>
          <w:rFonts w:ascii="宋体" w:hAnsi="宋体" w:eastAsia="宋体" w:cs="宋体"/>
          <w:color w:val="auto"/>
          <w:sz w:val="24"/>
          <w:szCs w:val="24"/>
          <w:highlight w:val="none"/>
        </w:rPr>
      </w:pPr>
      <w:r>
        <w:rPr>
          <w:rFonts w:ascii="宋体" w:hAnsi="宋体" w:eastAsia="宋体" w:cs="宋体"/>
          <w:color w:val="auto"/>
          <w:sz w:val="24"/>
          <w:szCs w:val="24"/>
          <w:highlight w:val="none"/>
        </w:rPr>
        <w:t>合同当事人友好协商解决不成、不愿提请争议评</w:t>
      </w:r>
      <w:r>
        <w:rPr>
          <w:rFonts w:ascii="宋体" w:hAnsi="宋体" w:eastAsia="宋体" w:cs="宋体"/>
          <w:color w:val="auto"/>
          <w:spacing w:val="-1"/>
          <w:sz w:val="24"/>
          <w:szCs w:val="24"/>
          <w:highlight w:val="none"/>
        </w:rPr>
        <w:t>审或不接受争议评审组意见</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的，约定的合同争议解决方式：</w:t>
      </w:r>
      <w:r>
        <w:rPr>
          <w:rFonts w:hint="eastAsia" w:ascii="Times New Roman" w:hAnsi="Times New Roman" w:eastAsia="宋体" w:cs="Times New Roman"/>
          <w:color w:val="auto"/>
          <w:spacing w:val="-13"/>
          <w:sz w:val="24"/>
          <w:szCs w:val="24"/>
          <w:highlight w:val="none"/>
          <w:u w:val="single"/>
          <w:lang w:val="en-US" w:eastAsia="zh-CN"/>
        </w:rPr>
        <w:t xml:space="preserve">  工程所在地人民法院起诉 </w:t>
      </w:r>
      <w:r>
        <w:rPr>
          <w:rFonts w:ascii="宋体" w:hAnsi="宋体" w:eastAsia="宋体" w:cs="宋体"/>
          <w:color w:val="auto"/>
          <w:spacing w:val="-1"/>
          <w:sz w:val="24"/>
          <w:szCs w:val="24"/>
          <w:highlight w:val="none"/>
        </w:rPr>
        <w:t>。</w:t>
      </w:r>
    </w:p>
    <w:p w14:paraId="4A1F7068">
      <w:pPr>
        <w:spacing w:before="1" w:line="227"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24.2  </w:t>
      </w:r>
      <w:r>
        <w:rPr>
          <w:rFonts w:ascii="楷体" w:hAnsi="楷体" w:eastAsia="楷体" w:cs="楷体"/>
          <w:b/>
          <w:bCs/>
          <w:color w:val="auto"/>
          <w:spacing w:val="-2"/>
          <w:sz w:val="24"/>
          <w:szCs w:val="24"/>
          <w:highlight w:val="none"/>
        </w:rPr>
        <w:t>友好解决</w:t>
      </w:r>
    </w:p>
    <w:p w14:paraId="2BF72D81">
      <w:pPr>
        <w:spacing w:before="171" w:line="359" w:lineRule="auto"/>
        <w:ind w:left="4" w:right="147"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补充：合同当事人可以就争议请第三方进行调解，调</w:t>
      </w:r>
      <w:r>
        <w:rPr>
          <w:rFonts w:ascii="宋体" w:hAnsi="宋体" w:eastAsia="宋体" w:cs="宋体"/>
          <w:color w:val="auto"/>
          <w:spacing w:val="-1"/>
          <w:sz w:val="24"/>
          <w:szCs w:val="24"/>
          <w:highlight w:val="none"/>
        </w:rPr>
        <w:t>解达成协议的，经双方签</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字并盖章后作为合同补充文件，双方均应遵照执行。</w:t>
      </w:r>
    </w:p>
    <w:p w14:paraId="31BA51E5">
      <w:pPr>
        <w:spacing w:before="1" w:line="223" w:lineRule="auto"/>
        <w:rPr>
          <w:rFonts w:ascii="楷体" w:hAnsi="楷体" w:eastAsia="楷体" w:cs="楷体"/>
          <w:color w:val="auto"/>
          <w:sz w:val="24"/>
          <w:szCs w:val="24"/>
          <w:highlight w:val="none"/>
        </w:rPr>
      </w:pPr>
      <w:r>
        <w:rPr>
          <w:rFonts w:ascii="Times New Roman" w:hAnsi="Times New Roman" w:eastAsia="Times New Roman" w:cs="Times New Roman"/>
          <w:b/>
          <w:bCs/>
          <w:color w:val="auto"/>
          <w:spacing w:val="-4"/>
          <w:sz w:val="24"/>
          <w:szCs w:val="24"/>
          <w:highlight w:val="none"/>
        </w:rPr>
        <w:t>24.3</w:t>
      </w:r>
      <w:r>
        <w:rPr>
          <w:rFonts w:ascii="Times New Roman" w:hAnsi="Times New Roman" w:eastAsia="Times New Roman" w:cs="Times New Roman"/>
          <w:b/>
          <w:bCs/>
          <w:color w:val="auto"/>
          <w:spacing w:val="11"/>
          <w:sz w:val="24"/>
          <w:szCs w:val="24"/>
          <w:highlight w:val="none"/>
        </w:rPr>
        <w:t xml:space="preserve">  </w:t>
      </w:r>
      <w:r>
        <w:rPr>
          <w:rFonts w:ascii="楷体" w:hAnsi="楷体" w:eastAsia="楷体" w:cs="楷体"/>
          <w:b/>
          <w:bCs/>
          <w:color w:val="auto"/>
          <w:spacing w:val="-4"/>
          <w:sz w:val="24"/>
          <w:szCs w:val="24"/>
          <w:highlight w:val="none"/>
        </w:rPr>
        <w:t>争议评审</w:t>
      </w:r>
    </w:p>
    <w:p w14:paraId="69FAFE70">
      <w:pPr>
        <w:spacing w:before="175" w:line="362" w:lineRule="auto"/>
        <w:ind w:left="2" w:right="145" w:firstLine="479"/>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24.3.7  </w:t>
      </w:r>
      <w:r>
        <w:rPr>
          <w:rFonts w:ascii="宋体" w:hAnsi="宋体" w:eastAsia="宋体" w:cs="宋体"/>
          <w:color w:val="auto"/>
          <w:sz w:val="24"/>
          <w:szCs w:val="24"/>
          <w:highlight w:val="none"/>
        </w:rPr>
        <w:t>补充：发包人或承包人不接受评审意见，可请省水行政</w:t>
      </w:r>
      <w:r>
        <w:rPr>
          <w:rFonts w:ascii="宋体" w:hAnsi="宋体" w:eastAsia="宋体" w:cs="宋体"/>
          <w:color w:val="auto"/>
          <w:spacing w:val="-1"/>
          <w:sz w:val="24"/>
          <w:szCs w:val="24"/>
          <w:highlight w:val="none"/>
        </w:rPr>
        <w:t>主管部门进行调</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解。</w:t>
      </w:r>
    </w:p>
    <w:p w14:paraId="0343327B">
      <w:pPr>
        <w:spacing w:line="362" w:lineRule="auto"/>
        <w:rPr>
          <w:rFonts w:ascii="宋体" w:hAnsi="宋体" w:eastAsia="宋体" w:cs="宋体"/>
          <w:color w:val="auto"/>
          <w:sz w:val="24"/>
          <w:szCs w:val="24"/>
          <w:highlight w:val="none"/>
        </w:rPr>
        <w:sectPr>
          <w:footerReference r:id="rId85" w:type="default"/>
          <w:pgSz w:w="11905" w:h="16840"/>
          <w:pgMar w:top="1134" w:right="1529" w:bottom="1134" w:left="1593" w:header="0" w:footer="1093" w:gutter="0"/>
          <w:pgNumType w:fmt="decimal"/>
          <w:cols w:space="720" w:num="1"/>
        </w:sectPr>
      </w:pPr>
    </w:p>
    <w:p w14:paraId="062425C3">
      <w:pPr>
        <w:pStyle w:val="8"/>
        <w:spacing w:line="244" w:lineRule="auto"/>
        <w:rPr>
          <w:color w:val="auto"/>
          <w:highlight w:val="none"/>
        </w:rPr>
      </w:pPr>
    </w:p>
    <w:p w14:paraId="64859F72">
      <w:pPr>
        <w:pStyle w:val="8"/>
        <w:spacing w:line="245" w:lineRule="auto"/>
        <w:rPr>
          <w:color w:val="auto"/>
          <w:highlight w:val="none"/>
        </w:rPr>
      </w:pPr>
    </w:p>
    <w:p w14:paraId="09CDD6A6">
      <w:pPr>
        <w:spacing w:before="104" w:line="219" w:lineRule="auto"/>
        <w:ind w:left="2869"/>
        <w:outlineLvl w:val="1"/>
        <w:rPr>
          <w:rFonts w:ascii="宋体" w:hAnsi="宋体" w:eastAsia="宋体" w:cs="宋体"/>
          <w:color w:val="auto"/>
          <w:sz w:val="32"/>
          <w:szCs w:val="32"/>
          <w:highlight w:val="none"/>
        </w:rPr>
      </w:pPr>
      <w:bookmarkStart w:id="144" w:name="bookmark93"/>
      <w:bookmarkEnd w:id="144"/>
      <w:bookmarkStart w:id="145" w:name="bookmark417"/>
      <w:bookmarkEnd w:id="145"/>
      <w:bookmarkStart w:id="146" w:name="_Toc18322"/>
      <w:r>
        <w:rPr>
          <w:rFonts w:ascii="宋体" w:hAnsi="宋体" w:eastAsia="宋体" w:cs="宋体"/>
          <w:b/>
          <w:bCs/>
          <w:color w:val="auto"/>
          <w:spacing w:val="-3"/>
          <w:sz w:val="32"/>
          <w:szCs w:val="32"/>
          <w:highlight w:val="none"/>
        </w:rPr>
        <w:t>第</w:t>
      </w:r>
      <w:r>
        <w:rPr>
          <w:rFonts w:ascii="Times New Roman" w:hAnsi="Times New Roman" w:eastAsia="Times New Roman" w:cs="Times New Roman"/>
          <w:b/>
          <w:bCs/>
          <w:color w:val="auto"/>
          <w:spacing w:val="-3"/>
          <w:sz w:val="32"/>
          <w:szCs w:val="32"/>
          <w:highlight w:val="none"/>
        </w:rPr>
        <w:t>3</w:t>
      </w:r>
      <w:r>
        <w:rPr>
          <w:rFonts w:ascii="宋体" w:hAnsi="宋体" w:eastAsia="宋体" w:cs="宋体"/>
          <w:b/>
          <w:bCs/>
          <w:color w:val="auto"/>
          <w:spacing w:val="-3"/>
          <w:sz w:val="32"/>
          <w:szCs w:val="32"/>
          <w:highlight w:val="none"/>
        </w:rPr>
        <w:t>节</w:t>
      </w:r>
      <w:r>
        <w:rPr>
          <w:rFonts w:ascii="宋体" w:hAnsi="宋体" w:eastAsia="宋体" w:cs="宋体"/>
          <w:color w:val="auto"/>
          <w:spacing w:val="-3"/>
          <w:sz w:val="32"/>
          <w:szCs w:val="32"/>
          <w:highlight w:val="none"/>
        </w:rPr>
        <w:t xml:space="preserve">  </w:t>
      </w:r>
      <w:r>
        <w:rPr>
          <w:rFonts w:ascii="宋体" w:hAnsi="宋体" w:eastAsia="宋体" w:cs="宋体"/>
          <w:b/>
          <w:bCs/>
          <w:color w:val="auto"/>
          <w:spacing w:val="-3"/>
          <w:sz w:val="32"/>
          <w:szCs w:val="32"/>
          <w:highlight w:val="none"/>
        </w:rPr>
        <w:t>合同附件格式</w:t>
      </w:r>
      <w:bookmarkEnd w:id="146"/>
    </w:p>
    <w:p w14:paraId="33EA21EE">
      <w:pPr>
        <w:pStyle w:val="8"/>
        <w:spacing w:line="269" w:lineRule="auto"/>
        <w:rPr>
          <w:color w:val="auto"/>
          <w:highlight w:val="none"/>
        </w:rPr>
      </w:pPr>
    </w:p>
    <w:p w14:paraId="20A31238">
      <w:pPr>
        <w:spacing w:before="88" w:line="225" w:lineRule="auto"/>
        <w:ind w:left="21"/>
        <w:outlineLvl w:val="2"/>
        <w:rPr>
          <w:rFonts w:ascii="宋体" w:hAnsi="宋体" w:eastAsia="宋体" w:cs="宋体"/>
          <w:color w:val="auto"/>
          <w:sz w:val="27"/>
          <w:szCs w:val="27"/>
          <w:highlight w:val="none"/>
        </w:rPr>
      </w:pPr>
      <w:bookmarkStart w:id="147" w:name="bookmark94"/>
      <w:bookmarkEnd w:id="147"/>
      <w:bookmarkStart w:id="148" w:name="_Toc11006"/>
      <w:r>
        <w:rPr>
          <w:rFonts w:ascii="宋体" w:hAnsi="宋体" w:eastAsia="宋体" w:cs="宋体"/>
          <w:b/>
          <w:bCs/>
          <w:color w:val="auto"/>
          <w:spacing w:val="4"/>
          <w:sz w:val="27"/>
          <w:szCs w:val="27"/>
          <w:highlight w:val="none"/>
        </w:rPr>
        <w:t>附件一</w:t>
      </w:r>
      <w:r>
        <w:rPr>
          <w:rFonts w:ascii="宋体" w:hAnsi="宋体" w:eastAsia="宋体" w:cs="宋体"/>
          <w:color w:val="auto"/>
          <w:spacing w:val="4"/>
          <w:sz w:val="27"/>
          <w:szCs w:val="27"/>
          <w:highlight w:val="none"/>
        </w:rPr>
        <w:t xml:space="preserve">  </w:t>
      </w:r>
      <w:r>
        <w:rPr>
          <w:rFonts w:ascii="宋体" w:hAnsi="宋体" w:eastAsia="宋体" w:cs="宋体"/>
          <w:b/>
          <w:bCs/>
          <w:color w:val="auto"/>
          <w:spacing w:val="4"/>
          <w:sz w:val="27"/>
          <w:szCs w:val="27"/>
          <w:highlight w:val="none"/>
        </w:rPr>
        <w:t>合同协议书</w:t>
      </w:r>
      <w:bookmarkEnd w:id="148"/>
    </w:p>
    <w:p w14:paraId="13F7516C">
      <w:pPr>
        <w:pStyle w:val="8"/>
        <w:spacing w:line="248" w:lineRule="auto"/>
        <w:rPr>
          <w:color w:val="auto"/>
          <w:highlight w:val="none"/>
        </w:rPr>
      </w:pPr>
    </w:p>
    <w:p w14:paraId="1474B14F">
      <w:pPr>
        <w:spacing w:before="78" w:line="219" w:lineRule="auto"/>
        <w:ind w:left="3789"/>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合同协议书</w:t>
      </w:r>
    </w:p>
    <w:p w14:paraId="326931CF">
      <w:pPr>
        <w:tabs>
          <w:tab w:val="left" w:pos="1788"/>
        </w:tabs>
        <w:spacing w:before="182" w:line="359" w:lineRule="auto"/>
        <w:ind w:right="16" w:firstLine="467"/>
        <w:jc w:val="both"/>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4"/>
          <w:sz w:val="24"/>
          <w:szCs w:val="24"/>
          <w:highlight w:val="none"/>
        </w:rPr>
        <w:t>（发包人名称，以下简称“发包人”）为实施</w:t>
      </w:r>
      <w:r>
        <w:rPr>
          <w:rFonts w:ascii="宋体" w:hAnsi="宋体" w:eastAsia="宋体" w:cs="宋体"/>
          <w:color w:val="auto"/>
          <w:spacing w:val="-114"/>
          <w:sz w:val="24"/>
          <w:szCs w:val="24"/>
          <w:highlight w:val="none"/>
        </w:rPr>
        <w:t xml:space="preserve"> </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4"/>
          <w:sz w:val="24"/>
          <w:szCs w:val="24"/>
          <w:highlight w:val="none"/>
        </w:rPr>
        <w:t>（项目</w:t>
      </w:r>
      <w:r>
        <w:rPr>
          <w:rFonts w:ascii="宋体" w:hAnsi="宋体" w:eastAsia="宋体" w:cs="宋体"/>
          <w:color w:val="auto"/>
          <w:spacing w:val="-3"/>
          <w:sz w:val="24"/>
          <w:szCs w:val="24"/>
          <w:highlight w:val="none"/>
        </w:rPr>
        <w:t>名称</w:t>
      </w:r>
      <w:r>
        <w:rPr>
          <w:rFonts w:ascii="宋体" w:hAnsi="宋体" w:eastAsia="宋体" w:cs="宋体"/>
          <w:color w:val="auto"/>
          <w:spacing w:val="6"/>
          <w:sz w:val="24"/>
          <w:szCs w:val="24"/>
          <w:highlight w:val="none"/>
        </w:rPr>
        <w:t>），</w:t>
      </w:r>
      <w:r>
        <w:rPr>
          <w:rFonts w:ascii="宋体" w:hAnsi="宋体" w:eastAsia="宋体" w:cs="宋体"/>
          <w:color w:val="auto"/>
          <w:spacing w:val="-3"/>
          <w:sz w:val="24"/>
          <w:szCs w:val="24"/>
          <w:highlight w:val="none"/>
        </w:rPr>
        <w:t>已接受</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（承包人名称，以下简称“承包人”）对</w:t>
      </w:r>
      <w:r>
        <w:rPr>
          <w:rFonts w:ascii="宋体" w:hAnsi="宋体" w:eastAsia="宋体" w:cs="宋体"/>
          <w:color w:val="auto"/>
          <w:spacing w:val="-119"/>
          <w:sz w:val="24"/>
          <w:szCs w:val="24"/>
          <w:highlight w:val="none"/>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（项</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目名称</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2"/>
          <w:sz w:val="24"/>
          <w:szCs w:val="24"/>
          <w:highlight w:val="none"/>
        </w:rPr>
        <w:t>标段名称）的投标。发包人和承包人共同达成如下协议。</w:t>
      </w:r>
    </w:p>
    <w:p w14:paraId="62187ADA">
      <w:pPr>
        <w:spacing w:before="1" w:line="218" w:lineRule="auto"/>
        <w:ind w:left="496"/>
        <w:rPr>
          <w:rFonts w:ascii="宋体" w:hAnsi="宋体" w:eastAsia="宋体" w:cs="宋体"/>
          <w:color w:val="auto"/>
          <w:sz w:val="24"/>
          <w:szCs w:val="24"/>
          <w:highlight w:val="none"/>
        </w:rPr>
      </w:pPr>
      <w:r>
        <w:rPr>
          <w:rFonts w:ascii="Times New Roman" w:hAnsi="Times New Roman" w:eastAsia="Times New Roman" w:cs="Times New Roman"/>
          <w:color w:val="auto"/>
          <w:spacing w:val="-6"/>
          <w:sz w:val="24"/>
          <w:szCs w:val="24"/>
          <w:highlight w:val="none"/>
        </w:rPr>
        <w:t>1</w:t>
      </w:r>
      <w:r>
        <w:rPr>
          <w:rFonts w:ascii="Times New Roman" w:hAnsi="Times New Roman" w:eastAsia="Times New Roman" w:cs="Times New Roman"/>
          <w:color w:val="auto"/>
          <w:spacing w:val="-18"/>
          <w:sz w:val="24"/>
          <w:szCs w:val="24"/>
          <w:highlight w:val="none"/>
        </w:rPr>
        <w:t xml:space="preserve"> </w:t>
      </w:r>
      <w:r>
        <w:rPr>
          <w:rFonts w:ascii="宋体" w:hAnsi="宋体" w:eastAsia="宋体" w:cs="宋体"/>
          <w:color w:val="auto"/>
          <w:spacing w:val="-6"/>
          <w:sz w:val="24"/>
          <w:szCs w:val="24"/>
          <w:highlight w:val="none"/>
        </w:rPr>
        <w:t>．本协议书与下列文件一起构成合同文件：</w:t>
      </w:r>
    </w:p>
    <w:p w14:paraId="0E9D18BA">
      <w:pPr>
        <w:spacing w:before="182" w:line="219" w:lineRule="auto"/>
        <w:ind w:left="484"/>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w:t>
      </w:r>
      <w:r>
        <w:rPr>
          <w:rFonts w:ascii="Times New Roman" w:hAnsi="Times New Roman" w:eastAsia="Times New Roman" w:cs="Times New Roman"/>
          <w:color w:val="auto"/>
          <w:spacing w:val="-8"/>
          <w:sz w:val="24"/>
          <w:szCs w:val="24"/>
          <w:highlight w:val="none"/>
        </w:rPr>
        <w:t>1</w:t>
      </w:r>
      <w:r>
        <w:rPr>
          <w:rFonts w:ascii="宋体" w:hAnsi="宋体" w:eastAsia="宋体" w:cs="宋体"/>
          <w:color w:val="auto"/>
          <w:spacing w:val="-8"/>
          <w:sz w:val="24"/>
          <w:szCs w:val="24"/>
          <w:highlight w:val="none"/>
        </w:rPr>
        <w:t>）</w:t>
      </w:r>
      <w:r>
        <w:rPr>
          <w:rFonts w:ascii="宋体" w:hAnsi="宋体" w:eastAsia="宋体" w:cs="宋体"/>
          <w:color w:val="auto"/>
          <w:spacing w:val="31"/>
          <w:sz w:val="24"/>
          <w:szCs w:val="24"/>
          <w:highlight w:val="none"/>
        </w:rPr>
        <w:t xml:space="preserve"> </w:t>
      </w:r>
      <w:r>
        <w:rPr>
          <w:rFonts w:ascii="宋体" w:hAnsi="宋体" w:eastAsia="宋体" w:cs="宋体"/>
          <w:color w:val="auto"/>
          <w:spacing w:val="-8"/>
          <w:sz w:val="24"/>
          <w:szCs w:val="24"/>
          <w:highlight w:val="none"/>
        </w:rPr>
        <w:t>中标通知书。</w:t>
      </w:r>
    </w:p>
    <w:p w14:paraId="0685F45E">
      <w:pPr>
        <w:spacing w:before="182" w:line="219" w:lineRule="auto"/>
        <w:ind w:left="48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2</w:t>
      </w:r>
      <w:r>
        <w:rPr>
          <w:rFonts w:ascii="宋体" w:hAnsi="宋体" w:eastAsia="宋体" w:cs="宋体"/>
          <w:color w:val="auto"/>
          <w:spacing w:val="-4"/>
          <w:sz w:val="24"/>
          <w:szCs w:val="24"/>
          <w:highlight w:val="none"/>
        </w:rPr>
        <w:t>） 投标函及投标函附录。</w:t>
      </w:r>
    </w:p>
    <w:p w14:paraId="755694B6">
      <w:pPr>
        <w:spacing w:before="182" w:line="220" w:lineRule="auto"/>
        <w:ind w:left="48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3</w:t>
      </w:r>
      <w:r>
        <w:rPr>
          <w:rFonts w:ascii="宋体" w:hAnsi="宋体" w:eastAsia="宋体" w:cs="宋体"/>
          <w:color w:val="auto"/>
          <w:spacing w:val="-5"/>
          <w:sz w:val="24"/>
          <w:szCs w:val="24"/>
          <w:highlight w:val="none"/>
        </w:rPr>
        <w:t>） 专用合同条款。</w:t>
      </w:r>
    </w:p>
    <w:p w14:paraId="6CC5827D">
      <w:pPr>
        <w:spacing w:before="181" w:line="220" w:lineRule="auto"/>
        <w:ind w:left="48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4</w:t>
      </w:r>
      <w:r>
        <w:rPr>
          <w:rFonts w:ascii="宋体" w:hAnsi="宋体" w:eastAsia="宋体" w:cs="宋体"/>
          <w:color w:val="auto"/>
          <w:spacing w:val="-5"/>
          <w:sz w:val="24"/>
          <w:szCs w:val="24"/>
          <w:highlight w:val="none"/>
        </w:rPr>
        <w:t>） 通用合同条款。</w:t>
      </w:r>
    </w:p>
    <w:p w14:paraId="43B2C7BE">
      <w:pPr>
        <w:spacing w:before="180" w:line="220" w:lineRule="auto"/>
        <w:ind w:left="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 技术标准和要求（合同技术条款）。</w:t>
      </w:r>
    </w:p>
    <w:p w14:paraId="6B7291E7">
      <w:pPr>
        <w:spacing w:before="182" w:line="221" w:lineRule="auto"/>
        <w:ind w:left="484"/>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w:t>
      </w:r>
      <w:r>
        <w:rPr>
          <w:rFonts w:ascii="Times New Roman" w:hAnsi="Times New Roman" w:eastAsia="Times New Roman" w:cs="Times New Roman"/>
          <w:color w:val="auto"/>
          <w:spacing w:val="-11"/>
          <w:sz w:val="24"/>
          <w:szCs w:val="24"/>
          <w:highlight w:val="none"/>
        </w:rPr>
        <w:t>6</w:t>
      </w:r>
      <w:r>
        <w:rPr>
          <w:rFonts w:ascii="宋体" w:hAnsi="宋体" w:eastAsia="宋体" w:cs="宋体"/>
          <w:color w:val="auto"/>
          <w:spacing w:val="-11"/>
          <w:sz w:val="24"/>
          <w:szCs w:val="24"/>
          <w:highlight w:val="none"/>
        </w:rPr>
        <w:t>）</w:t>
      </w:r>
      <w:r>
        <w:rPr>
          <w:rFonts w:ascii="宋体" w:hAnsi="宋体" w:eastAsia="宋体" w:cs="宋体"/>
          <w:color w:val="auto"/>
          <w:spacing w:val="36"/>
          <w:sz w:val="24"/>
          <w:szCs w:val="24"/>
          <w:highlight w:val="none"/>
        </w:rPr>
        <w:t xml:space="preserve"> </w:t>
      </w:r>
      <w:r>
        <w:rPr>
          <w:rFonts w:ascii="宋体" w:hAnsi="宋体" w:eastAsia="宋体" w:cs="宋体"/>
          <w:color w:val="auto"/>
          <w:spacing w:val="-11"/>
          <w:sz w:val="24"/>
          <w:szCs w:val="24"/>
          <w:highlight w:val="none"/>
        </w:rPr>
        <w:t>图纸。</w:t>
      </w:r>
    </w:p>
    <w:p w14:paraId="57C7DAE0">
      <w:pPr>
        <w:spacing w:before="179" w:line="218" w:lineRule="auto"/>
        <w:ind w:left="48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7</w:t>
      </w:r>
      <w:r>
        <w:rPr>
          <w:rFonts w:ascii="宋体" w:hAnsi="宋体" w:eastAsia="宋体" w:cs="宋体"/>
          <w:color w:val="auto"/>
          <w:spacing w:val="-7"/>
          <w:sz w:val="24"/>
          <w:szCs w:val="24"/>
          <w:highlight w:val="none"/>
        </w:rPr>
        <w:t>）</w:t>
      </w:r>
      <w:r>
        <w:rPr>
          <w:rFonts w:ascii="宋体" w:hAnsi="宋体" w:eastAsia="宋体" w:cs="宋体"/>
          <w:color w:val="auto"/>
          <w:spacing w:val="40"/>
          <w:sz w:val="24"/>
          <w:szCs w:val="24"/>
          <w:highlight w:val="none"/>
        </w:rPr>
        <w:t xml:space="preserve"> </w:t>
      </w:r>
      <w:r>
        <w:rPr>
          <w:rFonts w:ascii="宋体" w:hAnsi="宋体" w:eastAsia="宋体" w:cs="宋体"/>
          <w:color w:val="auto"/>
          <w:spacing w:val="-7"/>
          <w:sz w:val="24"/>
          <w:szCs w:val="24"/>
          <w:highlight w:val="none"/>
        </w:rPr>
        <w:t>已标价工程量清单。</w:t>
      </w:r>
    </w:p>
    <w:p w14:paraId="0CB0D945">
      <w:pPr>
        <w:spacing w:before="183" w:line="220" w:lineRule="auto"/>
        <w:ind w:left="48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8</w:t>
      </w:r>
      <w:r>
        <w:rPr>
          <w:rFonts w:ascii="宋体" w:hAnsi="宋体" w:eastAsia="宋体" w:cs="宋体"/>
          <w:color w:val="auto"/>
          <w:spacing w:val="-5"/>
          <w:sz w:val="24"/>
          <w:szCs w:val="24"/>
          <w:highlight w:val="none"/>
        </w:rPr>
        <w:t>） 其它合同文件。</w:t>
      </w:r>
    </w:p>
    <w:p w14:paraId="5909433E">
      <w:pPr>
        <w:spacing w:before="183" w:line="290" w:lineRule="auto"/>
        <w:ind w:firstLine="473"/>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2</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z w:val="24"/>
          <w:szCs w:val="24"/>
          <w:highlight w:val="none"/>
        </w:rPr>
        <w:t>．上述文件互相补充和解释，如有不明确或不一致</w:t>
      </w:r>
      <w:r>
        <w:rPr>
          <w:rFonts w:ascii="宋体" w:hAnsi="宋体" w:eastAsia="宋体" w:cs="宋体"/>
          <w:color w:val="auto"/>
          <w:spacing w:val="-1"/>
          <w:sz w:val="24"/>
          <w:szCs w:val="24"/>
          <w:highlight w:val="none"/>
        </w:rPr>
        <w:t>之处，以合同约定次序在先</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者为准。</w:t>
      </w:r>
    </w:p>
    <w:p w14:paraId="266F35D2">
      <w:pPr>
        <w:spacing w:before="1" w:line="218" w:lineRule="auto"/>
        <w:ind w:left="496"/>
        <w:rPr>
          <w:rFonts w:ascii="宋体" w:hAnsi="宋体" w:eastAsia="宋体" w:cs="宋体"/>
          <w:color w:val="auto"/>
          <w:sz w:val="24"/>
          <w:szCs w:val="24"/>
          <w:highlight w:val="none"/>
        </w:rPr>
      </w:pPr>
      <w:r>
        <w:rPr>
          <w:rFonts w:ascii="Times New Roman" w:hAnsi="Times New Roman" w:eastAsia="Times New Roman" w:cs="Times New Roman"/>
          <w:color w:val="auto"/>
          <w:spacing w:val="-18"/>
          <w:sz w:val="24"/>
          <w:szCs w:val="24"/>
          <w:highlight w:val="none"/>
        </w:rPr>
        <w:t>3</w:t>
      </w:r>
      <w:r>
        <w:rPr>
          <w:rFonts w:ascii="宋体" w:hAnsi="宋体" w:eastAsia="宋体" w:cs="宋体"/>
          <w:color w:val="auto"/>
          <w:spacing w:val="-18"/>
          <w:sz w:val="24"/>
          <w:szCs w:val="24"/>
          <w:highlight w:val="none"/>
        </w:rPr>
        <w:t>．签约合同价：人民币（大写）</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18"/>
          <w:sz w:val="24"/>
          <w:szCs w:val="24"/>
          <w:highlight w:val="none"/>
        </w:rPr>
        <w:t>元(￥</w:t>
      </w:r>
      <w:r>
        <w:rPr>
          <w:rFonts w:ascii="宋体" w:hAnsi="宋体" w:eastAsia="宋体" w:cs="宋体"/>
          <w:color w:val="auto"/>
          <w:spacing w:val="-96"/>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18"/>
          <w:sz w:val="24"/>
          <w:szCs w:val="24"/>
          <w:highlight w:val="none"/>
        </w:rPr>
        <w:t>)</w:t>
      </w:r>
      <w:r>
        <w:rPr>
          <w:rFonts w:ascii="宋体" w:hAnsi="宋体" w:eastAsia="宋体" w:cs="宋体"/>
          <w:color w:val="auto"/>
          <w:spacing w:val="-60"/>
          <w:sz w:val="24"/>
          <w:szCs w:val="24"/>
          <w:highlight w:val="none"/>
        </w:rPr>
        <w:t xml:space="preserve"> </w:t>
      </w:r>
      <w:r>
        <w:rPr>
          <w:rFonts w:ascii="宋体" w:hAnsi="宋体" w:eastAsia="宋体" w:cs="宋体"/>
          <w:color w:val="auto"/>
          <w:spacing w:val="-18"/>
          <w:sz w:val="24"/>
          <w:szCs w:val="24"/>
          <w:highlight w:val="none"/>
        </w:rPr>
        <w:t>。</w:t>
      </w:r>
    </w:p>
    <w:p w14:paraId="0E099008">
      <w:pPr>
        <w:spacing w:before="183" w:line="220" w:lineRule="auto"/>
        <w:ind w:left="472"/>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4</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1"/>
          <w:sz w:val="24"/>
          <w:szCs w:val="24"/>
          <w:highlight w:val="none"/>
        </w:rPr>
        <w:t>．承包人项目负责人：</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，项目技术负责人：</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3B60C766">
      <w:pPr>
        <w:spacing w:before="181" w:line="220" w:lineRule="auto"/>
        <w:ind w:left="480"/>
        <w:rPr>
          <w:rFonts w:ascii="宋体" w:hAnsi="宋体" w:eastAsia="宋体" w:cs="宋体"/>
          <w:color w:val="auto"/>
          <w:sz w:val="24"/>
          <w:szCs w:val="24"/>
          <w:highlight w:val="none"/>
        </w:rPr>
      </w:pPr>
      <w:r>
        <w:rPr>
          <w:rFonts w:ascii="Times New Roman" w:hAnsi="Times New Roman" w:eastAsia="Times New Roman" w:cs="Times New Roman"/>
          <w:color w:val="auto"/>
          <w:spacing w:val="-7"/>
          <w:sz w:val="24"/>
          <w:szCs w:val="24"/>
          <w:highlight w:val="none"/>
        </w:rPr>
        <w:t>5</w:t>
      </w:r>
      <w:r>
        <w:rPr>
          <w:rFonts w:ascii="Times New Roman" w:hAnsi="Times New Roman" w:eastAsia="Times New Roman" w:cs="Times New Roman"/>
          <w:color w:val="auto"/>
          <w:spacing w:val="-26"/>
          <w:sz w:val="24"/>
          <w:szCs w:val="24"/>
          <w:highlight w:val="none"/>
        </w:rPr>
        <w:t xml:space="preserve"> </w:t>
      </w:r>
      <w:r>
        <w:rPr>
          <w:rFonts w:ascii="宋体" w:hAnsi="宋体" w:eastAsia="宋体" w:cs="宋体"/>
          <w:color w:val="auto"/>
          <w:spacing w:val="-7"/>
          <w:sz w:val="24"/>
          <w:szCs w:val="24"/>
          <w:highlight w:val="none"/>
        </w:rPr>
        <w:t>．工程质量符合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7"/>
          <w:sz w:val="24"/>
          <w:szCs w:val="24"/>
          <w:highlight w:val="none"/>
        </w:rPr>
        <w:t>标准。</w:t>
      </w:r>
    </w:p>
    <w:p w14:paraId="4BDB1F83">
      <w:pPr>
        <w:spacing w:before="181" w:line="220" w:lineRule="auto"/>
        <w:ind w:left="479"/>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6</w:t>
      </w:r>
      <w:r>
        <w:rPr>
          <w:rFonts w:ascii="Times New Roman" w:hAnsi="Times New Roman" w:eastAsia="Times New Roman" w:cs="Times New Roman"/>
          <w:color w:val="auto"/>
          <w:spacing w:val="-21"/>
          <w:sz w:val="24"/>
          <w:szCs w:val="24"/>
          <w:highlight w:val="none"/>
        </w:rPr>
        <w:t xml:space="preserve"> </w:t>
      </w:r>
      <w:r>
        <w:rPr>
          <w:rFonts w:ascii="宋体" w:hAnsi="宋体" w:eastAsia="宋体" w:cs="宋体"/>
          <w:color w:val="auto"/>
          <w:spacing w:val="-3"/>
          <w:sz w:val="24"/>
          <w:szCs w:val="24"/>
          <w:highlight w:val="none"/>
        </w:rPr>
        <w:t>．承包人承诺按合同约定承担工程的实施、完成及缺陷修复。</w:t>
      </w:r>
    </w:p>
    <w:p w14:paraId="5ED1D555">
      <w:pPr>
        <w:spacing w:before="181" w:line="218" w:lineRule="auto"/>
        <w:ind w:left="477"/>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7</w:t>
      </w:r>
      <w:r>
        <w:rPr>
          <w:rFonts w:ascii="Times New Roman" w:hAnsi="Times New Roman" w:eastAsia="Times New Roman" w:cs="Times New Roman"/>
          <w:color w:val="auto"/>
          <w:spacing w:val="-29"/>
          <w:sz w:val="24"/>
          <w:szCs w:val="24"/>
          <w:highlight w:val="none"/>
        </w:rPr>
        <w:t xml:space="preserve"> </w:t>
      </w:r>
      <w:r>
        <w:rPr>
          <w:rFonts w:ascii="宋体" w:hAnsi="宋体" w:eastAsia="宋体" w:cs="宋体"/>
          <w:color w:val="auto"/>
          <w:spacing w:val="-2"/>
          <w:sz w:val="24"/>
          <w:szCs w:val="24"/>
          <w:highlight w:val="none"/>
        </w:rPr>
        <w:t>．发包人承诺按合同约定的条件、时间和方式</w:t>
      </w:r>
      <w:r>
        <w:rPr>
          <w:rFonts w:ascii="宋体" w:hAnsi="宋体" w:eastAsia="宋体" w:cs="宋体"/>
          <w:color w:val="auto"/>
          <w:spacing w:val="-3"/>
          <w:sz w:val="24"/>
          <w:szCs w:val="24"/>
          <w:highlight w:val="none"/>
        </w:rPr>
        <w:t>向承包人支付合同价款。</w:t>
      </w:r>
    </w:p>
    <w:p w14:paraId="14122F5D">
      <w:pPr>
        <w:spacing w:before="184" w:line="180" w:lineRule="auto"/>
        <w:ind w:left="483"/>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8</w:t>
      </w:r>
      <w:r>
        <w:rPr>
          <w:rFonts w:ascii="Times New Roman" w:hAnsi="Times New Roman" w:eastAsia="Times New Roman" w:cs="Times New Roman"/>
          <w:color w:val="auto"/>
          <w:spacing w:val="-15"/>
          <w:sz w:val="24"/>
          <w:szCs w:val="24"/>
          <w:highlight w:val="none"/>
        </w:rPr>
        <w:t xml:space="preserve"> </w:t>
      </w:r>
      <w:r>
        <w:rPr>
          <w:rFonts w:ascii="宋体" w:hAnsi="宋体" w:eastAsia="宋体" w:cs="宋体"/>
          <w:color w:val="auto"/>
          <w:spacing w:val="-2"/>
          <w:sz w:val="24"/>
          <w:szCs w:val="24"/>
          <w:highlight w:val="none"/>
        </w:rPr>
        <w:t>．承包人承诺执行监理人开工通知，计划工期为</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11"/>
          <w:sz w:val="24"/>
          <w:szCs w:val="24"/>
          <w:highlight w:val="none"/>
        </w:rPr>
        <w:t xml:space="preserve"> </w:t>
      </w:r>
      <w:r>
        <w:rPr>
          <w:rFonts w:ascii="宋体" w:hAnsi="宋体" w:eastAsia="宋体" w:cs="宋体"/>
          <w:color w:val="auto"/>
          <w:spacing w:val="-2"/>
          <w:sz w:val="24"/>
          <w:szCs w:val="24"/>
          <w:highlight w:val="none"/>
        </w:rPr>
        <w:t>个月</w:t>
      </w:r>
      <w:r>
        <w:rPr>
          <w:rFonts w:ascii="微软雅黑" w:hAnsi="微软雅黑" w:eastAsia="微软雅黑" w:cs="微软雅黑"/>
          <w:color w:val="auto"/>
          <w:spacing w:val="-2"/>
          <w:sz w:val="24"/>
          <w:szCs w:val="24"/>
          <w:highlight w:val="none"/>
        </w:rPr>
        <w:t>（日历天）</w:t>
      </w:r>
      <w:r>
        <w:rPr>
          <w:rFonts w:ascii="宋体" w:hAnsi="宋体" w:eastAsia="宋体" w:cs="宋体"/>
          <w:color w:val="auto"/>
          <w:spacing w:val="-2"/>
          <w:sz w:val="24"/>
          <w:szCs w:val="24"/>
          <w:highlight w:val="none"/>
        </w:rPr>
        <w:t>。</w:t>
      </w:r>
    </w:p>
    <w:p w14:paraId="432D4F1A">
      <w:pPr>
        <w:spacing w:before="183" w:line="220" w:lineRule="auto"/>
        <w:ind w:left="472"/>
        <w:rPr>
          <w:rFonts w:ascii="宋体" w:hAnsi="宋体" w:eastAsia="宋体" w:cs="宋体"/>
          <w:color w:val="auto"/>
          <w:sz w:val="24"/>
          <w:szCs w:val="24"/>
          <w:highlight w:val="none"/>
        </w:rPr>
      </w:pPr>
      <w:r>
        <w:rPr>
          <w:rFonts w:ascii="Times New Roman" w:hAnsi="Times New Roman" w:eastAsia="Times New Roman" w:cs="Times New Roman"/>
          <w:color w:val="auto"/>
          <w:spacing w:val="-14"/>
          <w:sz w:val="24"/>
          <w:szCs w:val="24"/>
          <w:highlight w:val="none"/>
        </w:rPr>
        <w:t>9</w:t>
      </w:r>
      <w:r>
        <w:rPr>
          <w:rFonts w:ascii="宋体" w:hAnsi="宋体" w:eastAsia="宋体" w:cs="宋体"/>
          <w:color w:val="auto"/>
          <w:spacing w:val="-14"/>
          <w:sz w:val="24"/>
          <w:szCs w:val="24"/>
          <w:highlight w:val="none"/>
        </w:rPr>
        <w:t>．本协议书正本一式</w:t>
      </w:r>
      <w:r>
        <w:rPr>
          <w:rFonts w:ascii="宋体" w:hAnsi="宋体" w:eastAsia="宋体" w:cs="宋体"/>
          <w:color w:val="auto"/>
          <w:spacing w:val="-14"/>
          <w:sz w:val="24"/>
          <w:szCs w:val="24"/>
          <w:highlight w:val="none"/>
          <w:u w:val="single" w:color="auto"/>
        </w:rPr>
        <w:t xml:space="preserve"> 贰 </w:t>
      </w:r>
      <w:r>
        <w:rPr>
          <w:rFonts w:ascii="宋体" w:hAnsi="宋体" w:eastAsia="宋体" w:cs="宋体"/>
          <w:color w:val="auto"/>
          <w:spacing w:val="-14"/>
          <w:sz w:val="24"/>
          <w:szCs w:val="24"/>
          <w:highlight w:val="none"/>
        </w:rPr>
        <w:t>份，合同双方各执</w:t>
      </w:r>
      <w:r>
        <w:rPr>
          <w:rFonts w:ascii="宋体" w:hAnsi="宋体" w:eastAsia="宋体" w:cs="宋体"/>
          <w:color w:val="auto"/>
          <w:spacing w:val="-14"/>
          <w:sz w:val="24"/>
          <w:szCs w:val="24"/>
          <w:highlight w:val="none"/>
          <w:u w:val="single" w:color="auto"/>
        </w:rPr>
        <w:t xml:space="preserve"> </w:t>
      </w:r>
      <w:r>
        <w:rPr>
          <w:rFonts w:ascii="宋体" w:hAnsi="宋体" w:eastAsia="宋体" w:cs="宋体"/>
          <w:color w:val="auto"/>
          <w:spacing w:val="-15"/>
          <w:sz w:val="24"/>
          <w:szCs w:val="24"/>
          <w:highlight w:val="none"/>
          <w:u w:val="single" w:color="auto"/>
        </w:rPr>
        <w:t>壹</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pacing w:val="-15"/>
          <w:sz w:val="24"/>
          <w:szCs w:val="24"/>
          <w:highlight w:val="none"/>
        </w:rPr>
        <w:t>份，副本</w:t>
      </w:r>
      <w:r>
        <w:rPr>
          <w:rFonts w:ascii="宋体" w:hAnsi="宋体" w:eastAsia="宋体" w:cs="宋体"/>
          <w:color w:val="auto"/>
          <w:spacing w:val="60"/>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5"/>
          <w:sz w:val="24"/>
          <w:szCs w:val="24"/>
          <w:highlight w:val="none"/>
        </w:rPr>
        <w:t>份，双方各执</w:t>
      </w:r>
      <w:r>
        <w:rPr>
          <w:rFonts w:ascii="宋体" w:hAnsi="宋体" w:eastAsia="宋体" w:cs="宋体"/>
          <w:color w:val="auto"/>
          <w:spacing w:val="60"/>
          <w:sz w:val="24"/>
          <w:szCs w:val="24"/>
          <w:highlight w:val="none"/>
          <w:u w:val="single" w:color="auto"/>
        </w:rPr>
        <w:t xml:space="preserve">  </w:t>
      </w:r>
      <w:r>
        <w:rPr>
          <w:rFonts w:ascii="宋体" w:hAnsi="宋体" w:eastAsia="宋体" w:cs="宋体"/>
          <w:color w:val="auto"/>
          <w:spacing w:val="-111"/>
          <w:sz w:val="24"/>
          <w:szCs w:val="24"/>
          <w:highlight w:val="none"/>
        </w:rPr>
        <w:t xml:space="preserve"> </w:t>
      </w:r>
      <w:r>
        <w:rPr>
          <w:rFonts w:ascii="宋体" w:hAnsi="宋体" w:eastAsia="宋体" w:cs="宋体"/>
          <w:color w:val="auto"/>
          <w:spacing w:val="-15"/>
          <w:sz w:val="24"/>
          <w:szCs w:val="24"/>
          <w:highlight w:val="none"/>
        </w:rPr>
        <w:t>份。</w:t>
      </w:r>
    </w:p>
    <w:p w14:paraId="29B7EDC9">
      <w:pPr>
        <w:spacing w:before="183" w:line="220" w:lineRule="auto"/>
        <w:ind w:left="472"/>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10</w:t>
      </w:r>
      <w:r>
        <w:rPr>
          <w:rFonts w:ascii="Times New Roman" w:hAnsi="Times New Roman" w:eastAsia="Times New Roman" w:cs="Times New Roman"/>
          <w:color w:val="auto"/>
          <w:spacing w:val="-21"/>
          <w:sz w:val="24"/>
          <w:szCs w:val="24"/>
          <w:highlight w:val="none"/>
        </w:rPr>
        <w:t xml:space="preserve"> </w:t>
      </w:r>
      <w:r>
        <w:rPr>
          <w:rFonts w:ascii="宋体" w:hAnsi="宋体" w:eastAsia="宋体" w:cs="宋体"/>
          <w:color w:val="auto"/>
          <w:spacing w:val="-3"/>
          <w:sz w:val="24"/>
          <w:szCs w:val="24"/>
          <w:highlight w:val="none"/>
        </w:rPr>
        <w:t>．合同未尽事宜，双方另行签订补充协议。补充协议是合同的组成部分。</w:t>
      </w:r>
    </w:p>
    <w:p w14:paraId="62506F33">
      <w:pPr>
        <w:pStyle w:val="8"/>
        <w:spacing w:line="256" w:lineRule="auto"/>
        <w:rPr>
          <w:color w:val="auto"/>
          <w:highlight w:val="none"/>
        </w:rPr>
      </w:pPr>
    </w:p>
    <w:p w14:paraId="1D7B7E78">
      <w:pPr>
        <w:pStyle w:val="8"/>
        <w:spacing w:line="257" w:lineRule="auto"/>
        <w:rPr>
          <w:color w:val="auto"/>
          <w:highlight w:val="none"/>
        </w:rPr>
      </w:pPr>
    </w:p>
    <w:p w14:paraId="1769F1C0">
      <w:pPr>
        <w:spacing w:before="79" w:line="219" w:lineRule="auto"/>
        <w:ind w:left="60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发</w:t>
      </w:r>
      <w:r>
        <w:rPr>
          <w:rFonts w:ascii="宋体" w:hAnsi="宋体" w:eastAsia="宋体" w:cs="宋体"/>
          <w:color w:val="auto"/>
          <w:spacing w:val="108"/>
          <w:sz w:val="24"/>
          <w:szCs w:val="24"/>
          <w:highlight w:val="none"/>
        </w:rPr>
        <w:t xml:space="preserve"> </w:t>
      </w:r>
      <w:r>
        <w:rPr>
          <w:rFonts w:ascii="宋体" w:hAnsi="宋体" w:eastAsia="宋体" w:cs="宋体"/>
          <w:color w:val="auto"/>
          <w:spacing w:val="-3"/>
          <w:sz w:val="24"/>
          <w:szCs w:val="24"/>
          <w:highlight w:val="none"/>
        </w:rPr>
        <w:t>包</w:t>
      </w:r>
      <w:r>
        <w:rPr>
          <w:rFonts w:ascii="宋体" w:hAnsi="宋体" w:eastAsia="宋体" w:cs="宋体"/>
          <w:color w:val="auto"/>
          <w:spacing w:val="110"/>
          <w:sz w:val="24"/>
          <w:szCs w:val="24"/>
          <w:highlight w:val="none"/>
        </w:rPr>
        <w:t xml:space="preserve"> </w:t>
      </w:r>
      <w:r>
        <w:rPr>
          <w:rFonts w:ascii="宋体" w:hAnsi="宋体" w:eastAsia="宋体" w:cs="宋体"/>
          <w:color w:val="auto"/>
          <w:spacing w:val="-3"/>
          <w:sz w:val="24"/>
          <w:szCs w:val="24"/>
          <w:highlight w:val="none"/>
        </w:rPr>
        <w:t>人</w:t>
      </w:r>
      <w:r>
        <w:rPr>
          <w:rFonts w:ascii="宋体" w:hAnsi="宋体" w:eastAsia="宋体" w:cs="宋体"/>
          <w:color w:val="auto"/>
          <w:spacing w:val="2"/>
          <w:sz w:val="24"/>
          <w:szCs w:val="24"/>
          <w:highlight w:val="none"/>
        </w:rPr>
        <w:t>：</w:t>
      </w:r>
      <w:r>
        <w:rPr>
          <w:rFonts w:ascii="宋体" w:hAnsi="宋体" w:eastAsia="宋体" w:cs="宋体"/>
          <w:color w:val="auto"/>
          <w:spacing w:val="60"/>
          <w:sz w:val="24"/>
          <w:szCs w:val="24"/>
          <w:highlight w:val="none"/>
          <w:u w:val="single" w:color="auto"/>
        </w:rPr>
        <w:t xml:space="preserve">  </w:t>
      </w:r>
      <w:r>
        <w:rPr>
          <w:rFonts w:ascii="宋体" w:hAnsi="宋体" w:eastAsia="宋体" w:cs="宋体"/>
          <w:color w:val="auto"/>
          <w:spacing w:val="2"/>
          <w:sz w:val="24"/>
          <w:szCs w:val="24"/>
          <w:highlight w:val="none"/>
          <w:u w:val="single" w:color="auto"/>
        </w:rPr>
        <w:t>（</w:t>
      </w:r>
      <w:r>
        <w:rPr>
          <w:rFonts w:ascii="宋体" w:hAnsi="宋体" w:eastAsia="宋体" w:cs="宋体"/>
          <w:color w:val="auto"/>
          <w:spacing w:val="-3"/>
          <w:sz w:val="24"/>
          <w:szCs w:val="24"/>
          <w:highlight w:val="none"/>
          <w:u w:val="single" w:color="auto"/>
        </w:rPr>
        <w:t xml:space="preserve">盖单位章）   </w:t>
      </w:r>
      <w:r>
        <w:rPr>
          <w:rFonts w:ascii="宋体" w:hAnsi="宋体" w:eastAsia="宋体" w:cs="宋体"/>
          <w:color w:val="auto"/>
          <w:spacing w:val="-3"/>
          <w:sz w:val="24"/>
          <w:szCs w:val="24"/>
          <w:highlight w:val="none"/>
        </w:rPr>
        <w:t xml:space="preserve">      承  包  人</w:t>
      </w:r>
      <w:r>
        <w:rPr>
          <w:rFonts w:ascii="宋体" w:hAnsi="宋体" w:eastAsia="宋体" w:cs="宋体"/>
          <w:color w:val="auto"/>
          <w:spacing w:val="2"/>
          <w:sz w:val="24"/>
          <w:szCs w:val="24"/>
          <w:highlight w:val="none"/>
        </w:rPr>
        <w:t>：</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2"/>
          <w:sz w:val="24"/>
          <w:szCs w:val="24"/>
          <w:highlight w:val="none"/>
          <w:u w:val="single" w:color="auto"/>
        </w:rPr>
        <w:t>（</w:t>
      </w:r>
      <w:r>
        <w:rPr>
          <w:rFonts w:ascii="宋体" w:hAnsi="宋体" w:eastAsia="宋体" w:cs="宋体"/>
          <w:color w:val="auto"/>
          <w:spacing w:val="-3"/>
          <w:sz w:val="24"/>
          <w:szCs w:val="24"/>
          <w:highlight w:val="none"/>
          <w:u w:val="single" w:color="auto"/>
        </w:rPr>
        <w:t>盖单位章）</w:t>
      </w:r>
      <w:r>
        <w:rPr>
          <w:rFonts w:ascii="宋体" w:hAnsi="宋体" w:eastAsia="宋体" w:cs="宋体"/>
          <w:color w:val="auto"/>
          <w:sz w:val="24"/>
          <w:szCs w:val="24"/>
          <w:highlight w:val="none"/>
          <w:u w:val="single" w:color="auto"/>
        </w:rPr>
        <w:t xml:space="preserve">     </w:t>
      </w:r>
    </w:p>
    <w:p w14:paraId="558AAF9F">
      <w:pPr>
        <w:spacing w:before="182" w:line="220" w:lineRule="auto"/>
        <w:jc w:val="right"/>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法定代表人或其委托代理人</w:t>
      </w:r>
      <w:r>
        <w:rPr>
          <w:rFonts w:ascii="宋体" w:hAnsi="宋体" w:eastAsia="宋体" w:cs="宋体"/>
          <w:color w:val="auto"/>
          <w:spacing w:val="-12"/>
          <w:sz w:val="24"/>
          <w:szCs w:val="24"/>
          <w:highlight w:val="none"/>
        </w:rPr>
        <w:t>：</w:t>
      </w:r>
      <w:r>
        <w:rPr>
          <w:rFonts w:ascii="宋体" w:hAnsi="宋体" w:eastAsia="宋体" w:cs="宋体"/>
          <w:color w:val="auto"/>
          <w:spacing w:val="-12"/>
          <w:sz w:val="24"/>
          <w:szCs w:val="24"/>
          <w:highlight w:val="none"/>
          <w:u w:val="single" w:color="auto"/>
        </w:rPr>
        <w:t>（</w:t>
      </w:r>
      <w:r>
        <w:rPr>
          <w:rFonts w:ascii="宋体" w:hAnsi="宋体" w:eastAsia="宋体" w:cs="宋体"/>
          <w:color w:val="auto"/>
          <w:spacing w:val="-9"/>
          <w:sz w:val="24"/>
          <w:szCs w:val="24"/>
          <w:highlight w:val="none"/>
          <w:u w:val="single" w:color="auto"/>
        </w:rPr>
        <w:t>签字）</w:t>
      </w:r>
      <w:r>
        <w:rPr>
          <w:rFonts w:ascii="宋体" w:hAnsi="宋体" w:eastAsia="宋体" w:cs="宋体"/>
          <w:color w:val="auto"/>
          <w:spacing w:val="-9"/>
          <w:sz w:val="24"/>
          <w:szCs w:val="24"/>
          <w:highlight w:val="none"/>
        </w:rPr>
        <w:t xml:space="preserve">   法定代表人或其委托代理人</w:t>
      </w:r>
      <w:r>
        <w:rPr>
          <w:rFonts w:ascii="宋体" w:hAnsi="宋体" w:eastAsia="宋体" w:cs="宋体"/>
          <w:color w:val="auto"/>
          <w:spacing w:val="-12"/>
          <w:sz w:val="24"/>
          <w:szCs w:val="24"/>
          <w:highlight w:val="none"/>
        </w:rPr>
        <w:t>：</w:t>
      </w:r>
      <w:r>
        <w:rPr>
          <w:rFonts w:ascii="宋体" w:hAnsi="宋体" w:eastAsia="宋体" w:cs="宋体"/>
          <w:color w:val="auto"/>
          <w:spacing w:val="-12"/>
          <w:sz w:val="24"/>
          <w:szCs w:val="24"/>
          <w:highlight w:val="none"/>
          <w:u w:val="single" w:color="auto"/>
        </w:rPr>
        <w:t>（</w:t>
      </w:r>
      <w:r>
        <w:rPr>
          <w:rFonts w:ascii="宋体" w:hAnsi="宋体" w:eastAsia="宋体" w:cs="宋体"/>
          <w:color w:val="auto"/>
          <w:spacing w:val="-9"/>
          <w:sz w:val="24"/>
          <w:szCs w:val="24"/>
          <w:highlight w:val="none"/>
          <w:u w:val="single" w:color="auto"/>
        </w:rPr>
        <w:t>签字）</w:t>
      </w:r>
    </w:p>
    <w:p w14:paraId="05E90562">
      <w:pPr>
        <w:tabs>
          <w:tab w:val="left" w:pos="1428"/>
        </w:tabs>
        <w:spacing w:before="181" w:line="220" w:lineRule="auto"/>
        <w:ind w:left="708"/>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17"/>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7"/>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17"/>
          <w:sz w:val="24"/>
          <w:szCs w:val="24"/>
          <w:highlight w:val="none"/>
        </w:rPr>
        <w:t>日</w:t>
      </w:r>
      <w:r>
        <w:rPr>
          <w:rFonts w:ascii="宋体" w:hAnsi="宋体" w:eastAsia="宋体" w:cs="宋体"/>
          <w:color w:val="auto"/>
          <w:spacing w:val="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7"/>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7"/>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17"/>
          <w:sz w:val="24"/>
          <w:szCs w:val="24"/>
          <w:highlight w:val="none"/>
        </w:rPr>
        <w:t>日</w:t>
      </w:r>
    </w:p>
    <w:p w14:paraId="35788A8D">
      <w:pPr>
        <w:spacing w:line="220" w:lineRule="auto"/>
        <w:rPr>
          <w:rFonts w:ascii="宋体" w:hAnsi="宋体" w:eastAsia="宋体" w:cs="宋体"/>
          <w:color w:val="auto"/>
          <w:sz w:val="24"/>
          <w:szCs w:val="24"/>
          <w:highlight w:val="none"/>
        </w:rPr>
        <w:sectPr>
          <w:footerReference r:id="rId86" w:type="default"/>
          <w:pgSz w:w="11905" w:h="16840"/>
          <w:pgMar w:top="1134" w:right="1529" w:bottom="1255" w:left="1598" w:header="0" w:footer="1093" w:gutter="0"/>
          <w:pgNumType w:fmt="decimal"/>
          <w:cols w:space="720" w:num="1"/>
        </w:sectPr>
      </w:pPr>
    </w:p>
    <w:p w14:paraId="3B5DF4EE">
      <w:pPr>
        <w:pStyle w:val="8"/>
        <w:spacing w:line="247" w:lineRule="auto"/>
        <w:rPr>
          <w:color w:val="auto"/>
          <w:highlight w:val="none"/>
        </w:rPr>
      </w:pPr>
    </w:p>
    <w:p w14:paraId="59C9BA96">
      <w:pPr>
        <w:pStyle w:val="8"/>
        <w:spacing w:line="247" w:lineRule="auto"/>
        <w:rPr>
          <w:color w:val="auto"/>
          <w:highlight w:val="none"/>
        </w:rPr>
      </w:pPr>
    </w:p>
    <w:p w14:paraId="2E25CA1D">
      <w:pPr>
        <w:pStyle w:val="8"/>
        <w:spacing w:line="248" w:lineRule="auto"/>
        <w:rPr>
          <w:color w:val="auto"/>
          <w:highlight w:val="none"/>
        </w:rPr>
      </w:pPr>
    </w:p>
    <w:p w14:paraId="430EB251">
      <w:pPr>
        <w:spacing w:before="88" w:line="225" w:lineRule="auto"/>
        <w:ind w:left="32"/>
        <w:outlineLvl w:val="2"/>
        <w:rPr>
          <w:rFonts w:ascii="宋体" w:hAnsi="宋体" w:eastAsia="宋体" w:cs="宋体"/>
          <w:color w:val="auto"/>
          <w:sz w:val="27"/>
          <w:szCs w:val="27"/>
          <w:highlight w:val="none"/>
        </w:rPr>
      </w:pPr>
      <w:bookmarkStart w:id="149" w:name="bookmark418"/>
      <w:bookmarkEnd w:id="149"/>
      <w:bookmarkStart w:id="150" w:name="bookmark95"/>
      <w:bookmarkEnd w:id="150"/>
      <w:bookmarkStart w:id="151" w:name="_Toc4704"/>
      <w:r>
        <w:rPr>
          <w:rFonts w:ascii="宋体" w:hAnsi="宋体" w:eastAsia="宋体" w:cs="宋体"/>
          <w:b/>
          <w:bCs/>
          <w:color w:val="auto"/>
          <w:spacing w:val="3"/>
          <w:sz w:val="27"/>
          <w:szCs w:val="27"/>
          <w:highlight w:val="none"/>
        </w:rPr>
        <w:t>附件二</w:t>
      </w:r>
      <w:r>
        <w:rPr>
          <w:rFonts w:ascii="宋体" w:hAnsi="宋体" w:eastAsia="宋体" w:cs="宋体"/>
          <w:color w:val="auto"/>
          <w:spacing w:val="3"/>
          <w:sz w:val="27"/>
          <w:szCs w:val="27"/>
          <w:highlight w:val="none"/>
        </w:rPr>
        <w:t xml:space="preserve">  </w:t>
      </w:r>
      <w:r>
        <w:rPr>
          <w:rFonts w:ascii="宋体" w:hAnsi="宋体" w:eastAsia="宋体" w:cs="宋体"/>
          <w:b/>
          <w:bCs/>
          <w:color w:val="auto"/>
          <w:spacing w:val="3"/>
          <w:sz w:val="27"/>
          <w:szCs w:val="27"/>
          <w:highlight w:val="none"/>
        </w:rPr>
        <w:t>履约担保（格式）</w:t>
      </w:r>
      <w:bookmarkEnd w:id="151"/>
    </w:p>
    <w:p w14:paraId="4DFEF3D9">
      <w:pPr>
        <w:pStyle w:val="8"/>
        <w:spacing w:line="249" w:lineRule="auto"/>
        <w:rPr>
          <w:color w:val="auto"/>
          <w:highlight w:val="none"/>
        </w:rPr>
      </w:pPr>
    </w:p>
    <w:p w14:paraId="781F024A">
      <w:pPr>
        <w:spacing w:before="78" w:line="220" w:lineRule="auto"/>
        <w:ind w:left="3925"/>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履约担保</w:t>
      </w:r>
    </w:p>
    <w:p w14:paraId="2FED787E">
      <w:pPr>
        <w:pStyle w:val="8"/>
        <w:spacing w:line="256" w:lineRule="auto"/>
        <w:rPr>
          <w:color w:val="auto"/>
          <w:highlight w:val="none"/>
        </w:rPr>
      </w:pPr>
    </w:p>
    <w:p w14:paraId="75446DA2">
      <w:pPr>
        <w:pStyle w:val="8"/>
        <w:spacing w:line="257" w:lineRule="auto"/>
        <w:rPr>
          <w:color w:val="auto"/>
          <w:highlight w:val="none"/>
        </w:rPr>
      </w:pPr>
    </w:p>
    <w:p w14:paraId="12FCE78C">
      <w:pPr>
        <w:tabs>
          <w:tab w:val="left" w:pos="2520"/>
        </w:tabs>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（发包人名称</w:t>
      </w:r>
      <w:r>
        <w:rPr>
          <w:rFonts w:ascii="宋体" w:hAnsi="宋体" w:eastAsia="宋体" w:cs="宋体"/>
          <w:color w:val="auto"/>
          <w:spacing w:val="-4"/>
          <w:sz w:val="24"/>
          <w:szCs w:val="24"/>
          <w:highlight w:val="none"/>
        </w:rPr>
        <w:t>）：</w:t>
      </w:r>
    </w:p>
    <w:p w14:paraId="7C15808A">
      <w:pPr>
        <w:spacing w:before="180" w:line="359" w:lineRule="auto"/>
        <w:ind w:left="8" w:right="10" w:firstLine="483"/>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鉴于</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（发包人名称</w:t>
      </w:r>
      <w:r>
        <w:rPr>
          <w:rFonts w:ascii="宋体" w:hAnsi="宋体" w:eastAsia="宋体" w:cs="宋体"/>
          <w:color w:val="auto"/>
          <w:spacing w:val="-3"/>
          <w:sz w:val="24"/>
          <w:szCs w:val="24"/>
          <w:highlight w:val="none"/>
        </w:rPr>
        <w:t>，以下简称“发包人”）接受</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（承包</w:t>
      </w:r>
      <w:r>
        <w:rPr>
          <w:rFonts w:ascii="宋体" w:hAnsi="宋体" w:eastAsia="宋体" w:cs="宋体"/>
          <w:color w:val="auto"/>
          <w:spacing w:val="-6"/>
          <w:sz w:val="24"/>
          <w:szCs w:val="24"/>
          <w:highlight w:val="none"/>
        </w:rPr>
        <w:t>人名称，以下称“承包人”）于</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108"/>
          <w:sz w:val="24"/>
          <w:szCs w:val="24"/>
          <w:highlight w:val="none"/>
        </w:rPr>
        <w:t xml:space="preserve"> </w:t>
      </w:r>
      <w:r>
        <w:rPr>
          <w:rFonts w:ascii="宋体" w:hAnsi="宋体" w:eastAsia="宋体" w:cs="宋体"/>
          <w:color w:val="auto"/>
          <w:spacing w:val="-6"/>
          <w:sz w:val="24"/>
          <w:szCs w:val="24"/>
          <w:highlight w:val="none"/>
        </w:rPr>
        <w:t>年</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6"/>
          <w:sz w:val="24"/>
          <w:szCs w:val="24"/>
          <w:highlight w:val="none"/>
        </w:rPr>
        <w:t>月</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6"/>
          <w:sz w:val="24"/>
          <w:szCs w:val="24"/>
          <w:highlight w:val="none"/>
        </w:rPr>
        <w:t>日递交的</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
          <w:sz w:val="24"/>
          <w:szCs w:val="24"/>
          <w:highlight w:val="none"/>
        </w:rPr>
        <w:t>（项目名</w:t>
      </w:r>
      <w:r>
        <w:rPr>
          <w:rFonts w:ascii="宋体" w:hAnsi="宋体" w:eastAsia="宋体" w:cs="宋体"/>
          <w:color w:val="auto"/>
          <w:sz w:val="24"/>
          <w:szCs w:val="24"/>
          <w:highlight w:val="none"/>
        </w:rPr>
        <w:t xml:space="preserve"> 称</w:t>
      </w:r>
      <w:r>
        <w:rPr>
          <w:rFonts w:ascii="宋体" w:hAnsi="宋体" w:eastAsia="宋体" w:cs="宋体"/>
          <w:color w:val="auto"/>
          <w:spacing w:val="4"/>
          <w:sz w:val="24"/>
          <w:szCs w:val="24"/>
          <w:highlight w:val="none"/>
        </w:rPr>
        <w:t>）</w:t>
      </w:r>
      <w:r>
        <w:rPr>
          <w:rFonts w:ascii="宋体" w:hAnsi="宋体" w:eastAsia="宋体" w:cs="宋体"/>
          <w:color w:val="auto"/>
          <w:spacing w:val="20"/>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rPr>
        <w:t xml:space="preserve">标段名称）的投标文件。我方愿意无条件地、不可撤销地就承包人履 </w:t>
      </w:r>
      <w:r>
        <w:rPr>
          <w:rFonts w:ascii="宋体" w:hAnsi="宋体" w:eastAsia="宋体" w:cs="宋体"/>
          <w:color w:val="auto"/>
          <w:spacing w:val="-3"/>
          <w:sz w:val="24"/>
          <w:szCs w:val="24"/>
          <w:highlight w:val="none"/>
        </w:rPr>
        <w:t>行与你方订立的合同，向你方提供担保。</w:t>
      </w:r>
    </w:p>
    <w:p w14:paraId="59CF077E">
      <w:pPr>
        <w:spacing w:before="1" w:line="218" w:lineRule="auto"/>
        <w:ind w:left="508"/>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1</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4"/>
          <w:sz w:val="24"/>
          <w:szCs w:val="24"/>
          <w:highlight w:val="none"/>
        </w:rPr>
        <w:t>．担保金额人民币（大写）</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4"/>
          <w:sz w:val="24"/>
          <w:szCs w:val="24"/>
          <w:highlight w:val="none"/>
        </w:rPr>
        <w:t>元(￥</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4"/>
          <w:sz w:val="24"/>
          <w:szCs w:val="24"/>
          <w:highlight w:val="none"/>
        </w:rPr>
        <w:t>)。</w:t>
      </w:r>
    </w:p>
    <w:p w14:paraId="44CB4D69">
      <w:pPr>
        <w:spacing w:before="182" w:line="289" w:lineRule="auto"/>
        <w:ind w:left="11" w:firstLine="473"/>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2</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z w:val="24"/>
          <w:szCs w:val="24"/>
          <w:highlight w:val="none"/>
        </w:rPr>
        <w:t>．担保有效期自发包人与承包人签订的合同生效之</w:t>
      </w:r>
      <w:r>
        <w:rPr>
          <w:rFonts w:ascii="宋体" w:hAnsi="宋体" w:eastAsia="宋体" w:cs="宋体"/>
          <w:color w:val="auto"/>
          <w:spacing w:val="-1"/>
          <w:sz w:val="24"/>
          <w:szCs w:val="24"/>
          <w:highlight w:val="none"/>
        </w:rPr>
        <w:t>日起至发包人签发合同工程</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完工证书之日止。</w:t>
      </w:r>
    </w:p>
    <w:p w14:paraId="2803D02D">
      <w:pPr>
        <w:spacing w:before="182" w:line="313" w:lineRule="auto"/>
        <w:ind w:left="11" w:right="1" w:firstLine="478"/>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3</w:t>
      </w:r>
      <w:r>
        <w:rPr>
          <w:rFonts w:ascii="Times New Roman" w:hAnsi="Times New Roman" w:eastAsia="Times New Roman" w:cs="Times New Roman"/>
          <w:color w:val="auto"/>
          <w:spacing w:val="-26"/>
          <w:sz w:val="24"/>
          <w:szCs w:val="24"/>
          <w:highlight w:val="none"/>
        </w:rPr>
        <w:t xml:space="preserve"> </w:t>
      </w:r>
      <w:r>
        <w:rPr>
          <w:rFonts w:ascii="宋体" w:hAnsi="宋体" w:eastAsia="宋体" w:cs="宋体"/>
          <w:color w:val="auto"/>
          <w:spacing w:val="-1"/>
          <w:sz w:val="24"/>
          <w:szCs w:val="24"/>
          <w:highlight w:val="none"/>
        </w:rPr>
        <w:t>．在本担保有效期内，因承包人违反合同约定的义务给你方造成经济损失时，</w:t>
      </w:r>
      <w:r>
        <w:rPr>
          <w:rFonts w:ascii="宋体" w:hAnsi="宋体" w:eastAsia="宋体" w:cs="宋体"/>
          <w:color w:val="auto"/>
          <w:sz w:val="24"/>
          <w:szCs w:val="24"/>
          <w:highlight w:val="none"/>
        </w:rPr>
        <w:t xml:space="preserve"> 我方在收到你方以书面形式提出的在担保金额内的赔偿要求后，无条件地在</w:t>
      </w:r>
      <w:r>
        <w:rPr>
          <w:rFonts w:ascii="Times New Roman" w:hAnsi="Times New Roman" w:eastAsia="Times New Roman" w:cs="Times New Roman"/>
          <w:color w:val="auto"/>
          <w:sz w:val="24"/>
          <w:szCs w:val="24"/>
          <w:highlight w:val="none"/>
        </w:rPr>
        <w:t>7</w:t>
      </w:r>
      <w:r>
        <w:rPr>
          <w:rFonts w:ascii="宋体" w:hAnsi="宋体" w:eastAsia="宋体" w:cs="宋体"/>
          <w:color w:val="auto"/>
          <w:sz w:val="24"/>
          <w:szCs w:val="24"/>
          <w:highlight w:val="none"/>
        </w:rPr>
        <w:t>天内予</w:t>
      </w:r>
      <w:r>
        <w:rPr>
          <w:rFonts w:ascii="宋体" w:hAnsi="宋体" w:eastAsia="宋体" w:cs="宋体"/>
          <w:color w:val="auto"/>
          <w:spacing w:val="14"/>
          <w:sz w:val="24"/>
          <w:szCs w:val="24"/>
          <w:highlight w:val="none"/>
        </w:rPr>
        <w:t xml:space="preserve"> </w:t>
      </w:r>
      <w:r>
        <w:rPr>
          <w:rFonts w:ascii="宋体" w:hAnsi="宋体" w:eastAsia="宋体" w:cs="宋体"/>
          <w:color w:val="auto"/>
          <w:spacing w:val="-9"/>
          <w:sz w:val="24"/>
          <w:szCs w:val="24"/>
          <w:highlight w:val="none"/>
        </w:rPr>
        <w:t>以支付。</w:t>
      </w:r>
    </w:p>
    <w:p w14:paraId="7C41C78B">
      <w:pPr>
        <w:spacing w:before="182" w:line="289" w:lineRule="auto"/>
        <w:ind w:left="15" w:firstLine="468"/>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4</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z w:val="24"/>
          <w:szCs w:val="24"/>
          <w:highlight w:val="none"/>
        </w:rPr>
        <w:t>．发包人和承包人按《通用合同条款》第</w:t>
      </w:r>
      <w:r>
        <w:rPr>
          <w:rFonts w:ascii="Times New Roman" w:hAnsi="Times New Roman" w:eastAsia="Times New Roman" w:cs="Times New Roman"/>
          <w:color w:val="auto"/>
          <w:sz w:val="24"/>
          <w:szCs w:val="24"/>
          <w:highlight w:val="none"/>
        </w:rPr>
        <w:t>15</w:t>
      </w:r>
      <w:r>
        <w:rPr>
          <w:rFonts w:ascii="宋体" w:hAnsi="宋体" w:eastAsia="宋体" w:cs="宋体"/>
          <w:color w:val="auto"/>
          <w:sz w:val="24"/>
          <w:szCs w:val="24"/>
          <w:highlight w:val="none"/>
        </w:rPr>
        <w:t>条变更合</w:t>
      </w:r>
      <w:r>
        <w:rPr>
          <w:rFonts w:ascii="宋体" w:hAnsi="宋体" w:eastAsia="宋体" w:cs="宋体"/>
          <w:color w:val="auto"/>
          <w:spacing w:val="-1"/>
          <w:sz w:val="24"/>
          <w:szCs w:val="24"/>
          <w:highlight w:val="none"/>
        </w:rPr>
        <w:t>同时，我方承担本担保规</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定的义务不变。</w:t>
      </w:r>
    </w:p>
    <w:p w14:paraId="42D555EC">
      <w:pPr>
        <w:pStyle w:val="8"/>
        <w:spacing w:line="308" w:lineRule="auto"/>
        <w:rPr>
          <w:color w:val="auto"/>
          <w:highlight w:val="none"/>
        </w:rPr>
      </w:pPr>
    </w:p>
    <w:p w14:paraId="1B30751D">
      <w:pPr>
        <w:pStyle w:val="8"/>
        <w:spacing w:line="308" w:lineRule="auto"/>
        <w:rPr>
          <w:color w:val="auto"/>
          <w:highlight w:val="none"/>
        </w:rPr>
      </w:pPr>
    </w:p>
    <w:p w14:paraId="62EF5023">
      <w:pPr>
        <w:pStyle w:val="8"/>
        <w:spacing w:line="309" w:lineRule="auto"/>
        <w:rPr>
          <w:color w:val="auto"/>
          <w:highlight w:val="none"/>
        </w:rPr>
      </w:pPr>
    </w:p>
    <w:p w14:paraId="36155657">
      <w:pPr>
        <w:spacing w:before="78" w:line="219" w:lineRule="auto"/>
        <w:ind w:right="40"/>
        <w:jc w:val="right"/>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担保人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盖单位章）</w:t>
      </w:r>
    </w:p>
    <w:p w14:paraId="69CA23B3">
      <w:pPr>
        <w:pStyle w:val="8"/>
        <w:spacing w:line="257" w:lineRule="auto"/>
        <w:rPr>
          <w:color w:val="auto"/>
          <w:highlight w:val="none"/>
        </w:rPr>
      </w:pPr>
    </w:p>
    <w:p w14:paraId="6C9FB713">
      <w:pPr>
        <w:pStyle w:val="8"/>
        <w:spacing w:line="257" w:lineRule="auto"/>
        <w:rPr>
          <w:color w:val="auto"/>
          <w:highlight w:val="none"/>
        </w:rPr>
      </w:pPr>
    </w:p>
    <w:p w14:paraId="414F8FB7">
      <w:pPr>
        <w:spacing w:before="79" w:line="220" w:lineRule="auto"/>
        <w:ind w:left="332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法定代表人或其委托代理人</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签字）</w:t>
      </w:r>
    </w:p>
    <w:p w14:paraId="6C1C705F">
      <w:pPr>
        <w:pStyle w:val="8"/>
        <w:spacing w:line="257" w:lineRule="auto"/>
        <w:rPr>
          <w:color w:val="auto"/>
          <w:highlight w:val="none"/>
        </w:rPr>
      </w:pPr>
    </w:p>
    <w:p w14:paraId="4B38BC49">
      <w:pPr>
        <w:pStyle w:val="8"/>
        <w:spacing w:line="257" w:lineRule="auto"/>
        <w:rPr>
          <w:color w:val="auto"/>
          <w:highlight w:val="none"/>
        </w:rPr>
      </w:pPr>
    </w:p>
    <w:p w14:paraId="470AF23A">
      <w:pPr>
        <w:spacing w:before="78" w:line="229" w:lineRule="auto"/>
        <w:ind w:left="3489"/>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地</w:t>
      </w:r>
      <w:r>
        <w:rPr>
          <w:rFonts w:ascii="宋体" w:hAnsi="宋体" w:eastAsia="宋体" w:cs="宋体"/>
          <w:color w:val="auto"/>
          <w:spacing w:val="2"/>
          <w:sz w:val="24"/>
          <w:szCs w:val="24"/>
          <w:highlight w:val="none"/>
        </w:rPr>
        <w:t xml:space="preserve">    </w:t>
      </w:r>
      <w:r>
        <w:rPr>
          <w:rFonts w:ascii="宋体" w:hAnsi="宋体" w:eastAsia="宋体" w:cs="宋体"/>
          <w:color w:val="auto"/>
          <w:spacing w:val="-7"/>
          <w:sz w:val="24"/>
          <w:szCs w:val="24"/>
          <w:highlight w:val="none"/>
        </w:rPr>
        <w:t>址：</w:t>
      </w:r>
      <w:r>
        <w:rPr>
          <w:rFonts w:ascii="宋体" w:hAnsi="宋体" w:eastAsia="宋体" w:cs="宋体"/>
          <w:color w:val="auto"/>
          <w:sz w:val="24"/>
          <w:szCs w:val="24"/>
          <w:highlight w:val="none"/>
          <w:u w:val="single" w:color="auto"/>
        </w:rPr>
        <w:t xml:space="preserve">                     </w:t>
      </w:r>
    </w:p>
    <w:p w14:paraId="554C2C9E">
      <w:pPr>
        <w:spacing w:before="169" w:line="220" w:lineRule="auto"/>
        <w:ind w:left="3507"/>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邮政编码：</w:t>
      </w:r>
      <w:r>
        <w:rPr>
          <w:rFonts w:ascii="宋体" w:hAnsi="宋体" w:eastAsia="宋体" w:cs="宋体"/>
          <w:color w:val="auto"/>
          <w:sz w:val="24"/>
          <w:szCs w:val="24"/>
          <w:highlight w:val="none"/>
          <w:u w:val="single" w:color="auto"/>
        </w:rPr>
        <w:t xml:space="preserve">                     </w:t>
      </w:r>
    </w:p>
    <w:p w14:paraId="06E8A6E9">
      <w:pPr>
        <w:spacing w:before="181" w:line="222" w:lineRule="auto"/>
        <w:ind w:left="3517"/>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电</w:t>
      </w:r>
      <w:r>
        <w:rPr>
          <w:rFonts w:ascii="宋体" w:hAnsi="宋体" w:eastAsia="宋体" w:cs="宋体"/>
          <w:color w:val="auto"/>
          <w:spacing w:val="2"/>
          <w:sz w:val="24"/>
          <w:szCs w:val="24"/>
          <w:highlight w:val="none"/>
        </w:rPr>
        <w:t xml:space="preserve">    </w:t>
      </w:r>
      <w:r>
        <w:rPr>
          <w:rFonts w:ascii="宋体" w:hAnsi="宋体" w:eastAsia="宋体" w:cs="宋体"/>
          <w:color w:val="auto"/>
          <w:spacing w:val="-16"/>
          <w:sz w:val="24"/>
          <w:szCs w:val="24"/>
          <w:highlight w:val="none"/>
        </w:rPr>
        <w:t>话：</w:t>
      </w:r>
      <w:r>
        <w:rPr>
          <w:rFonts w:ascii="宋体" w:hAnsi="宋体" w:eastAsia="宋体" w:cs="宋体"/>
          <w:color w:val="auto"/>
          <w:sz w:val="24"/>
          <w:szCs w:val="24"/>
          <w:highlight w:val="none"/>
          <w:u w:val="single" w:color="auto"/>
        </w:rPr>
        <w:t xml:space="preserve">                     </w:t>
      </w:r>
    </w:p>
    <w:p w14:paraId="6EEDDA75">
      <w:pPr>
        <w:spacing w:before="178" w:line="219" w:lineRule="auto"/>
        <w:ind w:left="3487"/>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传</w:t>
      </w:r>
      <w:r>
        <w:rPr>
          <w:rFonts w:ascii="宋体" w:hAnsi="宋体" w:eastAsia="宋体" w:cs="宋体"/>
          <w:color w:val="auto"/>
          <w:spacing w:val="3"/>
          <w:sz w:val="24"/>
          <w:szCs w:val="24"/>
          <w:highlight w:val="none"/>
        </w:rPr>
        <w:t xml:space="preserve">    </w:t>
      </w:r>
      <w:r>
        <w:rPr>
          <w:rFonts w:ascii="宋体" w:hAnsi="宋体" w:eastAsia="宋体" w:cs="宋体"/>
          <w:color w:val="auto"/>
          <w:spacing w:val="-7"/>
          <w:sz w:val="24"/>
          <w:szCs w:val="24"/>
          <w:highlight w:val="none"/>
        </w:rPr>
        <w:t>真：</w:t>
      </w:r>
      <w:r>
        <w:rPr>
          <w:rFonts w:ascii="宋体" w:hAnsi="宋体" w:eastAsia="宋体" w:cs="宋体"/>
          <w:color w:val="auto"/>
          <w:sz w:val="24"/>
          <w:szCs w:val="24"/>
          <w:highlight w:val="none"/>
          <w:u w:val="single" w:color="auto"/>
        </w:rPr>
        <w:t xml:space="preserve">                     </w:t>
      </w:r>
    </w:p>
    <w:p w14:paraId="165BF340">
      <w:pPr>
        <w:pStyle w:val="8"/>
        <w:spacing w:line="257" w:lineRule="auto"/>
        <w:rPr>
          <w:color w:val="auto"/>
          <w:highlight w:val="none"/>
        </w:rPr>
      </w:pPr>
    </w:p>
    <w:p w14:paraId="0CAC3EA0">
      <w:pPr>
        <w:pStyle w:val="8"/>
        <w:spacing w:line="257" w:lineRule="auto"/>
        <w:rPr>
          <w:color w:val="auto"/>
          <w:highlight w:val="none"/>
        </w:rPr>
      </w:pPr>
    </w:p>
    <w:p w14:paraId="5C430230">
      <w:pPr>
        <w:tabs>
          <w:tab w:val="left" w:pos="5410"/>
        </w:tabs>
        <w:spacing w:before="79" w:line="220" w:lineRule="auto"/>
        <w:ind w:left="4691"/>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027BE4CA">
      <w:pPr>
        <w:spacing w:before="175" w:line="219" w:lineRule="auto"/>
        <w:ind w:left="8"/>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注：委托代理人应附授权委托书。</w:t>
      </w:r>
    </w:p>
    <w:p w14:paraId="6F2561B0">
      <w:pPr>
        <w:spacing w:line="219" w:lineRule="auto"/>
        <w:rPr>
          <w:rFonts w:ascii="宋体" w:hAnsi="宋体" w:eastAsia="宋体" w:cs="宋体"/>
          <w:color w:val="auto"/>
          <w:sz w:val="21"/>
          <w:szCs w:val="21"/>
          <w:highlight w:val="none"/>
        </w:rPr>
        <w:sectPr>
          <w:footerReference r:id="rId87" w:type="default"/>
          <w:pgSz w:w="11905" w:h="16840"/>
          <w:pgMar w:top="1417" w:right="1529" w:bottom="1255" w:left="1587" w:header="0" w:footer="1093" w:gutter="0"/>
          <w:pgNumType w:fmt="decimal"/>
          <w:cols w:space="720" w:num="1"/>
        </w:sectPr>
      </w:pPr>
    </w:p>
    <w:p w14:paraId="27DA2B05">
      <w:pPr>
        <w:pStyle w:val="8"/>
        <w:spacing w:line="247" w:lineRule="auto"/>
        <w:rPr>
          <w:color w:val="auto"/>
          <w:highlight w:val="none"/>
        </w:rPr>
      </w:pPr>
    </w:p>
    <w:p w14:paraId="4426D5B2">
      <w:pPr>
        <w:pStyle w:val="8"/>
        <w:spacing w:line="248" w:lineRule="auto"/>
        <w:rPr>
          <w:color w:val="auto"/>
          <w:highlight w:val="none"/>
        </w:rPr>
      </w:pPr>
    </w:p>
    <w:p w14:paraId="591E3EEC">
      <w:pPr>
        <w:spacing w:before="88" w:line="225" w:lineRule="auto"/>
        <w:ind w:left="23"/>
        <w:outlineLvl w:val="2"/>
        <w:rPr>
          <w:rFonts w:ascii="宋体" w:hAnsi="宋体" w:eastAsia="宋体" w:cs="宋体"/>
          <w:color w:val="auto"/>
          <w:sz w:val="27"/>
          <w:szCs w:val="27"/>
          <w:highlight w:val="none"/>
        </w:rPr>
      </w:pPr>
      <w:bookmarkStart w:id="152" w:name="bookmark96"/>
      <w:bookmarkEnd w:id="152"/>
      <w:bookmarkStart w:id="153" w:name="_Toc27575"/>
      <w:r>
        <w:rPr>
          <w:rFonts w:ascii="宋体" w:hAnsi="宋体" w:eastAsia="宋体" w:cs="宋体"/>
          <w:b/>
          <w:bCs/>
          <w:color w:val="auto"/>
          <w:spacing w:val="4"/>
          <w:sz w:val="27"/>
          <w:szCs w:val="27"/>
          <w:highlight w:val="none"/>
        </w:rPr>
        <w:t>附件三</w:t>
      </w:r>
      <w:r>
        <w:rPr>
          <w:rFonts w:ascii="宋体" w:hAnsi="宋体" w:eastAsia="宋体" w:cs="宋体"/>
          <w:color w:val="auto"/>
          <w:spacing w:val="4"/>
          <w:sz w:val="27"/>
          <w:szCs w:val="27"/>
          <w:highlight w:val="none"/>
        </w:rPr>
        <w:t xml:space="preserve">  </w:t>
      </w:r>
      <w:r>
        <w:rPr>
          <w:rFonts w:ascii="宋体" w:hAnsi="宋体" w:eastAsia="宋体" w:cs="宋体"/>
          <w:b/>
          <w:bCs/>
          <w:color w:val="auto"/>
          <w:spacing w:val="4"/>
          <w:sz w:val="27"/>
          <w:szCs w:val="27"/>
          <w:highlight w:val="none"/>
        </w:rPr>
        <w:t>工程廉政责任书（格式）</w:t>
      </w:r>
      <w:bookmarkEnd w:id="153"/>
    </w:p>
    <w:p w14:paraId="345FE6D6">
      <w:pPr>
        <w:pStyle w:val="8"/>
        <w:spacing w:line="248" w:lineRule="auto"/>
        <w:rPr>
          <w:color w:val="auto"/>
          <w:highlight w:val="none"/>
        </w:rPr>
      </w:pPr>
    </w:p>
    <w:p w14:paraId="156D3CC4">
      <w:pPr>
        <w:spacing w:before="78" w:line="219" w:lineRule="auto"/>
        <w:ind w:left="3552"/>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工程廉政责任书</w:t>
      </w:r>
    </w:p>
    <w:p w14:paraId="5EDF9312">
      <w:pPr>
        <w:spacing w:before="182" w:line="359" w:lineRule="auto"/>
        <w:ind w:right="83" w:firstLine="482"/>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为加强工程建设中的廉政建设，保证工程建设高效优质完成，保证建设资金的安</w:t>
      </w:r>
      <w:r>
        <w:rPr>
          <w:rFonts w:ascii="宋体" w:hAnsi="宋体" w:eastAsia="宋体" w:cs="宋体"/>
          <w:color w:val="auto"/>
          <w:sz w:val="24"/>
          <w:szCs w:val="24"/>
          <w:highlight w:val="none"/>
        </w:rPr>
        <w:t xml:space="preserve"> 全和有效使用，</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z w:val="24"/>
          <w:szCs w:val="24"/>
          <w:highlight w:val="none"/>
        </w:rPr>
        <w:t>（项目名称）的发包人</w:t>
      </w:r>
      <w:r>
        <w:rPr>
          <w:rFonts w:ascii="宋体" w:hAnsi="宋体" w:eastAsia="宋体" w:cs="宋体"/>
          <w:color w:val="auto"/>
          <w:spacing w:val="-10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（以下称</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甲方）与承包人</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（以下称乙方</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特订立如下责任</w:t>
      </w:r>
      <w:r>
        <w:rPr>
          <w:rFonts w:ascii="宋体" w:hAnsi="宋体" w:eastAsia="宋体" w:cs="宋体"/>
          <w:color w:val="auto"/>
          <w:spacing w:val="-2"/>
          <w:sz w:val="24"/>
          <w:szCs w:val="24"/>
          <w:highlight w:val="none"/>
        </w:rPr>
        <w:t>书。</w:t>
      </w:r>
    </w:p>
    <w:p w14:paraId="040808BA">
      <w:pPr>
        <w:spacing w:line="219" w:lineRule="auto"/>
        <w:ind w:left="48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第一条</w:t>
      </w:r>
      <w:r>
        <w:rPr>
          <w:rFonts w:ascii="宋体" w:hAnsi="宋体" w:eastAsia="宋体" w:cs="宋体"/>
          <w:color w:val="auto"/>
          <w:spacing w:val="22"/>
          <w:sz w:val="24"/>
          <w:szCs w:val="24"/>
          <w:highlight w:val="none"/>
        </w:rPr>
        <w:t xml:space="preserve">  </w:t>
      </w:r>
      <w:r>
        <w:rPr>
          <w:rFonts w:ascii="宋体" w:hAnsi="宋体" w:eastAsia="宋体" w:cs="宋体"/>
          <w:color w:val="auto"/>
          <w:spacing w:val="-4"/>
          <w:sz w:val="24"/>
          <w:szCs w:val="24"/>
          <w:highlight w:val="none"/>
        </w:rPr>
        <w:t>甲乙双方的权利和义务</w:t>
      </w:r>
    </w:p>
    <w:p w14:paraId="233FB8BD">
      <w:pPr>
        <w:spacing w:before="181" w:line="220" w:lineRule="auto"/>
        <w:ind w:left="6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（一）严格遵守党和国家工程建设的有关法律法规及水利部门的有关规定。</w:t>
      </w:r>
    </w:p>
    <w:p w14:paraId="03BD9673">
      <w:pPr>
        <w:spacing w:before="181" w:line="220" w:lineRule="auto"/>
        <w:ind w:left="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（二）严格执行</w:t>
      </w:r>
      <w:r>
        <w:rPr>
          <w:rFonts w:ascii="宋体" w:hAnsi="宋体" w:eastAsia="宋体" w:cs="宋体"/>
          <w:color w:val="auto"/>
          <w:spacing w:val="-92"/>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1"/>
          <w:sz w:val="24"/>
          <w:szCs w:val="24"/>
          <w:highlight w:val="none"/>
        </w:rPr>
        <w:t xml:space="preserve"> </w:t>
      </w:r>
      <w:r>
        <w:rPr>
          <w:rFonts w:ascii="宋体" w:hAnsi="宋体" w:eastAsia="宋体" w:cs="宋体"/>
          <w:color w:val="auto"/>
          <w:spacing w:val="-5"/>
          <w:sz w:val="24"/>
          <w:szCs w:val="24"/>
          <w:highlight w:val="none"/>
        </w:rPr>
        <w:t>的合同文件，自觉按合同办事。</w:t>
      </w:r>
    </w:p>
    <w:p w14:paraId="3DD460C9">
      <w:pPr>
        <w:spacing w:before="180" w:line="313" w:lineRule="auto"/>
        <w:ind w:left="2" w:right="85" w:firstLine="50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（三）双方的业务活动坚持公开、公平、公正、诚信、透明的</w:t>
      </w:r>
      <w:r>
        <w:rPr>
          <w:rFonts w:ascii="宋体" w:hAnsi="宋体" w:eastAsia="宋体" w:cs="宋体"/>
          <w:color w:val="auto"/>
          <w:spacing w:val="-5"/>
          <w:sz w:val="24"/>
          <w:szCs w:val="24"/>
          <w:highlight w:val="none"/>
        </w:rPr>
        <w:t>原则（除法律认定</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的商业秘密和合同文件另有规定之外</w:t>
      </w:r>
      <w:r>
        <w:rPr>
          <w:rFonts w:ascii="宋体" w:hAnsi="宋体" w:eastAsia="宋体" w:cs="宋体"/>
          <w:color w:val="auto"/>
          <w:spacing w:val="-19"/>
          <w:sz w:val="24"/>
          <w:szCs w:val="24"/>
          <w:highlight w:val="none"/>
        </w:rPr>
        <w:t>），</w:t>
      </w:r>
      <w:r>
        <w:rPr>
          <w:rFonts w:ascii="宋体" w:hAnsi="宋体" w:eastAsia="宋体" w:cs="宋体"/>
          <w:color w:val="auto"/>
          <w:spacing w:val="-2"/>
          <w:sz w:val="24"/>
          <w:szCs w:val="24"/>
          <w:highlight w:val="none"/>
        </w:rPr>
        <w:t>不得损害国家和集体利益，违反工程建设管</w:t>
      </w:r>
      <w:r>
        <w:rPr>
          <w:rFonts w:ascii="宋体" w:hAnsi="宋体" w:eastAsia="宋体" w:cs="宋体"/>
          <w:color w:val="auto"/>
          <w:spacing w:val="1"/>
          <w:sz w:val="24"/>
          <w:szCs w:val="24"/>
          <w:highlight w:val="none"/>
        </w:rPr>
        <w:t xml:space="preserve"> </w:t>
      </w:r>
      <w:r>
        <w:rPr>
          <w:rFonts w:ascii="宋体" w:hAnsi="宋体" w:eastAsia="宋体" w:cs="宋体"/>
          <w:color w:val="auto"/>
          <w:spacing w:val="-9"/>
          <w:sz w:val="24"/>
          <w:szCs w:val="24"/>
          <w:highlight w:val="none"/>
        </w:rPr>
        <w:t>理规定。</w:t>
      </w:r>
    </w:p>
    <w:p w14:paraId="35939DCD">
      <w:pPr>
        <w:spacing w:before="182" w:line="289" w:lineRule="auto"/>
        <w:ind w:right="94" w:firstLine="509"/>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（四）建立健全廉政制度、监督制度和处罚制度， 开展</w:t>
      </w:r>
      <w:r>
        <w:rPr>
          <w:rFonts w:ascii="宋体" w:hAnsi="宋体" w:eastAsia="宋体" w:cs="宋体"/>
          <w:color w:val="auto"/>
          <w:spacing w:val="-8"/>
          <w:sz w:val="24"/>
          <w:szCs w:val="24"/>
          <w:highlight w:val="none"/>
        </w:rPr>
        <w:t>廉政教育，设立廉政告示</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牌，公布举报电话。</w:t>
      </w:r>
    </w:p>
    <w:p w14:paraId="7191FA73">
      <w:pPr>
        <w:spacing w:before="183" w:line="289" w:lineRule="auto"/>
        <w:ind w:right="93" w:firstLine="50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（五）发现对方在业务活动中有违反廉政规定的行为，有及时提醒对方纠正</w:t>
      </w:r>
      <w:r>
        <w:rPr>
          <w:rFonts w:ascii="宋体" w:hAnsi="宋体" w:eastAsia="宋体" w:cs="宋体"/>
          <w:color w:val="auto"/>
          <w:spacing w:val="-5"/>
          <w:sz w:val="24"/>
          <w:szCs w:val="24"/>
          <w:highlight w:val="none"/>
        </w:rPr>
        <w:t>的权</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利和义务。</w:t>
      </w:r>
    </w:p>
    <w:p w14:paraId="76E21A46">
      <w:pPr>
        <w:spacing w:before="180" w:line="289" w:lineRule="auto"/>
        <w:ind w:left="2" w:firstLine="50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（六）发现对方严重违反本责任书义务条款的行</w:t>
      </w:r>
      <w:r>
        <w:rPr>
          <w:rFonts w:ascii="宋体" w:hAnsi="宋体" w:eastAsia="宋体" w:cs="宋体"/>
          <w:color w:val="auto"/>
          <w:spacing w:val="-2"/>
          <w:sz w:val="24"/>
          <w:szCs w:val="24"/>
          <w:highlight w:val="none"/>
        </w:rPr>
        <w:t>为，有向其上级有关部门举报、</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建议给予处理并要求告知处理结果的权利。</w:t>
      </w:r>
    </w:p>
    <w:p w14:paraId="0A45E38F">
      <w:pPr>
        <w:spacing w:before="183" w:line="220" w:lineRule="auto"/>
        <w:ind w:left="48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第二条</w:t>
      </w:r>
      <w:r>
        <w:rPr>
          <w:rFonts w:ascii="宋体" w:hAnsi="宋体" w:eastAsia="宋体" w:cs="宋体"/>
          <w:color w:val="auto"/>
          <w:spacing w:val="22"/>
          <w:sz w:val="24"/>
          <w:szCs w:val="24"/>
          <w:highlight w:val="none"/>
        </w:rPr>
        <w:t xml:space="preserve">  </w:t>
      </w:r>
      <w:r>
        <w:rPr>
          <w:rFonts w:ascii="宋体" w:hAnsi="宋体" w:eastAsia="宋体" w:cs="宋体"/>
          <w:color w:val="auto"/>
          <w:spacing w:val="-6"/>
          <w:sz w:val="24"/>
          <w:szCs w:val="24"/>
          <w:highlight w:val="none"/>
        </w:rPr>
        <w:t>甲方的义务</w:t>
      </w:r>
    </w:p>
    <w:p w14:paraId="1A888034">
      <w:pPr>
        <w:spacing w:before="182" w:line="289" w:lineRule="auto"/>
        <w:ind w:left="3" w:right="18" w:firstLine="48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（一）甲方及其工作人员不得索要或接受乙方的礼金、礼券、</w:t>
      </w:r>
      <w:r>
        <w:rPr>
          <w:rFonts w:ascii="宋体" w:hAnsi="宋体" w:eastAsia="宋体" w:cs="宋体"/>
          <w:color w:val="auto"/>
          <w:spacing w:val="-2"/>
          <w:sz w:val="24"/>
          <w:szCs w:val="24"/>
          <w:highlight w:val="none"/>
        </w:rPr>
        <w:t>有价证券和物品，</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不得到乙方报销任何由甲方或个人支付的费</w:t>
      </w:r>
      <w:r>
        <w:rPr>
          <w:rFonts w:ascii="宋体" w:hAnsi="宋体" w:eastAsia="宋体" w:cs="宋体"/>
          <w:color w:val="auto"/>
          <w:spacing w:val="-3"/>
          <w:sz w:val="24"/>
          <w:szCs w:val="24"/>
          <w:highlight w:val="none"/>
        </w:rPr>
        <w:t>用等。</w:t>
      </w:r>
    </w:p>
    <w:p w14:paraId="5528CAFD">
      <w:pPr>
        <w:spacing w:before="182" w:line="289" w:lineRule="auto"/>
        <w:ind w:left="1" w:right="115" w:firstLine="48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（二）甲方不得有意刁难、拖延承包商工程款， 不得违反规定</w:t>
      </w:r>
      <w:r>
        <w:rPr>
          <w:rFonts w:ascii="宋体" w:hAnsi="宋体" w:eastAsia="宋体" w:cs="宋体"/>
          <w:color w:val="auto"/>
          <w:spacing w:val="-8"/>
          <w:sz w:val="24"/>
          <w:szCs w:val="24"/>
          <w:highlight w:val="none"/>
        </w:rPr>
        <w:t>批拨工程建设费用</w:t>
      </w:r>
      <w:r>
        <w:rPr>
          <w:rFonts w:ascii="宋体" w:hAnsi="宋体" w:eastAsia="宋体" w:cs="宋体"/>
          <w:color w:val="auto"/>
          <w:sz w:val="24"/>
          <w:szCs w:val="24"/>
          <w:highlight w:val="none"/>
        </w:rPr>
        <w:t xml:space="preserve"> </w:t>
      </w:r>
      <w:r>
        <w:rPr>
          <w:rFonts w:ascii="宋体" w:hAnsi="宋体" w:eastAsia="宋体" w:cs="宋体"/>
          <w:color w:val="auto"/>
          <w:spacing w:val="-12"/>
          <w:sz w:val="24"/>
          <w:szCs w:val="24"/>
          <w:highlight w:val="none"/>
        </w:rPr>
        <w:t>等。</w:t>
      </w:r>
    </w:p>
    <w:p w14:paraId="55833F12">
      <w:pPr>
        <w:spacing w:before="182" w:line="289" w:lineRule="auto"/>
        <w:ind w:right="102" w:firstLine="486"/>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（三）甲方工作人员不得参加乙方安排的宴请和娱乐活动；不得接受乙方提供的</w:t>
      </w:r>
      <w:r>
        <w:rPr>
          <w:rFonts w:ascii="宋体" w:hAnsi="宋体" w:eastAsia="宋体" w:cs="宋体"/>
          <w:color w:val="auto"/>
          <w:spacing w:val="13"/>
          <w:sz w:val="24"/>
          <w:szCs w:val="24"/>
          <w:highlight w:val="none"/>
        </w:rPr>
        <w:t xml:space="preserve"> </w:t>
      </w:r>
      <w:r>
        <w:rPr>
          <w:rFonts w:ascii="宋体" w:hAnsi="宋体" w:eastAsia="宋体" w:cs="宋体"/>
          <w:color w:val="auto"/>
          <w:spacing w:val="-3"/>
          <w:sz w:val="24"/>
          <w:szCs w:val="24"/>
          <w:highlight w:val="none"/>
        </w:rPr>
        <w:t>通讯工具、交通工具和高档办公用品等。</w:t>
      </w:r>
    </w:p>
    <w:p w14:paraId="2BF767A7">
      <w:pPr>
        <w:spacing w:before="182" w:line="289" w:lineRule="auto"/>
        <w:ind w:left="4" w:firstLine="48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（四）甲方及其工作人员不得要求或者接受乙方为其住房装修、操办婚丧嫁娶、</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安排配偶子女的工作以及出国出境、旅游等。</w:t>
      </w:r>
    </w:p>
    <w:p w14:paraId="3318F7AD">
      <w:pPr>
        <w:spacing w:before="183" w:line="289" w:lineRule="auto"/>
        <w:ind w:left="2" w:right="95" w:firstLine="48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（五）甲方工作人员的配偶、子女及下属单位</w:t>
      </w:r>
      <w:r>
        <w:rPr>
          <w:rFonts w:ascii="宋体" w:hAnsi="宋体" w:eastAsia="宋体" w:cs="宋体"/>
          <w:color w:val="auto"/>
          <w:spacing w:val="-4"/>
          <w:sz w:val="24"/>
          <w:szCs w:val="24"/>
          <w:highlight w:val="none"/>
        </w:rPr>
        <w:t>不得从事与甲方工程有关的材料设</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备供应、工程分包、劳务等经济活动。</w:t>
      </w:r>
    </w:p>
    <w:p w14:paraId="2987DBE8">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（六）甲方及其工作人员不得以任何理由向乙方推荐</w:t>
      </w:r>
      <w:r>
        <w:rPr>
          <w:rFonts w:ascii="宋体" w:hAnsi="宋体" w:eastAsia="宋体" w:cs="宋体"/>
          <w:color w:val="auto"/>
          <w:spacing w:val="-4"/>
          <w:sz w:val="24"/>
          <w:szCs w:val="24"/>
          <w:highlight w:val="none"/>
        </w:rPr>
        <w:t>分包单位，不得要求乙方购</w:t>
      </w:r>
    </w:p>
    <w:p w14:paraId="015C42BE">
      <w:pPr>
        <w:spacing w:line="219" w:lineRule="auto"/>
        <w:rPr>
          <w:rFonts w:ascii="宋体" w:hAnsi="宋体" w:eastAsia="宋体" w:cs="宋体"/>
          <w:color w:val="auto"/>
          <w:sz w:val="24"/>
          <w:szCs w:val="24"/>
          <w:highlight w:val="none"/>
        </w:rPr>
        <w:sectPr>
          <w:footerReference r:id="rId88" w:type="default"/>
          <w:pgSz w:w="11905" w:h="16840"/>
          <w:pgMar w:top="1417" w:right="1444" w:bottom="1255" w:left="1596" w:header="0" w:footer="1093" w:gutter="0"/>
          <w:pgNumType w:fmt="decimal"/>
          <w:cols w:space="720" w:num="1"/>
        </w:sectPr>
      </w:pPr>
    </w:p>
    <w:p w14:paraId="7A19CCA4">
      <w:pPr>
        <w:pStyle w:val="8"/>
        <w:spacing w:line="247" w:lineRule="auto"/>
        <w:rPr>
          <w:color w:val="auto"/>
          <w:highlight w:val="none"/>
        </w:rPr>
      </w:pPr>
    </w:p>
    <w:p w14:paraId="48B9EACC">
      <w:pPr>
        <w:pStyle w:val="8"/>
        <w:spacing w:line="248" w:lineRule="auto"/>
        <w:rPr>
          <w:color w:val="auto"/>
          <w:highlight w:val="none"/>
        </w:rPr>
      </w:pPr>
    </w:p>
    <w:p w14:paraId="4477320B">
      <w:pPr>
        <w:pStyle w:val="8"/>
        <w:spacing w:line="248" w:lineRule="auto"/>
        <w:rPr>
          <w:color w:val="auto"/>
          <w:highlight w:val="none"/>
        </w:rPr>
      </w:pPr>
    </w:p>
    <w:p w14:paraId="10643396">
      <w:pPr>
        <w:pStyle w:val="8"/>
        <w:spacing w:line="248" w:lineRule="auto"/>
        <w:rPr>
          <w:color w:val="auto"/>
          <w:highlight w:val="none"/>
        </w:rPr>
      </w:pPr>
    </w:p>
    <w:p w14:paraId="52055C5B">
      <w:pPr>
        <w:spacing w:before="78" w:line="219" w:lineRule="auto"/>
        <w:ind w:left="10"/>
        <w:rPr>
          <w:rFonts w:ascii="宋体" w:hAnsi="宋体" w:eastAsia="宋体" w:cs="宋体"/>
          <w:color w:val="auto"/>
          <w:sz w:val="24"/>
          <w:szCs w:val="24"/>
          <w:highlight w:val="none"/>
        </w:rPr>
      </w:pPr>
      <w:bookmarkStart w:id="154" w:name="bookmark419"/>
      <w:bookmarkEnd w:id="154"/>
      <w:r>
        <w:rPr>
          <w:rFonts w:ascii="宋体" w:hAnsi="宋体" w:eastAsia="宋体" w:cs="宋体"/>
          <w:color w:val="auto"/>
          <w:spacing w:val="-4"/>
          <w:sz w:val="24"/>
          <w:szCs w:val="24"/>
          <w:highlight w:val="none"/>
        </w:rPr>
        <w:t>买合同规定外的材料和设备。</w:t>
      </w:r>
    </w:p>
    <w:p w14:paraId="6A0456EC">
      <w:pPr>
        <w:spacing w:before="181" w:line="220" w:lineRule="auto"/>
        <w:ind w:left="48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第三条</w:t>
      </w:r>
      <w:r>
        <w:rPr>
          <w:rFonts w:ascii="宋体" w:hAnsi="宋体" w:eastAsia="宋体" w:cs="宋体"/>
          <w:color w:val="auto"/>
          <w:spacing w:val="16"/>
          <w:sz w:val="24"/>
          <w:szCs w:val="24"/>
          <w:highlight w:val="none"/>
        </w:rPr>
        <w:t xml:space="preserve">  </w:t>
      </w:r>
      <w:r>
        <w:rPr>
          <w:rFonts w:ascii="宋体" w:hAnsi="宋体" w:eastAsia="宋体" w:cs="宋体"/>
          <w:color w:val="auto"/>
          <w:spacing w:val="-5"/>
          <w:sz w:val="24"/>
          <w:szCs w:val="24"/>
          <w:highlight w:val="none"/>
        </w:rPr>
        <w:t>乙方义务</w:t>
      </w:r>
    </w:p>
    <w:p w14:paraId="10121D2E">
      <w:pPr>
        <w:spacing w:before="180" w:line="290" w:lineRule="auto"/>
        <w:ind w:right="12" w:firstLine="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（一）乙方不得以任何理由向甲方及其工作</w:t>
      </w:r>
      <w:r>
        <w:rPr>
          <w:rFonts w:ascii="宋体" w:hAnsi="宋体" w:eastAsia="宋体" w:cs="宋体"/>
          <w:color w:val="auto"/>
          <w:spacing w:val="-4"/>
          <w:sz w:val="24"/>
          <w:szCs w:val="24"/>
          <w:highlight w:val="none"/>
        </w:rPr>
        <w:t>人员行贿或馈赠礼金、礼券、有价证</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券、礼品。</w:t>
      </w:r>
    </w:p>
    <w:p w14:paraId="464B8A48">
      <w:pPr>
        <w:spacing w:before="181" w:line="289" w:lineRule="auto"/>
        <w:ind w:right="1" w:firstLine="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（二）乙方不得以任何名义为甲方及其工作人员报销应由甲方单位或</w:t>
      </w:r>
      <w:r>
        <w:rPr>
          <w:rFonts w:ascii="宋体" w:hAnsi="宋体" w:eastAsia="宋体" w:cs="宋体"/>
          <w:color w:val="auto"/>
          <w:spacing w:val="-4"/>
          <w:sz w:val="24"/>
          <w:szCs w:val="24"/>
          <w:highlight w:val="none"/>
        </w:rPr>
        <w:t>个人支付的</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任何费用。</w:t>
      </w:r>
    </w:p>
    <w:p w14:paraId="0628C90C">
      <w:pPr>
        <w:spacing w:before="181" w:line="220"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（三）乙方不得要求甲方违反规定，批拨、追加工程建设费用等。</w:t>
      </w:r>
    </w:p>
    <w:p w14:paraId="79A25822">
      <w:pPr>
        <w:spacing w:before="181" w:line="220"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（四）乙方不得以任何理由安排甲方工作人员参加宴请及娱乐活动。</w:t>
      </w:r>
    </w:p>
    <w:p w14:paraId="037E1C17">
      <w:pPr>
        <w:spacing w:before="183" w:line="289" w:lineRule="auto"/>
        <w:ind w:left="2" w:right="11" w:firstLine="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（五）乙方不得为甲方单位和个人购置或提供</w:t>
      </w:r>
      <w:r>
        <w:rPr>
          <w:rFonts w:ascii="宋体" w:hAnsi="宋体" w:eastAsia="宋体" w:cs="宋体"/>
          <w:color w:val="auto"/>
          <w:spacing w:val="-4"/>
          <w:sz w:val="24"/>
          <w:szCs w:val="24"/>
          <w:highlight w:val="none"/>
        </w:rPr>
        <w:t>通讯工具、交通工具和高档办公室</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用品等。</w:t>
      </w:r>
    </w:p>
    <w:p w14:paraId="4075C8A2">
      <w:pPr>
        <w:spacing w:before="181" w:line="220" w:lineRule="auto"/>
        <w:ind w:left="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第四条  违约责任</w:t>
      </w:r>
    </w:p>
    <w:p w14:paraId="3F5AD723">
      <w:pPr>
        <w:spacing w:before="179" w:line="313" w:lineRule="auto"/>
        <w:ind w:firstLine="487"/>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（一）甲方及其工作人员违反本责任书第一、二条，</w:t>
      </w:r>
      <w:r>
        <w:rPr>
          <w:rFonts w:ascii="宋体" w:hAnsi="宋体" w:eastAsia="宋体" w:cs="宋体"/>
          <w:color w:val="auto"/>
          <w:spacing w:val="-7"/>
          <w:sz w:val="24"/>
          <w:szCs w:val="24"/>
          <w:highlight w:val="none"/>
        </w:rPr>
        <w:t xml:space="preserve"> 按管理权限，依据有关规定</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给予党纪、政纪或组织处理； 涉嫌犯罪的，移送司法机关追究刑事责任；给乙方单位</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造成经济损失的，应予以赔偿。</w:t>
      </w:r>
    </w:p>
    <w:p w14:paraId="0C0E97F8">
      <w:pPr>
        <w:spacing w:before="184" w:line="324" w:lineRule="auto"/>
        <w:ind w:firstLine="487"/>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（二）乙方及其工作人员违反本责任书第一、三条，按管理权限，依据有关规定，</w:t>
      </w:r>
      <w:r>
        <w:rPr>
          <w:rFonts w:ascii="宋体" w:hAnsi="宋体" w:eastAsia="宋体" w:cs="宋体"/>
          <w:color w:val="auto"/>
          <w:spacing w:val="11"/>
          <w:sz w:val="24"/>
          <w:szCs w:val="24"/>
          <w:highlight w:val="none"/>
        </w:rPr>
        <w:t xml:space="preserve"> </w:t>
      </w:r>
      <w:r>
        <w:rPr>
          <w:rFonts w:ascii="宋体" w:hAnsi="宋体" w:eastAsia="宋体" w:cs="宋体"/>
          <w:color w:val="auto"/>
          <w:spacing w:val="-6"/>
          <w:sz w:val="24"/>
          <w:szCs w:val="24"/>
          <w:highlight w:val="none"/>
        </w:rPr>
        <w:t>给予党纪、政纪、组织处理或停止承接业务处理； 给甲方单位造成经济损失的，应予</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以赔偿；情节严重的，甲方建议有关工程建设主管部门给予乙方</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年内不得参与工</w:t>
      </w:r>
      <w:r>
        <w:rPr>
          <w:rFonts w:ascii="宋体" w:hAnsi="宋体" w:eastAsia="宋体" w:cs="宋体"/>
          <w:color w:val="auto"/>
          <w:spacing w:val="13"/>
          <w:sz w:val="24"/>
          <w:szCs w:val="24"/>
          <w:highlight w:val="none"/>
        </w:rPr>
        <w:t xml:space="preserve"> </w:t>
      </w:r>
      <w:r>
        <w:rPr>
          <w:rFonts w:ascii="宋体" w:hAnsi="宋体" w:eastAsia="宋体" w:cs="宋体"/>
          <w:color w:val="auto"/>
          <w:spacing w:val="-4"/>
          <w:sz w:val="24"/>
          <w:szCs w:val="24"/>
          <w:highlight w:val="none"/>
        </w:rPr>
        <w:t>程建设项目投标的处罚。</w:t>
      </w:r>
    </w:p>
    <w:p w14:paraId="5DC8FFC2">
      <w:pPr>
        <w:spacing w:before="180" w:line="220" w:lineRule="auto"/>
        <w:ind w:left="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第五条  双方约定</w:t>
      </w:r>
    </w:p>
    <w:p w14:paraId="2778DAC7">
      <w:pPr>
        <w:spacing w:before="181" w:line="359" w:lineRule="auto"/>
        <w:ind w:right="1" w:firstLine="48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本责任书由纪检监察机关负责监督执行。纪检监察机关对本责任书执行情况进行</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抽查。提出属于本责任书规定范围的处理意见。</w:t>
      </w:r>
    </w:p>
    <w:p w14:paraId="5F80D624">
      <w:pPr>
        <w:spacing w:before="1" w:line="218" w:lineRule="auto"/>
        <w:ind w:left="448"/>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第六条 本责任书有效期同甲乙双方签署之日起至该工</w:t>
      </w:r>
      <w:r>
        <w:rPr>
          <w:rFonts w:ascii="宋体" w:hAnsi="宋体" w:eastAsia="宋体" w:cs="宋体"/>
          <w:color w:val="auto"/>
          <w:spacing w:val="-17"/>
          <w:sz w:val="24"/>
          <w:szCs w:val="24"/>
          <w:highlight w:val="none"/>
        </w:rPr>
        <w:t>程项目工程款支付完结时止。</w:t>
      </w:r>
    </w:p>
    <w:p w14:paraId="61BC7AEF">
      <w:pPr>
        <w:spacing w:before="183" w:line="289" w:lineRule="auto"/>
        <w:ind w:right="1" w:firstLine="44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第七条 本责任书作为本工程施工承包合同的附件，与工</w:t>
      </w:r>
      <w:r>
        <w:rPr>
          <w:rFonts w:ascii="宋体" w:hAnsi="宋体" w:eastAsia="宋体" w:cs="宋体"/>
          <w:color w:val="auto"/>
          <w:spacing w:val="-6"/>
          <w:sz w:val="24"/>
          <w:szCs w:val="24"/>
          <w:highlight w:val="none"/>
        </w:rPr>
        <w:t>程施工合同具有同等的法</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律效力，经甲、乙双方签署后生效。</w:t>
      </w:r>
    </w:p>
    <w:p w14:paraId="3C223E2D">
      <w:pPr>
        <w:spacing w:before="183" w:line="219" w:lineRule="auto"/>
        <w:ind w:left="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第八条 本责任书甲、乙双方各执一份，送交监督单位一份。</w:t>
      </w:r>
    </w:p>
    <w:p w14:paraId="3FEE1253">
      <w:pPr>
        <w:spacing w:before="182" w:line="219" w:lineRule="auto"/>
        <w:ind w:right="40"/>
        <w:jc w:val="right"/>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甲方</w:t>
      </w:r>
      <w:r>
        <w:rPr>
          <w:rFonts w:ascii="宋体" w:hAnsi="宋体" w:eastAsia="宋体" w:cs="宋体"/>
          <w:color w:val="auto"/>
          <w:spacing w:val="-7"/>
          <w:sz w:val="24"/>
          <w:szCs w:val="24"/>
          <w:highlight w:val="none"/>
        </w:rPr>
        <w:t>：</w:t>
      </w:r>
      <w:r>
        <w:rPr>
          <w:rFonts w:ascii="宋体" w:hAnsi="宋体" w:eastAsia="宋体" w:cs="宋体"/>
          <w:color w:val="auto"/>
          <w:spacing w:val="7"/>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6"/>
          <w:sz w:val="24"/>
          <w:szCs w:val="24"/>
          <w:highlight w:val="none"/>
        </w:rPr>
        <w:t>盖章）</w:t>
      </w:r>
      <w:r>
        <w:rPr>
          <w:rFonts w:ascii="宋体" w:hAnsi="宋体" w:eastAsia="宋体" w:cs="宋体"/>
          <w:color w:val="auto"/>
          <w:spacing w:val="3"/>
          <w:sz w:val="24"/>
          <w:szCs w:val="24"/>
          <w:highlight w:val="none"/>
        </w:rPr>
        <w:t xml:space="preserve">          </w:t>
      </w:r>
      <w:r>
        <w:rPr>
          <w:rFonts w:ascii="宋体" w:hAnsi="宋体" w:eastAsia="宋体" w:cs="宋体"/>
          <w:color w:val="auto"/>
          <w:spacing w:val="-6"/>
          <w:sz w:val="24"/>
          <w:szCs w:val="24"/>
          <w:highlight w:val="none"/>
        </w:rPr>
        <w:t>乙方</w:t>
      </w:r>
      <w:r>
        <w:rPr>
          <w:rFonts w:ascii="宋体" w:hAnsi="宋体" w:eastAsia="宋体" w:cs="宋体"/>
          <w:color w:val="auto"/>
          <w:spacing w:val="-7"/>
          <w:sz w:val="24"/>
          <w:szCs w:val="24"/>
          <w:highlight w:val="none"/>
        </w:rPr>
        <w:t>：</w:t>
      </w:r>
      <w:r>
        <w:rPr>
          <w:rFonts w:ascii="宋体" w:hAnsi="宋体" w:eastAsia="宋体" w:cs="宋体"/>
          <w:color w:val="auto"/>
          <w:spacing w:val="10"/>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6"/>
          <w:sz w:val="24"/>
          <w:szCs w:val="24"/>
          <w:highlight w:val="none"/>
        </w:rPr>
        <w:t>盖章）</w:t>
      </w:r>
    </w:p>
    <w:p w14:paraId="276E3BD9">
      <w:pPr>
        <w:spacing w:before="182" w:line="220" w:lineRule="auto"/>
        <w:ind w:left="481"/>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法定代表人：</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法定代表人：</w:t>
      </w:r>
    </w:p>
    <w:p w14:paraId="67C8C7B4">
      <w:pPr>
        <w:spacing w:before="181" w:line="229" w:lineRule="auto"/>
        <w:ind w:left="48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地址：                                     地址：</w:t>
      </w:r>
    </w:p>
    <w:p w14:paraId="7C00CAF0">
      <w:pPr>
        <w:spacing w:before="169" w:line="222" w:lineRule="auto"/>
        <w:ind w:left="509"/>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电话：</w:t>
      </w:r>
      <w:r>
        <w:rPr>
          <w:rFonts w:ascii="宋体" w:hAnsi="宋体" w:eastAsia="宋体" w:cs="宋体"/>
          <w:color w:val="auto"/>
          <w:spacing w:val="1"/>
          <w:sz w:val="24"/>
          <w:szCs w:val="24"/>
          <w:highlight w:val="none"/>
        </w:rPr>
        <w:t xml:space="preserve">                                    </w:t>
      </w:r>
      <w:r>
        <w:rPr>
          <w:rFonts w:ascii="宋体" w:hAnsi="宋体" w:eastAsia="宋体" w:cs="宋体"/>
          <w:color w:val="auto"/>
          <w:spacing w:val="-17"/>
          <w:sz w:val="24"/>
          <w:szCs w:val="24"/>
          <w:highlight w:val="none"/>
        </w:rPr>
        <w:t>电话：</w:t>
      </w:r>
    </w:p>
    <w:p w14:paraId="1DF905C9">
      <w:pPr>
        <w:spacing w:before="178" w:line="220" w:lineRule="auto"/>
        <w:ind w:left="1561"/>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年</w:t>
      </w:r>
      <w:r>
        <w:rPr>
          <w:rFonts w:ascii="宋体" w:hAnsi="宋体" w:eastAsia="宋体" w:cs="宋体"/>
          <w:color w:val="auto"/>
          <w:spacing w:val="3"/>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13"/>
          <w:sz w:val="24"/>
          <w:szCs w:val="24"/>
          <w:highlight w:val="none"/>
        </w:rPr>
        <w:t xml:space="preserve">    </w:t>
      </w:r>
      <w:r>
        <w:rPr>
          <w:rFonts w:ascii="宋体" w:hAnsi="宋体" w:eastAsia="宋体" w:cs="宋体"/>
          <w:color w:val="auto"/>
          <w:spacing w:val="-9"/>
          <w:sz w:val="24"/>
          <w:szCs w:val="24"/>
          <w:highlight w:val="none"/>
        </w:rPr>
        <w:t xml:space="preserve">日                        </w:t>
      </w:r>
      <w:r>
        <w:rPr>
          <w:rFonts w:ascii="宋体" w:hAnsi="宋体" w:eastAsia="宋体" w:cs="宋体"/>
          <w:color w:val="auto"/>
          <w:spacing w:val="-10"/>
          <w:sz w:val="24"/>
          <w:szCs w:val="24"/>
          <w:highlight w:val="none"/>
        </w:rPr>
        <w:t xml:space="preserve">      年</w:t>
      </w:r>
      <w:r>
        <w:rPr>
          <w:rFonts w:ascii="宋体" w:hAnsi="宋体" w:eastAsia="宋体" w:cs="宋体"/>
          <w:color w:val="auto"/>
          <w:spacing w:val="4"/>
          <w:sz w:val="24"/>
          <w:szCs w:val="24"/>
          <w:highlight w:val="none"/>
        </w:rPr>
        <w:t xml:space="preserve">    </w:t>
      </w:r>
      <w:r>
        <w:rPr>
          <w:rFonts w:ascii="宋体" w:hAnsi="宋体" w:eastAsia="宋体" w:cs="宋体"/>
          <w:color w:val="auto"/>
          <w:spacing w:val="-10"/>
          <w:sz w:val="24"/>
          <w:szCs w:val="24"/>
          <w:highlight w:val="none"/>
        </w:rPr>
        <w:t>月</w:t>
      </w:r>
      <w:r>
        <w:rPr>
          <w:rFonts w:ascii="宋体" w:hAnsi="宋体" w:eastAsia="宋体" w:cs="宋体"/>
          <w:color w:val="auto"/>
          <w:spacing w:val="13"/>
          <w:sz w:val="24"/>
          <w:szCs w:val="24"/>
          <w:highlight w:val="none"/>
        </w:rPr>
        <w:t xml:space="preserve">    </w:t>
      </w:r>
      <w:r>
        <w:rPr>
          <w:rFonts w:ascii="宋体" w:hAnsi="宋体" w:eastAsia="宋体" w:cs="宋体"/>
          <w:color w:val="auto"/>
          <w:spacing w:val="-10"/>
          <w:sz w:val="24"/>
          <w:szCs w:val="24"/>
          <w:highlight w:val="none"/>
        </w:rPr>
        <w:t>日</w:t>
      </w:r>
    </w:p>
    <w:p w14:paraId="427A62C7">
      <w:pPr>
        <w:spacing w:line="220" w:lineRule="auto"/>
        <w:rPr>
          <w:rFonts w:ascii="宋体" w:hAnsi="宋体" w:eastAsia="宋体" w:cs="宋体"/>
          <w:color w:val="auto"/>
          <w:sz w:val="24"/>
          <w:szCs w:val="24"/>
          <w:highlight w:val="none"/>
        </w:rPr>
        <w:sectPr>
          <w:footerReference r:id="rId89" w:type="default"/>
          <w:pgSz w:w="11905" w:h="16840"/>
          <w:pgMar w:top="400" w:right="1527" w:bottom="1255" w:left="1595" w:header="0" w:footer="1093" w:gutter="0"/>
          <w:pgNumType w:fmt="decimal"/>
          <w:cols w:space="720" w:num="1"/>
        </w:sectPr>
      </w:pPr>
    </w:p>
    <w:p w14:paraId="0291A7E7">
      <w:pPr>
        <w:pStyle w:val="8"/>
        <w:spacing w:line="247" w:lineRule="auto"/>
        <w:rPr>
          <w:color w:val="auto"/>
          <w:highlight w:val="none"/>
        </w:rPr>
      </w:pPr>
    </w:p>
    <w:p w14:paraId="36E66D64">
      <w:pPr>
        <w:pStyle w:val="8"/>
        <w:spacing w:line="247" w:lineRule="auto"/>
        <w:rPr>
          <w:color w:val="auto"/>
          <w:highlight w:val="none"/>
        </w:rPr>
      </w:pPr>
    </w:p>
    <w:p w14:paraId="75A78F70">
      <w:pPr>
        <w:pStyle w:val="8"/>
        <w:spacing w:line="247" w:lineRule="auto"/>
        <w:rPr>
          <w:color w:val="auto"/>
          <w:highlight w:val="none"/>
        </w:rPr>
      </w:pPr>
    </w:p>
    <w:p w14:paraId="5E528362">
      <w:pPr>
        <w:pStyle w:val="8"/>
        <w:spacing w:line="248" w:lineRule="auto"/>
        <w:rPr>
          <w:color w:val="auto"/>
          <w:highlight w:val="none"/>
        </w:rPr>
      </w:pPr>
    </w:p>
    <w:p w14:paraId="79126B28">
      <w:pPr>
        <w:spacing w:before="88" w:line="225" w:lineRule="auto"/>
        <w:ind w:left="40"/>
        <w:outlineLvl w:val="2"/>
        <w:rPr>
          <w:rFonts w:ascii="宋体" w:hAnsi="宋体" w:eastAsia="宋体" w:cs="宋体"/>
          <w:color w:val="auto"/>
          <w:sz w:val="27"/>
          <w:szCs w:val="27"/>
          <w:highlight w:val="none"/>
        </w:rPr>
      </w:pPr>
      <w:bookmarkStart w:id="155" w:name="bookmark97"/>
      <w:bookmarkEnd w:id="155"/>
      <w:bookmarkStart w:id="156" w:name="_Toc9196"/>
      <w:r>
        <w:rPr>
          <w:rFonts w:ascii="宋体" w:hAnsi="宋体" w:eastAsia="宋体" w:cs="宋体"/>
          <w:b/>
          <w:bCs/>
          <w:color w:val="auto"/>
          <w:spacing w:val="4"/>
          <w:sz w:val="27"/>
          <w:szCs w:val="27"/>
          <w:highlight w:val="none"/>
        </w:rPr>
        <w:t>附件四</w:t>
      </w:r>
      <w:r>
        <w:rPr>
          <w:rFonts w:ascii="宋体" w:hAnsi="宋体" w:eastAsia="宋体" w:cs="宋体"/>
          <w:color w:val="auto"/>
          <w:spacing w:val="4"/>
          <w:sz w:val="27"/>
          <w:szCs w:val="27"/>
          <w:highlight w:val="none"/>
        </w:rPr>
        <w:t xml:space="preserve">  </w:t>
      </w:r>
      <w:r>
        <w:rPr>
          <w:rFonts w:ascii="宋体" w:hAnsi="宋体" w:eastAsia="宋体" w:cs="宋体"/>
          <w:b/>
          <w:bCs/>
          <w:color w:val="auto"/>
          <w:spacing w:val="4"/>
          <w:sz w:val="27"/>
          <w:szCs w:val="27"/>
          <w:highlight w:val="none"/>
        </w:rPr>
        <w:t>安全生产协议书（格式）</w:t>
      </w:r>
      <w:bookmarkEnd w:id="156"/>
    </w:p>
    <w:p w14:paraId="68A2FAD2">
      <w:pPr>
        <w:pStyle w:val="8"/>
        <w:spacing w:line="248" w:lineRule="auto"/>
        <w:rPr>
          <w:color w:val="auto"/>
          <w:highlight w:val="none"/>
        </w:rPr>
      </w:pPr>
    </w:p>
    <w:p w14:paraId="6EB2B7DE">
      <w:pPr>
        <w:spacing w:before="78" w:line="219" w:lineRule="auto"/>
        <w:ind w:left="3571"/>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安全生产协议书</w:t>
      </w:r>
    </w:p>
    <w:p w14:paraId="0E63DFCD">
      <w:pPr>
        <w:spacing w:before="182" w:line="359" w:lineRule="auto"/>
        <w:ind w:right="93" w:firstLine="499"/>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为在</w:t>
      </w:r>
      <w:r>
        <w:rPr>
          <w:rFonts w:ascii="宋体" w:hAnsi="宋体" w:eastAsia="宋体" w:cs="宋体"/>
          <w:color w:val="auto"/>
          <w:spacing w:val="-119"/>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（项目名称</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3"/>
          <w:sz w:val="24"/>
          <w:szCs w:val="24"/>
          <w:highlight w:val="none"/>
        </w:rPr>
        <w:t>标段名称）施工合同的实施</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过程中创造安全、高效的施工环境， 切实做</w:t>
      </w:r>
      <w:r>
        <w:rPr>
          <w:rFonts w:ascii="宋体" w:hAnsi="宋体" w:eastAsia="宋体" w:cs="宋体"/>
          <w:color w:val="auto"/>
          <w:spacing w:val="-6"/>
          <w:sz w:val="24"/>
          <w:szCs w:val="24"/>
          <w:highlight w:val="none"/>
        </w:rPr>
        <w:t>好本项目的安全管理工作，本项目的发包</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人</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（以下简称“甲方”）与承包人</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（以下简称</w:t>
      </w:r>
      <w:r>
        <w:rPr>
          <w:rFonts w:ascii="宋体" w:hAnsi="宋体" w:eastAsia="宋体" w:cs="宋体"/>
          <w:color w:val="auto"/>
          <w:spacing w:val="11"/>
          <w:sz w:val="24"/>
          <w:szCs w:val="24"/>
          <w:highlight w:val="none"/>
        </w:rPr>
        <w:t xml:space="preserve"> </w:t>
      </w:r>
      <w:r>
        <w:rPr>
          <w:rFonts w:ascii="宋体" w:hAnsi="宋体" w:eastAsia="宋体" w:cs="宋体"/>
          <w:color w:val="auto"/>
          <w:spacing w:val="-3"/>
          <w:sz w:val="24"/>
          <w:szCs w:val="24"/>
          <w:highlight w:val="none"/>
        </w:rPr>
        <w:t>“乙方”</w:t>
      </w:r>
      <w:r>
        <w:rPr>
          <w:rFonts w:ascii="宋体" w:hAnsi="宋体" w:eastAsia="宋体" w:cs="宋体"/>
          <w:color w:val="auto"/>
          <w:sz w:val="24"/>
          <w:szCs w:val="24"/>
          <w:highlight w:val="none"/>
        </w:rPr>
        <w:t>），</w:t>
      </w:r>
      <w:r>
        <w:rPr>
          <w:rFonts w:ascii="宋体" w:hAnsi="宋体" w:eastAsia="宋体" w:cs="宋体"/>
          <w:color w:val="auto"/>
          <w:spacing w:val="-3"/>
          <w:sz w:val="24"/>
          <w:szCs w:val="24"/>
          <w:highlight w:val="none"/>
        </w:rPr>
        <w:t>特此签订安全生产协议书：</w:t>
      </w:r>
    </w:p>
    <w:p w14:paraId="0FF6F11B">
      <w:pPr>
        <w:spacing w:line="219" w:lineRule="auto"/>
        <w:ind w:left="499"/>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第一条</w:t>
      </w:r>
      <w:r>
        <w:rPr>
          <w:rFonts w:ascii="宋体" w:hAnsi="宋体" w:eastAsia="宋体" w:cs="宋体"/>
          <w:color w:val="auto"/>
          <w:spacing w:val="21"/>
          <w:sz w:val="24"/>
          <w:szCs w:val="24"/>
          <w:highlight w:val="none"/>
        </w:rPr>
        <w:t xml:space="preserve">  </w:t>
      </w:r>
      <w:r>
        <w:rPr>
          <w:rFonts w:ascii="宋体" w:hAnsi="宋体" w:eastAsia="宋体" w:cs="宋体"/>
          <w:b/>
          <w:bCs/>
          <w:color w:val="auto"/>
          <w:spacing w:val="-8"/>
          <w:sz w:val="24"/>
          <w:szCs w:val="24"/>
          <w:highlight w:val="none"/>
        </w:rPr>
        <w:t>甲方职责</w:t>
      </w:r>
    </w:p>
    <w:p w14:paraId="22B6D525">
      <w:pPr>
        <w:spacing w:before="181" w:line="290" w:lineRule="auto"/>
        <w:ind w:left="17" w:right="102" w:firstLine="4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（一）遵守国家有关安全生产的法律法规，认</w:t>
      </w:r>
      <w:r>
        <w:rPr>
          <w:rFonts w:ascii="宋体" w:hAnsi="宋体" w:eastAsia="宋体" w:cs="宋体"/>
          <w:color w:val="auto"/>
          <w:spacing w:val="-4"/>
          <w:sz w:val="24"/>
          <w:szCs w:val="24"/>
          <w:highlight w:val="none"/>
        </w:rPr>
        <w:t>真执行工程承包合同中的有关安全</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要求。</w:t>
      </w:r>
    </w:p>
    <w:p w14:paraId="194105AF">
      <w:pPr>
        <w:spacing w:before="180" w:line="289" w:lineRule="auto"/>
        <w:ind w:left="22" w:right="8" w:firstLine="48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（二）按照“安全第一、预防为主、综合治理”和坚持“管生产必须</w:t>
      </w:r>
      <w:r>
        <w:rPr>
          <w:rFonts w:ascii="宋体" w:hAnsi="宋体" w:eastAsia="宋体" w:cs="宋体"/>
          <w:color w:val="auto"/>
          <w:spacing w:val="-4"/>
          <w:sz w:val="24"/>
          <w:szCs w:val="24"/>
          <w:highlight w:val="none"/>
        </w:rPr>
        <w:t>管安全”的</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原则进行安全生产管理，做到生产与安全工作同时计划、布置、检查、总结和评比。</w:t>
      </w:r>
    </w:p>
    <w:p w14:paraId="4ACEC3B5">
      <w:pPr>
        <w:spacing w:before="184" w:line="289" w:lineRule="auto"/>
        <w:ind w:left="29" w:right="8" w:firstLine="47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（三）重要的安全设施必须坚持与主体工程“三同时”的原则，即：同时设计、</w:t>
      </w:r>
      <w:r>
        <w:rPr>
          <w:rFonts w:ascii="宋体" w:hAnsi="宋体" w:eastAsia="宋体" w:cs="宋体"/>
          <w:color w:val="auto"/>
          <w:spacing w:val="9"/>
          <w:sz w:val="24"/>
          <w:szCs w:val="24"/>
          <w:highlight w:val="none"/>
        </w:rPr>
        <w:t xml:space="preserve"> </w:t>
      </w:r>
      <w:r>
        <w:rPr>
          <w:rFonts w:ascii="宋体" w:hAnsi="宋体" w:eastAsia="宋体" w:cs="宋体"/>
          <w:color w:val="auto"/>
          <w:spacing w:val="-3"/>
          <w:sz w:val="24"/>
          <w:szCs w:val="24"/>
          <w:highlight w:val="none"/>
        </w:rPr>
        <w:t>审批，同时施工，同时验收、投入使用。</w:t>
      </w:r>
    </w:p>
    <w:p w14:paraId="5D100A71">
      <w:pPr>
        <w:spacing w:before="181" w:line="219" w:lineRule="auto"/>
        <w:ind w:left="50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（四）定期召开安全生产调度会，及时传达中央及地方有关安全生产的精神。</w:t>
      </w:r>
    </w:p>
    <w:p w14:paraId="2887F4B1">
      <w:pPr>
        <w:spacing w:before="182" w:line="220" w:lineRule="auto"/>
        <w:jc w:val="right"/>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（五）组织对乙方施工现场安全生产检查，监督</w:t>
      </w:r>
      <w:r>
        <w:rPr>
          <w:rFonts w:ascii="宋体" w:hAnsi="宋体" w:eastAsia="宋体" w:cs="宋体"/>
          <w:color w:val="auto"/>
          <w:spacing w:val="-14"/>
          <w:sz w:val="24"/>
          <w:szCs w:val="24"/>
          <w:highlight w:val="none"/>
        </w:rPr>
        <w:t>乙方及时处理发现的各种安全隐患。</w:t>
      </w:r>
    </w:p>
    <w:p w14:paraId="59135010">
      <w:pPr>
        <w:spacing w:before="181" w:line="220" w:lineRule="auto"/>
        <w:ind w:left="499"/>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第二条</w:t>
      </w:r>
      <w:r>
        <w:rPr>
          <w:rFonts w:ascii="宋体" w:hAnsi="宋体" w:eastAsia="宋体" w:cs="宋体"/>
          <w:color w:val="auto"/>
          <w:spacing w:val="17"/>
          <w:sz w:val="24"/>
          <w:szCs w:val="24"/>
          <w:highlight w:val="none"/>
        </w:rPr>
        <w:t xml:space="preserve">  </w:t>
      </w:r>
      <w:r>
        <w:rPr>
          <w:rFonts w:ascii="宋体" w:hAnsi="宋体" w:eastAsia="宋体" w:cs="宋体"/>
          <w:b/>
          <w:bCs/>
          <w:color w:val="auto"/>
          <w:spacing w:val="-7"/>
          <w:sz w:val="24"/>
          <w:szCs w:val="24"/>
          <w:highlight w:val="none"/>
        </w:rPr>
        <w:t>乙方职责</w:t>
      </w:r>
    </w:p>
    <w:p w14:paraId="3B6D8260">
      <w:pPr>
        <w:spacing w:before="182" w:line="289" w:lineRule="auto"/>
        <w:ind w:left="17" w:right="102" w:firstLine="4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（一）严格遵守国家有关安全生产的法律法规</w:t>
      </w:r>
      <w:r>
        <w:rPr>
          <w:rFonts w:ascii="宋体" w:hAnsi="宋体" w:eastAsia="宋体" w:cs="宋体"/>
          <w:color w:val="auto"/>
          <w:spacing w:val="-4"/>
          <w:sz w:val="24"/>
          <w:szCs w:val="24"/>
          <w:highlight w:val="none"/>
        </w:rPr>
        <w:t>、水利部颁发的有关工程施工安全</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技术规程的安全生产规定，认真执行工程承包合同中的有关安全要求。</w:t>
      </w:r>
    </w:p>
    <w:p w14:paraId="05E4C437">
      <w:pPr>
        <w:spacing w:before="182" w:line="331" w:lineRule="auto"/>
        <w:ind w:left="15" w:right="8" w:firstLine="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（二）坚持“安全第一、预防为主、综合治理”和坚持“管生产必须</w:t>
      </w:r>
      <w:r>
        <w:rPr>
          <w:rFonts w:ascii="宋体" w:hAnsi="宋体" w:eastAsia="宋体" w:cs="宋体"/>
          <w:color w:val="auto"/>
          <w:spacing w:val="-4"/>
          <w:sz w:val="24"/>
          <w:szCs w:val="24"/>
          <w:highlight w:val="none"/>
        </w:rPr>
        <w:t>管安全”的</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原则，加强安全生产宣传教育，增强全员安全生产意识，建立健全各项安全生产的管</w:t>
      </w:r>
      <w:r>
        <w:rPr>
          <w:rFonts w:ascii="宋体" w:hAnsi="宋体" w:eastAsia="宋体" w:cs="宋体"/>
          <w:color w:val="auto"/>
          <w:spacing w:val="8"/>
          <w:sz w:val="24"/>
          <w:szCs w:val="24"/>
          <w:highlight w:val="none"/>
        </w:rPr>
        <w:t xml:space="preserve"> </w:t>
      </w:r>
      <w:r>
        <w:rPr>
          <w:rFonts w:ascii="宋体" w:hAnsi="宋体" w:eastAsia="宋体" w:cs="宋体"/>
          <w:color w:val="auto"/>
          <w:spacing w:val="-3"/>
          <w:sz w:val="24"/>
          <w:szCs w:val="24"/>
          <w:highlight w:val="none"/>
        </w:rPr>
        <w:t>理机构和安全生产管理制度，配备专职及兼职安全检查人员，有组织有领导地开展安</w:t>
      </w:r>
      <w:r>
        <w:rPr>
          <w:rFonts w:ascii="宋体" w:hAnsi="宋体" w:eastAsia="宋体" w:cs="宋体"/>
          <w:color w:val="auto"/>
          <w:spacing w:val="10"/>
          <w:sz w:val="24"/>
          <w:szCs w:val="24"/>
          <w:highlight w:val="none"/>
        </w:rPr>
        <w:t xml:space="preserve"> </w:t>
      </w:r>
      <w:r>
        <w:rPr>
          <w:rFonts w:ascii="宋体" w:hAnsi="宋体" w:eastAsia="宋体" w:cs="宋体"/>
          <w:color w:val="auto"/>
          <w:spacing w:val="-6"/>
          <w:sz w:val="24"/>
          <w:szCs w:val="24"/>
          <w:highlight w:val="none"/>
        </w:rPr>
        <w:t>全生产活动。各级领导、工程技术人员、生产管理人员和具体操作人员， 必须熟悉和</w:t>
      </w:r>
      <w:r>
        <w:rPr>
          <w:rFonts w:ascii="宋体" w:hAnsi="宋体" w:eastAsia="宋体" w:cs="宋体"/>
          <w:color w:val="auto"/>
          <w:spacing w:val="7"/>
          <w:sz w:val="24"/>
          <w:szCs w:val="24"/>
          <w:highlight w:val="none"/>
        </w:rPr>
        <w:t xml:space="preserve"> </w:t>
      </w:r>
      <w:r>
        <w:rPr>
          <w:rFonts w:ascii="宋体" w:hAnsi="宋体" w:eastAsia="宋体" w:cs="宋体"/>
          <w:color w:val="auto"/>
          <w:sz w:val="24"/>
          <w:szCs w:val="24"/>
          <w:highlight w:val="none"/>
        </w:rPr>
        <w:t>遵守本条款的各项规定，做到生产与安全工</w:t>
      </w:r>
      <w:r>
        <w:rPr>
          <w:rFonts w:ascii="宋体" w:hAnsi="宋体" w:eastAsia="宋体" w:cs="宋体"/>
          <w:color w:val="auto"/>
          <w:spacing w:val="-1"/>
          <w:sz w:val="24"/>
          <w:szCs w:val="24"/>
          <w:highlight w:val="none"/>
        </w:rPr>
        <w:t>作同时计划、布置、检查、总结和评比。</w:t>
      </w:r>
    </w:p>
    <w:p w14:paraId="41A30F1F">
      <w:pPr>
        <w:spacing w:before="181" w:line="336" w:lineRule="auto"/>
        <w:ind w:left="16" w:right="24" w:firstLine="486"/>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（三）建立健全安全生产责任制。从派往项目实施的项目负责人到生产工人（包</w:t>
      </w:r>
      <w:r>
        <w:rPr>
          <w:rFonts w:ascii="宋体" w:hAnsi="宋体" w:eastAsia="宋体" w:cs="宋体"/>
          <w:color w:val="auto"/>
          <w:spacing w:val="18"/>
          <w:sz w:val="24"/>
          <w:szCs w:val="24"/>
          <w:highlight w:val="none"/>
        </w:rPr>
        <w:t xml:space="preserve"> </w:t>
      </w:r>
      <w:r>
        <w:rPr>
          <w:rFonts w:ascii="宋体" w:hAnsi="宋体" w:eastAsia="宋体" w:cs="宋体"/>
          <w:color w:val="auto"/>
          <w:spacing w:val="-9"/>
          <w:sz w:val="24"/>
          <w:szCs w:val="24"/>
          <w:highlight w:val="none"/>
        </w:rPr>
        <w:t>括临时雇请的民工）的安全生产管理系统必须做到纵向到底，一环不漏；各职能部门、</w:t>
      </w:r>
      <w:r>
        <w:rPr>
          <w:rFonts w:ascii="宋体" w:hAnsi="宋体" w:eastAsia="宋体" w:cs="宋体"/>
          <w:color w:val="auto"/>
          <w:spacing w:val="12"/>
          <w:sz w:val="24"/>
          <w:szCs w:val="24"/>
          <w:highlight w:val="none"/>
        </w:rPr>
        <w:t xml:space="preserve"> </w:t>
      </w:r>
      <w:r>
        <w:rPr>
          <w:rFonts w:ascii="宋体" w:hAnsi="宋体" w:eastAsia="宋体" w:cs="宋体"/>
          <w:color w:val="auto"/>
          <w:spacing w:val="-3"/>
          <w:sz w:val="24"/>
          <w:szCs w:val="24"/>
          <w:highlight w:val="none"/>
        </w:rPr>
        <w:t>人员的安全生产责任制做到横向到边，人人有责。项目负责人是安全生产的第一责任</w:t>
      </w:r>
      <w:r>
        <w:rPr>
          <w:rFonts w:ascii="宋体" w:hAnsi="宋体" w:eastAsia="宋体" w:cs="宋体"/>
          <w:color w:val="auto"/>
          <w:spacing w:val="9"/>
          <w:sz w:val="24"/>
          <w:szCs w:val="24"/>
          <w:highlight w:val="none"/>
        </w:rPr>
        <w:t xml:space="preserve"> </w:t>
      </w:r>
      <w:r>
        <w:rPr>
          <w:rFonts w:ascii="宋体" w:hAnsi="宋体" w:eastAsia="宋体" w:cs="宋体"/>
          <w:color w:val="auto"/>
          <w:spacing w:val="-5"/>
          <w:sz w:val="24"/>
          <w:szCs w:val="24"/>
          <w:highlight w:val="none"/>
        </w:rPr>
        <w:t>人。现场设置的安全机构，</w:t>
      </w:r>
      <w:r>
        <w:rPr>
          <w:rFonts w:ascii="宋体" w:hAnsi="宋体" w:eastAsia="宋体" w:cs="宋体"/>
          <w:color w:val="auto"/>
          <w:spacing w:val="59"/>
          <w:sz w:val="24"/>
          <w:szCs w:val="24"/>
          <w:highlight w:val="none"/>
        </w:rPr>
        <w:t xml:space="preserve"> </w:t>
      </w:r>
      <w:r>
        <w:rPr>
          <w:rFonts w:ascii="宋体" w:hAnsi="宋体" w:eastAsia="宋体" w:cs="宋体"/>
          <w:color w:val="auto"/>
          <w:spacing w:val="-5"/>
          <w:sz w:val="24"/>
          <w:szCs w:val="24"/>
          <w:highlight w:val="none"/>
        </w:rPr>
        <w:t>应按施工人员的</w:t>
      </w:r>
      <w:r>
        <w:rPr>
          <w:rFonts w:ascii="Times New Roman" w:hAnsi="Times New Roman" w:eastAsia="Times New Roman" w:cs="Times New Roman"/>
          <w:color w:val="auto"/>
          <w:spacing w:val="-5"/>
          <w:sz w:val="24"/>
          <w:szCs w:val="24"/>
          <w:highlight w:val="none"/>
        </w:rPr>
        <w:t>1%</w:t>
      </w: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3%</w:t>
      </w:r>
      <w:r>
        <w:rPr>
          <w:rFonts w:ascii="宋体" w:hAnsi="宋体" w:eastAsia="宋体" w:cs="宋体"/>
          <w:color w:val="auto"/>
          <w:spacing w:val="-5"/>
          <w:sz w:val="24"/>
          <w:szCs w:val="24"/>
          <w:highlight w:val="none"/>
        </w:rPr>
        <w:t>配备安</w:t>
      </w:r>
      <w:r>
        <w:rPr>
          <w:rFonts w:ascii="宋体" w:hAnsi="宋体" w:eastAsia="宋体" w:cs="宋体"/>
          <w:color w:val="auto"/>
          <w:spacing w:val="-6"/>
          <w:sz w:val="24"/>
          <w:szCs w:val="24"/>
          <w:highlight w:val="none"/>
        </w:rPr>
        <w:t>全员，专职负责所有员工</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的安全和治安保卫工作及预防事故的发生。安全机构人员，有权</w:t>
      </w:r>
      <w:r>
        <w:rPr>
          <w:rFonts w:ascii="宋体" w:hAnsi="宋体" w:eastAsia="宋体" w:cs="宋体"/>
          <w:color w:val="auto"/>
          <w:spacing w:val="-8"/>
          <w:sz w:val="24"/>
          <w:szCs w:val="24"/>
          <w:highlight w:val="none"/>
        </w:rPr>
        <w:t>按有关规定发布指令，</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并采取保护性措施防止事故发生。</w:t>
      </w:r>
    </w:p>
    <w:p w14:paraId="0523D055">
      <w:pPr>
        <w:spacing w:line="336" w:lineRule="auto"/>
        <w:rPr>
          <w:rFonts w:ascii="宋体" w:hAnsi="宋体" w:eastAsia="宋体" w:cs="宋体"/>
          <w:color w:val="auto"/>
          <w:sz w:val="24"/>
          <w:szCs w:val="24"/>
          <w:highlight w:val="none"/>
        </w:rPr>
        <w:sectPr>
          <w:footerReference r:id="rId90" w:type="default"/>
          <w:pgSz w:w="11905" w:h="16840"/>
          <w:pgMar w:top="400" w:right="1436" w:bottom="1255" w:left="1580" w:header="0" w:footer="1093" w:gutter="0"/>
          <w:pgNumType w:fmt="decimal"/>
          <w:cols w:space="720" w:num="1"/>
        </w:sectPr>
      </w:pPr>
    </w:p>
    <w:p w14:paraId="66FF3ABA">
      <w:pPr>
        <w:pStyle w:val="8"/>
        <w:spacing w:line="247" w:lineRule="auto"/>
        <w:rPr>
          <w:color w:val="auto"/>
          <w:highlight w:val="none"/>
        </w:rPr>
      </w:pPr>
    </w:p>
    <w:p w14:paraId="28195E45">
      <w:pPr>
        <w:pStyle w:val="8"/>
        <w:spacing w:line="248" w:lineRule="auto"/>
        <w:rPr>
          <w:color w:val="auto"/>
          <w:highlight w:val="none"/>
        </w:rPr>
      </w:pPr>
    </w:p>
    <w:p w14:paraId="6152A622">
      <w:pPr>
        <w:pStyle w:val="8"/>
        <w:spacing w:line="248" w:lineRule="auto"/>
        <w:rPr>
          <w:color w:val="auto"/>
          <w:highlight w:val="none"/>
        </w:rPr>
      </w:pPr>
    </w:p>
    <w:p w14:paraId="001BB929">
      <w:pPr>
        <w:pStyle w:val="8"/>
        <w:spacing w:line="248" w:lineRule="auto"/>
        <w:rPr>
          <w:color w:val="auto"/>
          <w:highlight w:val="none"/>
        </w:rPr>
      </w:pPr>
    </w:p>
    <w:p w14:paraId="1CC67BDD">
      <w:pPr>
        <w:spacing w:before="78" w:line="289" w:lineRule="auto"/>
        <w:ind w:firstLine="486"/>
        <w:rPr>
          <w:rFonts w:ascii="宋体" w:hAnsi="宋体" w:eastAsia="宋体" w:cs="宋体"/>
          <w:color w:val="auto"/>
          <w:sz w:val="24"/>
          <w:szCs w:val="24"/>
          <w:highlight w:val="none"/>
        </w:rPr>
      </w:pPr>
      <w:bookmarkStart w:id="157" w:name="bookmark420"/>
      <w:bookmarkEnd w:id="157"/>
      <w:r>
        <w:rPr>
          <w:rFonts w:ascii="宋体" w:hAnsi="宋体" w:eastAsia="宋体" w:cs="宋体"/>
          <w:color w:val="auto"/>
          <w:spacing w:val="-7"/>
          <w:sz w:val="24"/>
          <w:szCs w:val="24"/>
          <w:highlight w:val="none"/>
        </w:rPr>
        <w:t>（四）乙方在任何时候都应采取各种合理的预防措施，防</w:t>
      </w:r>
      <w:r>
        <w:rPr>
          <w:rFonts w:ascii="宋体" w:hAnsi="宋体" w:eastAsia="宋体" w:cs="宋体"/>
          <w:color w:val="auto"/>
          <w:spacing w:val="-8"/>
          <w:sz w:val="24"/>
          <w:szCs w:val="24"/>
          <w:highlight w:val="none"/>
        </w:rPr>
        <w:t>止其员工发生任何违法、</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违禁、暴力或妨碍治安的行为。</w:t>
      </w:r>
    </w:p>
    <w:p w14:paraId="614F5303">
      <w:pPr>
        <w:spacing w:before="180" w:line="336" w:lineRule="auto"/>
        <w:ind w:right="2" w:firstLine="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（五）乙方必须具有劳动安全管理部门颁发的安全生产证书，参加施工的人员，</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必须接受安全技术教育，熟知和遵守本工种的各项安全技术操作规程，定期进行安全</w:t>
      </w:r>
      <w:r>
        <w:rPr>
          <w:rFonts w:ascii="宋体" w:hAnsi="宋体" w:eastAsia="宋体" w:cs="宋体"/>
          <w:color w:val="auto"/>
          <w:spacing w:val="9"/>
          <w:sz w:val="24"/>
          <w:szCs w:val="24"/>
          <w:highlight w:val="none"/>
        </w:rPr>
        <w:t xml:space="preserve"> </w:t>
      </w:r>
      <w:r>
        <w:rPr>
          <w:rFonts w:ascii="宋体" w:hAnsi="宋体" w:eastAsia="宋体" w:cs="宋体"/>
          <w:color w:val="auto"/>
          <w:spacing w:val="-1"/>
          <w:sz w:val="24"/>
          <w:szCs w:val="24"/>
          <w:highlight w:val="none"/>
        </w:rPr>
        <w:t>技术考核，合格者方准上岗操作。对于从事电气、起重、建筑登高架设作业、锅炉、</w:t>
      </w:r>
      <w:r>
        <w:rPr>
          <w:rFonts w:ascii="宋体" w:hAnsi="宋体" w:eastAsia="宋体" w:cs="宋体"/>
          <w:color w:val="auto"/>
          <w:spacing w:val="18"/>
          <w:sz w:val="24"/>
          <w:szCs w:val="24"/>
          <w:highlight w:val="none"/>
        </w:rPr>
        <w:t xml:space="preserve"> </w:t>
      </w:r>
      <w:r>
        <w:rPr>
          <w:rFonts w:ascii="宋体" w:hAnsi="宋体" w:eastAsia="宋体" w:cs="宋体"/>
          <w:color w:val="auto"/>
          <w:spacing w:val="-8"/>
          <w:sz w:val="24"/>
          <w:szCs w:val="24"/>
          <w:highlight w:val="none"/>
        </w:rPr>
        <w:t>压力容器、焊接、机动车驾驶、爆破等特殊工种的人员，</w:t>
      </w:r>
      <w:r>
        <w:rPr>
          <w:rFonts w:ascii="宋体" w:hAnsi="宋体" w:eastAsia="宋体" w:cs="宋体"/>
          <w:color w:val="auto"/>
          <w:spacing w:val="60"/>
          <w:sz w:val="24"/>
          <w:szCs w:val="24"/>
          <w:highlight w:val="none"/>
        </w:rPr>
        <w:t xml:space="preserve"> </w:t>
      </w:r>
      <w:r>
        <w:rPr>
          <w:rFonts w:ascii="宋体" w:hAnsi="宋体" w:eastAsia="宋体" w:cs="宋体"/>
          <w:color w:val="auto"/>
          <w:spacing w:val="-8"/>
          <w:sz w:val="24"/>
          <w:szCs w:val="24"/>
          <w:highlight w:val="none"/>
        </w:rPr>
        <w:t>需经过专业培训，获</w:t>
      </w:r>
      <w:r>
        <w:rPr>
          <w:rFonts w:ascii="宋体" w:hAnsi="宋体" w:eastAsia="宋体" w:cs="宋体"/>
          <w:color w:val="auto"/>
          <w:spacing w:val="-9"/>
          <w:sz w:val="24"/>
          <w:szCs w:val="24"/>
          <w:highlight w:val="none"/>
        </w:rPr>
        <w:t>得《安</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全操作合格证》后，</w:t>
      </w:r>
      <w:r>
        <w:rPr>
          <w:rFonts w:ascii="宋体" w:hAnsi="宋体" w:eastAsia="宋体" w:cs="宋体"/>
          <w:color w:val="auto"/>
          <w:spacing w:val="-26"/>
          <w:sz w:val="24"/>
          <w:szCs w:val="24"/>
          <w:highlight w:val="none"/>
        </w:rPr>
        <w:t xml:space="preserve"> </w:t>
      </w:r>
      <w:r>
        <w:rPr>
          <w:rFonts w:ascii="宋体" w:hAnsi="宋体" w:eastAsia="宋体" w:cs="宋体"/>
          <w:color w:val="auto"/>
          <w:spacing w:val="-8"/>
          <w:sz w:val="24"/>
          <w:szCs w:val="24"/>
          <w:highlight w:val="none"/>
        </w:rPr>
        <w:t>方准持证上岗。施工现场如出现特种作</w:t>
      </w:r>
      <w:r>
        <w:rPr>
          <w:rFonts w:ascii="宋体" w:hAnsi="宋体" w:eastAsia="宋体" w:cs="宋体"/>
          <w:color w:val="auto"/>
          <w:spacing w:val="-9"/>
          <w:sz w:val="24"/>
          <w:szCs w:val="24"/>
          <w:highlight w:val="none"/>
        </w:rPr>
        <w:t>业无证操作现象时， 项目</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负责人必须承担管理责任。</w:t>
      </w:r>
    </w:p>
    <w:p w14:paraId="0B1F2759">
      <w:pPr>
        <w:spacing w:before="183" w:line="312" w:lineRule="auto"/>
        <w:ind w:right="18" w:firstLine="486"/>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（六）对于易燃易爆的材料除应专门妥善保管之外，还应配备有足够的消防设施，</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所有施工人员都应熟悉消防设备的性能和使用方法；乙方不得将任何种类的给予、易</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rPr>
        <w:t>货或以其他方式转让给任何人，或允许、容忍上述同样行为。</w:t>
      </w:r>
    </w:p>
    <w:p w14:paraId="26D32DF6">
      <w:pPr>
        <w:spacing w:before="183" w:line="289" w:lineRule="auto"/>
        <w:ind w:left="11" w:right="100" w:firstLine="475"/>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（七）操作人员上岗，必须按规定穿戴防护用品。施工负责人和安全检查员应随</w:t>
      </w:r>
      <w:r>
        <w:rPr>
          <w:rFonts w:ascii="宋体" w:hAnsi="宋体" w:eastAsia="宋体" w:cs="宋体"/>
          <w:color w:val="auto"/>
          <w:spacing w:val="16"/>
          <w:sz w:val="24"/>
          <w:szCs w:val="24"/>
          <w:highlight w:val="none"/>
        </w:rPr>
        <w:t xml:space="preserve"> </w:t>
      </w:r>
      <w:r>
        <w:rPr>
          <w:rFonts w:ascii="宋体" w:hAnsi="宋体" w:eastAsia="宋体" w:cs="宋体"/>
          <w:color w:val="auto"/>
          <w:spacing w:val="-2"/>
          <w:sz w:val="24"/>
          <w:szCs w:val="24"/>
          <w:highlight w:val="none"/>
        </w:rPr>
        <w:t>时检查劳动防护用品的穿戴情况，不按规定穿戴防护用品的人员不得上岗。</w:t>
      </w:r>
    </w:p>
    <w:p w14:paraId="55F74414">
      <w:pPr>
        <w:spacing w:before="182" w:line="289" w:lineRule="auto"/>
        <w:ind w:right="96" w:firstLine="4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（八）所有施工机具设备和高空作业的设备均</w:t>
      </w:r>
      <w:r>
        <w:rPr>
          <w:rFonts w:ascii="宋体" w:hAnsi="宋体" w:eastAsia="宋体" w:cs="宋体"/>
          <w:color w:val="auto"/>
          <w:spacing w:val="-4"/>
          <w:sz w:val="24"/>
          <w:szCs w:val="24"/>
          <w:highlight w:val="none"/>
        </w:rPr>
        <w:t>应定期检查，并有安全员的签字记</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录，保证其经常处于完好状态；不合格的机具、设备和劳</w:t>
      </w:r>
      <w:r>
        <w:rPr>
          <w:rFonts w:ascii="宋体" w:hAnsi="宋体" w:eastAsia="宋体" w:cs="宋体"/>
          <w:color w:val="auto"/>
          <w:spacing w:val="-2"/>
          <w:sz w:val="24"/>
          <w:szCs w:val="24"/>
          <w:highlight w:val="none"/>
        </w:rPr>
        <w:t>动保护用品严禁使用。</w:t>
      </w:r>
    </w:p>
    <w:p w14:paraId="540192A2">
      <w:pPr>
        <w:spacing w:before="183" w:line="289" w:lineRule="auto"/>
        <w:ind w:right="99" w:firstLine="486"/>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（九）所有施工中采用新技术，新工艺、新设备、新材料时， 必须制定相应的安</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rPr>
        <w:t>全技术措施，施工现场必须具有相关的安全标志牌。</w:t>
      </w:r>
    </w:p>
    <w:p w14:paraId="08093E2A">
      <w:pPr>
        <w:spacing w:before="182" w:line="324" w:lineRule="auto"/>
        <w:ind w:right="87" w:firstLine="4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（十）乙方必须按照本工程项目特点，组织制定本工程实施中的生</w:t>
      </w:r>
      <w:r>
        <w:rPr>
          <w:rFonts w:ascii="宋体" w:hAnsi="宋体" w:eastAsia="宋体" w:cs="宋体"/>
          <w:color w:val="auto"/>
          <w:spacing w:val="-4"/>
          <w:sz w:val="24"/>
          <w:szCs w:val="24"/>
          <w:highlight w:val="none"/>
        </w:rPr>
        <w:t>产安全事故应</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急救援预案；如果发生安全事故，应按照《国务院关于</w:t>
      </w:r>
      <w:r>
        <w:rPr>
          <w:rFonts w:ascii="宋体" w:hAnsi="宋体" w:eastAsia="宋体" w:cs="宋体"/>
          <w:color w:val="auto"/>
          <w:spacing w:val="-4"/>
          <w:sz w:val="24"/>
          <w:szCs w:val="24"/>
          <w:highlight w:val="none"/>
        </w:rPr>
        <w:t>特大安全事故行政责任追究的</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规定》以及其它有关规定， 及时上报有关部门，并坚持“四不放过”的原则，严肃处</w:t>
      </w:r>
      <w:r>
        <w:rPr>
          <w:rFonts w:ascii="宋体" w:hAnsi="宋体" w:eastAsia="宋体" w:cs="宋体"/>
          <w:color w:val="auto"/>
          <w:spacing w:val="3"/>
          <w:sz w:val="24"/>
          <w:szCs w:val="24"/>
          <w:highlight w:val="none"/>
        </w:rPr>
        <w:t xml:space="preserve"> </w:t>
      </w:r>
      <w:r>
        <w:rPr>
          <w:rFonts w:ascii="宋体" w:hAnsi="宋体" w:eastAsia="宋体" w:cs="宋体"/>
          <w:color w:val="auto"/>
          <w:spacing w:val="-6"/>
          <w:sz w:val="24"/>
          <w:szCs w:val="24"/>
          <w:highlight w:val="none"/>
        </w:rPr>
        <w:t>理相关责任人。</w:t>
      </w:r>
    </w:p>
    <w:p w14:paraId="59125DDB">
      <w:pPr>
        <w:spacing w:before="181" w:line="220" w:lineRule="auto"/>
        <w:ind w:left="480"/>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第三条</w:t>
      </w:r>
      <w:r>
        <w:rPr>
          <w:rFonts w:ascii="宋体" w:hAnsi="宋体" w:eastAsia="宋体" w:cs="宋体"/>
          <w:color w:val="auto"/>
          <w:spacing w:val="-3"/>
          <w:sz w:val="24"/>
          <w:szCs w:val="24"/>
          <w:highlight w:val="none"/>
        </w:rPr>
        <w:t xml:space="preserve">  </w:t>
      </w:r>
      <w:r>
        <w:rPr>
          <w:rFonts w:ascii="宋体" w:hAnsi="宋体" w:eastAsia="宋体" w:cs="宋体"/>
          <w:b/>
          <w:bCs/>
          <w:color w:val="auto"/>
          <w:spacing w:val="-3"/>
          <w:sz w:val="24"/>
          <w:szCs w:val="24"/>
          <w:highlight w:val="none"/>
        </w:rPr>
        <w:t>违约责任</w:t>
      </w:r>
    </w:p>
    <w:p w14:paraId="26666055">
      <w:pPr>
        <w:spacing w:before="180" w:line="360" w:lineRule="auto"/>
        <w:ind w:left="1" w:right="85" w:firstLine="48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如因甲方或乙方违约造成安全事故，将依法追究责任，并视事故轻重承担</w:t>
      </w:r>
      <w:r>
        <w:rPr>
          <w:rFonts w:ascii="宋体" w:hAnsi="宋体" w:eastAsia="宋体" w:cs="宋体"/>
          <w:color w:val="auto"/>
          <w:spacing w:val="-4"/>
          <w:sz w:val="24"/>
          <w:szCs w:val="24"/>
          <w:highlight w:val="none"/>
        </w:rPr>
        <w:t>相应的</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经济赔偿责任。</w:t>
      </w:r>
    </w:p>
    <w:p w14:paraId="257AF96A">
      <w:pPr>
        <w:spacing w:before="2" w:line="360" w:lineRule="auto"/>
        <w:ind w:left="5" w:right="85" w:firstLine="47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本合同正本一式二份，副本八份，合同双方各执正本一份，副本四份。由双方法</w:t>
      </w:r>
      <w:r>
        <w:rPr>
          <w:rFonts w:ascii="宋体" w:hAnsi="宋体" w:eastAsia="宋体" w:cs="宋体"/>
          <w:color w:val="auto"/>
          <w:spacing w:val="2"/>
          <w:sz w:val="24"/>
          <w:szCs w:val="24"/>
          <w:highlight w:val="none"/>
        </w:rPr>
        <w:t xml:space="preserve"> </w:t>
      </w:r>
      <w:r>
        <w:rPr>
          <w:rFonts w:ascii="宋体" w:hAnsi="宋体" w:eastAsia="宋体" w:cs="宋体"/>
          <w:color w:val="auto"/>
          <w:spacing w:val="-1"/>
          <w:sz w:val="24"/>
          <w:szCs w:val="24"/>
          <w:highlight w:val="none"/>
        </w:rPr>
        <w:t>定代表人或其授权的代理人签署与加盖公章后</w:t>
      </w:r>
      <w:r>
        <w:rPr>
          <w:rFonts w:ascii="宋体" w:hAnsi="宋体" w:eastAsia="宋体" w:cs="宋体"/>
          <w:color w:val="auto"/>
          <w:spacing w:val="-2"/>
          <w:sz w:val="24"/>
          <w:szCs w:val="24"/>
          <w:highlight w:val="none"/>
        </w:rPr>
        <w:t>生效，全部工程竣工验收后失效。</w:t>
      </w:r>
    </w:p>
    <w:p w14:paraId="2E5706D9">
      <w:pPr>
        <w:pStyle w:val="8"/>
        <w:spacing w:line="329" w:lineRule="auto"/>
        <w:rPr>
          <w:color w:val="auto"/>
          <w:highlight w:val="none"/>
        </w:rPr>
      </w:pPr>
    </w:p>
    <w:p w14:paraId="55CF465E">
      <w:pPr>
        <w:spacing w:before="79" w:line="219" w:lineRule="auto"/>
        <w:ind w:left="39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甲方</w:t>
      </w:r>
      <w:r>
        <w:rPr>
          <w:rFonts w:ascii="宋体" w:hAnsi="宋体" w:eastAsia="宋体" w:cs="宋体"/>
          <w:color w:val="auto"/>
          <w:spacing w:val="-5"/>
          <w:sz w:val="24"/>
          <w:szCs w:val="24"/>
          <w:highlight w:val="none"/>
        </w:rPr>
        <w:t>：</w:t>
      </w:r>
      <w:r>
        <w:rPr>
          <w:rFonts w:ascii="宋体" w:hAnsi="宋体" w:eastAsia="宋体" w:cs="宋体"/>
          <w:color w:val="auto"/>
          <w:spacing w:val="20"/>
          <w:sz w:val="24"/>
          <w:szCs w:val="24"/>
          <w:highlight w:val="none"/>
          <w:u w:val="single" w:color="auto"/>
        </w:rPr>
        <w:t xml:space="preserve">      </w:t>
      </w:r>
      <w:r>
        <w:rPr>
          <w:rFonts w:ascii="宋体" w:hAnsi="宋体" w:eastAsia="宋体" w:cs="宋体"/>
          <w:color w:val="auto"/>
          <w:spacing w:val="-5"/>
          <w:sz w:val="24"/>
          <w:szCs w:val="24"/>
          <w:highlight w:val="none"/>
          <w:u w:val="single" w:color="auto"/>
        </w:rPr>
        <w:t>（</w:t>
      </w:r>
      <w:r>
        <w:rPr>
          <w:rFonts w:ascii="宋体" w:hAnsi="宋体" w:eastAsia="宋体" w:cs="宋体"/>
          <w:color w:val="auto"/>
          <w:spacing w:val="-3"/>
          <w:sz w:val="24"/>
          <w:szCs w:val="24"/>
          <w:highlight w:val="none"/>
          <w:u w:val="single" w:color="auto"/>
        </w:rPr>
        <w:t xml:space="preserve">盖单位章）     </w:t>
      </w:r>
      <w:r>
        <w:rPr>
          <w:rFonts w:ascii="宋体" w:hAnsi="宋体" w:eastAsia="宋体" w:cs="宋体"/>
          <w:color w:val="auto"/>
          <w:spacing w:val="5"/>
          <w:sz w:val="24"/>
          <w:szCs w:val="24"/>
          <w:highlight w:val="none"/>
        </w:rPr>
        <w:t xml:space="preserve">      </w:t>
      </w:r>
      <w:r>
        <w:rPr>
          <w:rFonts w:ascii="宋体" w:hAnsi="宋体" w:eastAsia="宋体" w:cs="宋体"/>
          <w:color w:val="auto"/>
          <w:spacing w:val="-3"/>
          <w:sz w:val="24"/>
          <w:szCs w:val="24"/>
          <w:highlight w:val="none"/>
        </w:rPr>
        <w:t>乙方</w:t>
      </w:r>
      <w:r>
        <w:rPr>
          <w:rFonts w:ascii="宋体" w:hAnsi="宋体" w:eastAsia="宋体" w:cs="宋体"/>
          <w:color w:val="auto"/>
          <w:spacing w:val="-5"/>
          <w:sz w:val="24"/>
          <w:szCs w:val="24"/>
          <w:highlight w:val="none"/>
        </w:rPr>
        <w:t>：</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5"/>
          <w:sz w:val="24"/>
          <w:szCs w:val="24"/>
          <w:highlight w:val="none"/>
          <w:u w:val="single" w:color="auto"/>
        </w:rPr>
        <w:t>（</w:t>
      </w:r>
      <w:r>
        <w:rPr>
          <w:rFonts w:ascii="宋体" w:hAnsi="宋体" w:eastAsia="宋体" w:cs="宋体"/>
          <w:color w:val="auto"/>
          <w:spacing w:val="-3"/>
          <w:sz w:val="24"/>
          <w:szCs w:val="24"/>
          <w:highlight w:val="none"/>
          <w:u w:val="single" w:color="auto"/>
        </w:rPr>
        <w:t>盖单位章）</w:t>
      </w:r>
      <w:r>
        <w:rPr>
          <w:rFonts w:ascii="宋体" w:hAnsi="宋体" w:eastAsia="宋体" w:cs="宋体"/>
          <w:color w:val="auto"/>
          <w:sz w:val="24"/>
          <w:szCs w:val="24"/>
          <w:highlight w:val="none"/>
          <w:u w:val="single" w:color="auto"/>
        </w:rPr>
        <w:t xml:space="preserve">       </w:t>
      </w:r>
    </w:p>
    <w:p w14:paraId="0A33C761">
      <w:pPr>
        <w:spacing w:before="181" w:line="220" w:lineRule="auto"/>
        <w:ind w:left="360"/>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法定代表人或其委托代理人</w:t>
      </w:r>
      <w:r>
        <w:rPr>
          <w:rFonts w:ascii="宋体" w:hAnsi="宋体" w:eastAsia="宋体" w:cs="宋体"/>
          <w:color w:val="auto"/>
          <w:spacing w:val="-1"/>
          <w:sz w:val="24"/>
          <w:szCs w:val="24"/>
          <w:highlight w:val="none"/>
        </w:rPr>
        <w:t>：</w:t>
      </w:r>
      <w:r>
        <w:rPr>
          <w:rFonts w:ascii="宋体" w:hAnsi="宋体" w:eastAsia="宋体" w:cs="宋体"/>
          <w:color w:val="auto"/>
          <w:spacing w:val="-1"/>
          <w:sz w:val="24"/>
          <w:szCs w:val="24"/>
          <w:highlight w:val="none"/>
          <w:u w:val="single" w:color="auto"/>
        </w:rPr>
        <w:t>（</w:t>
      </w:r>
      <w:r>
        <w:rPr>
          <w:rFonts w:ascii="宋体" w:hAnsi="宋体" w:eastAsia="宋体" w:cs="宋体"/>
          <w:color w:val="auto"/>
          <w:sz w:val="24"/>
          <w:szCs w:val="24"/>
          <w:highlight w:val="none"/>
          <w:u w:val="single" w:color="auto"/>
        </w:rPr>
        <w:t>签字）</w:t>
      </w:r>
      <w:r>
        <w:rPr>
          <w:rFonts w:ascii="宋体" w:hAnsi="宋体" w:eastAsia="宋体" w:cs="宋体"/>
          <w:color w:val="auto"/>
          <w:sz w:val="24"/>
          <w:szCs w:val="24"/>
          <w:highlight w:val="none"/>
        </w:rPr>
        <w:t xml:space="preserve">  法定代表人</w:t>
      </w:r>
      <w:r>
        <w:rPr>
          <w:rFonts w:ascii="宋体" w:hAnsi="宋体" w:eastAsia="宋体" w:cs="宋体"/>
          <w:color w:val="auto"/>
          <w:spacing w:val="-1"/>
          <w:sz w:val="24"/>
          <w:szCs w:val="24"/>
          <w:highlight w:val="none"/>
        </w:rPr>
        <w:t>或其委托代理人：</w:t>
      </w:r>
      <w:r>
        <w:rPr>
          <w:rFonts w:ascii="宋体" w:hAnsi="宋体" w:eastAsia="宋体" w:cs="宋体"/>
          <w:color w:val="auto"/>
          <w:spacing w:val="-1"/>
          <w:sz w:val="24"/>
          <w:szCs w:val="24"/>
          <w:highlight w:val="none"/>
          <w:u w:val="single" w:color="auto"/>
        </w:rPr>
        <w:t>（签字）</w:t>
      </w:r>
    </w:p>
    <w:p w14:paraId="7F4BC340">
      <w:pPr>
        <w:tabs>
          <w:tab w:val="left" w:pos="2726"/>
        </w:tabs>
        <w:spacing w:before="181" w:line="214" w:lineRule="auto"/>
        <w:ind w:left="2006"/>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8"/>
          <w:sz w:val="24"/>
          <w:szCs w:val="24"/>
          <w:highlight w:val="none"/>
        </w:rPr>
        <w:t xml:space="preserve"> </w:t>
      </w:r>
      <w:r>
        <w:rPr>
          <w:rFonts w:ascii="宋体" w:hAnsi="宋体" w:eastAsia="宋体" w:cs="宋体"/>
          <w:color w:val="auto"/>
          <w:spacing w:val="-3"/>
          <w:sz w:val="24"/>
          <w:szCs w:val="24"/>
          <w:highlight w:val="none"/>
        </w:rPr>
        <w:t>年</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3"/>
          <w:sz w:val="24"/>
          <w:szCs w:val="24"/>
          <w:highlight w:val="none"/>
        </w:rPr>
        <w:t>月＿日</w:t>
      </w:r>
      <w:r>
        <w:rPr>
          <w:rFonts w:ascii="宋体" w:hAnsi="宋体" w:eastAsia="宋体" w:cs="宋体"/>
          <w:color w:val="auto"/>
          <w:spacing w:val="6"/>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3"/>
          <w:sz w:val="24"/>
          <w:szCs w:val="24"/>
          <w:highlight w:val="none"/>
        </w:rPr>
        <w:t>年</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3"/>
          <w:sz w:val="24"/>
          <w:szCs w:val="24"/>
          <w:highlight w:val="none"/>
        </w:rPr>
        <w:t>月＿日</w:t>
      </w:r>
    </w:p>
    <w:p w14:paraId="239EBA4F">
      <w:pPr>
        <w:spacing w:line="214" w:lineRule="auto"/>
        <w:rPr>
          <w:rFonts w:ascii="宋体" w:hAnsi="宋体" w:eastAsia="宋体" w:cs="宋体"/>
          <w:color w:val="auto"/>
          <w:sz w:val="24"/>
          <w:szCs w:val="24"/>
          <w:highlight w:val="none"/>
        </w:rPr>
        <w:sectPr>
          <w:footerReference r:id="rId91" w:type="default"/>
          <w:pgSz w:w="11905" w:h="16840"/>
          <w:pgMar w:top="400" w:right="1442" w:bottom="1255" w:left="1596" w:header="0" w:footer="1093" w:gutter="0"/>
          <w:pgNumType w:fmt="decimal"/>
          <w:cols w:space="720" w:num="1"/>
        </w:sectPr>
      </w:pPr>
    </w:p>
    <w:p w14:paraId="4E5998A6">
      <w:pPr>
        <w:pStyle w:val="8"/>
        <w:spacing w:line="242" w:lineRule="auto"/>
        <w:rPr>
          <w:color w:val="auto"/>
          <w:highlight w:val="none"/>
        </w:rPr>
      </w:pPr>
    </w:p>
    <w:p w14:paraId="115AFC03">
      <w:pPr>
        <w:pStyle w:val="8"/>
        <w:spacing w:line="242" w:lineRule="auto"/>
        <w:rPr>
          <w:color w:val="auto"/>
          <w:highlight w:val="none"/>
        </w:rPr>
      </w:pPr>
    </w:p>
    <w:p w14:paraId="0F46C02F">
      <w:pPr>
        <w:pStyle w:val="8"/>
        <w:spacing w:line="242" w:lineRule="auto"/>
        <w:rPr>
          <w:color w:val="auto"/>
          <w:highlight w:val="none"/>
        </w:rPr>
      </w:pPr>
    </w:p>
    <w:p w14:paraId="1210398B">
      <w:pPr>
        <w:pStyle w:val="8"/>
        <w:spacing w:line="243" w:lineRule="auto"/>
        <w:rPr>
          <w:color w:val="auto"/>
          <w:highlight w:val="none"/>
        </w:rPr>
      </w:pPr>
    </w:p>
    <w:p w14:paraId="5B9C16AD">
      <w:pPr>
        <w:spacing w:before="117" w:line="219" w:lineRule="auto"/>
        <w:ind w:left="2674"/>
        <w:outlineLvl w:val="1"/>
        <w:rPr>
          <w:rFonts w:ascii="宋体" w:hAnsi="宋体" w:eastAsia="宋体" w:cs="宋体"/>
          <w:color w:val="auto"/>
          <w:sz w:val="36"/>
          <w:szCs w:val="36"/>
          <w:highlight w:val="none"/>
        </w:rPr>
      </w:pPr>
      <w:bookmarkStart w:id="158" w:name="bookmark98"/>
      <w:bookmarkEnd w:id="158"/>
      <w:bookmarkStart w:id="159" w:name="_Toc5778"/>
      <w:r>
        <w:rPr>
          <w:rFonts w:ascii="宋体" w:hAnsi="宋体" w:eastAsia="宋体" w:cs="宋体"/>
          <w:b/>
          <w:bCs/>
          <w:color w:val="auto"/>
          <w:spacing w:val="-4"/>
          <w:sz w:val="36"/>
          <w:szCs w:val="36"/>
          <w:highlight w:val="none"/>
        </w:rPr>
        <w:t>第五章</w:t>
      </w:r>
      <w:r>
        <w:rPr>
          <w:rFonts w:ascii="宋体" w:hAnsi="宋体" w:eastAsia="宋体" w:cs="宋体"/>
          <w:color w:val="auto"/>
          <w:spacing w:val="-4"/>
          <w:sz w:val="36"/>
          <w:szCs w:val="36"/>
          <w:highlight w:val="none"/>
        </w:rPr>
        <w:t xml:space="preserve"> </w:t>
      </w:r>
      <w:r>
        <w:rPr>
          <w:rFonts w:ascii="宋体" w:hAnsi="宋体" w:eastAsia="宋体" w:cs="宋体"/>
          <w:b/>
          <w:bCs/>
          <w:color w:val="auto"/>
          <w:spacing w:val="-4"/>
          <w:sz w:val="36"/>
          <w:szCs w:val="36"/>
          <w:highlight w:val="none"/>
        </w:rPr>
        <w:t>工程量清单</w:t>
      </w:r>
      <w:bookmarkEnd w:id="159"/>
    </w:p>
    <w:p w14:paraId="18ADEBA0">
      <w:pPr>
        <w:spacing w:line="219" w:lineRule="auto"/>
        <w:rPr>
          <w:rFonts w:ascii="宋体" w:hAnsi="宋体" w:eastAsia="宋体" w:cs="宋体"/>
          <w:color w:val="auto"/>
          <w:sz w:val="36"/>
          <w:szCs w:val="36"/>
          <w:highlight w:val="none"/>
        </w:rPr>
      </w:pPr>
    </w:p>
    <w:p w14:paraId="656DEA73">
      <w:pPr>
        <w:spacing w:before="182" w:line="324" w:lineRule="auto"/>
        <w:ind w:right="87" w:firstLine="485"/>
        <w:rPr>
          <w:rFonts w:hint="default" w:ascii="宋体" w:hAnsi="宋体" w:eastAsia="宋体" w:cs="宋体"/>
          <w:color w:val="auto"/>
          <w:spacing w:val="-6"/>
          <w:sz w:val="24"/>
          <w:szCs w:val="24"/>
          <w:highlight w:val="none"/>
          <w:lang w:val="en-US" w:eastAsia="zh-CN"/>
        </w:rPr>
        <w:sectPr>
          <w:footerReference r:id="rId92" w:type="default"/>
          <w:pgSz w:w="11905" w:h="16840"/>
          <w:pgMar w:top="400" w:right="1529" w:bottom="1255" w:left="1785" w:header="0" w:footer="1093" w:gutter="0"/>
          <w:pgNumType w:fmt="decimal"/>
          <w:cols w:space="720" w:num="1"/>
        </w:sectPr>
      </w:pPr>
      <w:r>
        <w:rPr>
          <w:rFonts w:hint="eastAsia" w:ascii="宋体" w:hAnsi="宋体" w:eastAsia="宋体" w:cs="宋体"/>
          <w:color w:val="auto"/>
          <w:spacing w:val="-6"/>
          <w:sz w:val="24"/>
          <w:szCs w:val="24"/>
          <w:highlight w:val="none"/>
          <w:lang w:val="en-US" w:eastAsia="zh-CN"/>
        </w:rPr>
        <w:t>潜在投标人登陆越城区公共资源交易平台（http://ztb.sxyc.gov.cn:/TPBidder）自行下载。</w:t>
      </w:r>
    </w:p>
    <w:p w14:paraId="5A3067D5">
      <w:pPr>
        <w:pStyle w:val="8"/>
        <w:spacing w:line="259" w:lineRule="auto"/>
        <w:rPr>
          <w:color w:val="auto"/>
          <w:highlight w:val="none"/>
        </w:rPr>
      </w:pPr>
    </w:p>
    <w:p w14:paraId="54567FC3">
      <w:pPr>
        <w:pStyle w:val="8"/>
        <w:spacing w:line="259" w:lineRule="auto"/>
        <w:rPr>
          <w:color w:val="auto"/>
          <w:highlight w:val="none"/>
        </w:rPr>
      </w:pPr>
    </w:p>
    <w:p w14:paraId="5DE95351">
      <w:pPr>
        <w:pStyle w:val="8"/>
        <w:spacing w:line="259" w:lineRule="auto"/>
        <w:rPr>
          <w:color w:val="auto"/>
          <w:highlight w:val="none"/>
        </w:rPr>
      </w:pPr>
    </w:p>
    <w:p w14:paraId="03E2D2B5">
      <w:pPr>
        <w:pStyle w:val="8"/>
        <w:spacing w:line="259" w:lineRule="auto"/>
        <w:rPr>
          <w:color w:val="auto"/>
          <w:highlight w:val="none"/>
        </w:rPr>
      </w:pPr>
    </w:p>
    <w:p w14:paraId="5E832638">
      <w:pPr>
        <w:pStyle w:val="8"/>
        <w:spacing w:line="259" w:lineRule="auto"/>
        <w:rPr>
          <w:color w:val="auto"/>
          <w:highlight w:val="none"/>
        </w:rPr>
      </w:pPr>
    </w:p>
    <w:p w14:paraId="4649B0A0">
      <w:pPr>
        <w:pStyle w:val="8"/>
        <w:spacing w:line="260" w:lineRule="auto"/>
        <w:rPr>
          <w:color w:val="auto"/>
          <w:highlight w:val="none"/>
        </w:rPr>
      </w:pPr>
    </w:p>
    <w:p w14:paraId="37CA6979">
      <w:pPr>
        <w:pStyle w:val="8"/>
        <w:spacing w:line="260" w:lineRule="auto"/>
        <w:rPr>
          <w:color w:val="auto"/>
          <w:highlight w:val="none"/>
        </w:rPr>
      </w:pPr>
    </w:p>
    <w:p w14:paraId="2546C199">
      <w:pPr>
        <w:tabs>
          <w:tab w:val="left" w:pos="3557"/>
        </w:tabs>
        <w:spacing w:before="78" w:line="220" w:lineRule="auto"/>
        <w:ind w:left="2701"/>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3"/>
          <w:sz w:val="24"/>
          <w:szCs w:val="24"/>
          <w:highlight w:val="none"/>
          <w:u w:val="single" w:color="auto"/>
        </w:rPr>
        <w:t>（项目名称及标段名称）</w:t>
      </w:r>
      <w:r>
        <w:rPr>
          <w:rFonts w:ascii="宋体" w:hAnsi="宋体" w:eastAsia="宋体" w:cs="宋体"/>
          <w:color w:val="auto"/>
          <w:spacing w:val="1"/>
          <w:sz w:val="24"/>
          <w:szCs w:val="24"/>
          <w:highlight w:val="none"/>
          <w:u w:val="single" w:color="auto"/>
        </w:rPr>
        <w:t xml:space="preserve">    </w:t>
      </w:r>
    </w:p>
    <w:p w14:paraId="5618B555">
      <w:pPr>
        <w:pStyle w:val="8"/>
        <w:spacing w:line="260" w:lineRule="auto"/>
        <w:rPr>
          <w:color w:val="auto"/>
          <w:highlight w:val="none"/>
        </w:rPr>
      </w:pPr>
    </w:p>
    <w:p w14:paraId="3213E74C">
      <w:pPr>
        <w:pStyle w:val="8"/>
        <w:spacing w:line="260" w:lineRule="auto"/>
        <w:rPr>
          <w:color w:val="auto"/>
          <w:highlight w:val="none"/>
        </w:rPr>
      </w:pPr>
    </w:p>
    <w:p w14:paraId="084377D1">
      <w:pPr>
        <w:pStyle w:val="8"/>
        <w:spacing w:line="260" w:lineRule="auto"/>
        <w:rPr>
          <w:color w:val="auto"/>
          <w:highlight w:val="none"/>
        </w:rPr>
      </w:pPr>
    </w:p>
    <w:p w14:paraId="03387D67">
      <w:pPr>
        <w:pStyle w:val="8"/>
        <w:spacing w:line="260" w:lineRule="auto"/>
        <w:rPr>
          <w:color w:val="auto"/>
          <w:highlight w:val="none"/>
        </w:rPr>
      </w:pPr>
    </w:p>
    <w:p w14:paraId="0E815FDA">
      <w:pPr>
        <w:pStyle w:val="8"/>
        <w:spacing w:line="260" w:lineRule="auto"/>
        <w:rPr>
          <w:color w:val="auto"/>
          <w:highlight w:val="none"/>
        </w:rPr>
      </w:pPr>
    </w:p>
    <w:p w14:paraId="46B2CE02">
      <w:pPr>
        <w:spacing w:before="143" w:line="222" w:lineRule="auto"/>
        <w:ind w:left="2860"/>
        <w:rPr>
          <w:rFonts w:ascii="黑体" w:hAnsi="黑体" w:eastAsia="黑体" w:cs="黑体"/>
          <w:color w:val="auto"/>
          <w:sz w:val="44"/>
          <w:szCs w:val="44"/>
          <w:highlight w:val="none"/>
        </w:rPr>
      </w:pPr>
      <w:r>
        <w:rPr>
          <w:rFonts w:ascii="黑体" w:hAnsi="黑体" w:eastAsia="黑体" w:cs="黑体"/>
          <w:color w:val="auto"/>
          <w:spacing w:val="-16"/>
          <w:sz w:val="44"/>
          <w:szCs w:val="44"/>
          <w:highlight w:val="none"/>
        </w:rPr>
        <w:t>工</w:t>
      </w:r>
      <w:r>
        <w:rPr>
          <w:rFonts w:ascii="黑体" w:hAnsi="黑体" w:eastAsia="黑体" w:cs="黑体"/>
          <w:color w:val="auto"/>
          <w:spacing w:val="17"/>
          <w:sz w:val="44"/>
          <w:szCs w:val="44"/>
          <w:highlight w:val="none"/>
        </w:rPr>
        <w:t xml:space="preserve"> </w:t>
      </w:r>
      <w:r>
        <w:rPr>
          <w:rFonts w:ascii="黑体" w:hAnsi="黑体" w:eastAsia="黑体" w:cs="黑体"/>
          <w:color w:val="auto"/>
          <w:spacing w:val="-16"/>
          <w:sz w:val="44"/>
          <w:szCs w:val="44"/>
          <w:highlight w:val="none"/>
        </w:rPr>
        <w:t>程</w:t>
      </w:r>
      <w:r>
        <w:rPr>
          <w:rFonts w:ascii="黑体" w:hAnsi="黑体" w:eastAsia="黑体" w:cs="黑体"/>
          <w:color w:val="auto"/>
          <w:spacing w:val="22"/>
          <w:sz w:val="44"/>
          <w:szCs w:val="44"/>
          <w:highlight w:val="none"/>
        </w:rPr>
        <w:t xml:space="preserve"> </w:t>
      </w:r>
      <w:r>
        <w:rPr>
          <w:rFonts w:ascii="黑体" w:hAnsi="黑体" w:eastAsia="黑体" w:cs="黑体"/>
          <w:color w:val="auto"/>
          <w:spacing w:val="-16"/>
          <w:sz w:val="44"/>
          <w:szCs w:val="44"/>
          <w:highlight w:val="none"/>
        </w:rPr>
        <w:t>量</w:t>
      </w:r>
      <w:r>
        <w:rPr>
          <w:rFonts w:ascii="黑体" w:hAnsi="黑体" w:eastAsia="黑体" w:cs="黑体"/>
          <w:color w:val="auto"/>
          <w:spacing w:val="21"/>
          <w:sz w:val="44"/>
          <w:szCs w:val="44"/>
          <w:highlight w:val="none"/>
        </w:rPr>
        <w:t xml:space="preserve"> </w:t>
      </w:r>
      <w:r>
        <w:rPr>
          <w:rFonts w:ascii="黑体" w:hAnsi="黑体" w:eastAsia="黑体" w:cs="黑体"/>
          <w:color w:val="auto"/>
          <w:spacing w:val="-16"/>
          <w:sz w:val="44"/>
          <w:szCs w:val="44"/>
          <w:highlight w:val="none"/>
        </w:rPr>
        <w:t>清</w:t>
      </w:r>
      <w:r>
        <w:rPr>
          <w:rFonts w:ascii="黑体" w:hAnsi="黑体" w:eastAsia="黑体" w:cs="黑体"/>
          <w:color w:val="auto"/>
          <w:spacing w:val="30"/>
          <w:sz w:val="44"/>
          <w:szCs w:val="44"/>
          <w:highlight w:val="none"/>
        </w:rPr>
        <w:t xml:space="preserve"> </w:t>
      </w:r>
      <w:r>
        <w:rPr>
          <w:rFonts w:ascii="黑体" w:hAnsi="黑体" w:eastAsia="黑体" w:cs="黑体"/>
          <w:color w:val="auto"/>
          <w:spacing w:val="-16"/>
          <w:sz w:val="44"/>
          <w:szCs w:val="44"/>
          <w:highlight w:val="none"/>
        </w:rPr>
        <w:t>单</w:t>
      </w:r>
    </w:p>
    <w:p w14:paraId="5095D7ED">
      <w:pPr>
        <w:pStyle w:val="8"/>
        <w:spacing w:line="249" w:lineRule="auto"/>
        <w:rPr>
          <w:color w:val="auto"/>
          <w:highlight w:val="none"/>
        </w:rPr>
      </w:pPr>
    </w:p>
    <w:p w14:paraId="42DC83AF">
      <w:pPr>
        <w:pStyle w:val="8"/>
        <w:spacing w:line="249" w:lineRule="auto"/>
        <w:rPr>
          <w:color w:val="auto"/>
          <w:highlight w:val="none"/>
        </w:rPr>
      </w:pPr>
    </w:p>
    <w:p w14:paraId="11C3C9AE">
      <w:pPr>
        <w:pStyle w:val="8"/>
        <w:spacing w:line="249" w:lineRule="auto"/>
        <w:rPr>
          <w:color w:val="auto"/>
          <w:highlight w:val="none"/>
        </w:rPr>
      </w:pPr>
    </w:p>
    <w:p w14:paraId="3067F3C1">
      <w:pPr>
        <w:pStyle w:val="8"/>
        <w:spacing w:line="249" w:lineRule="auto"/>
        <w:rPr>
          <w:color w:val="auto"/>
          <w:highlight w:val="none"/>
        </w:rPr>
      </w:pPr>
    </w:p>
    <w:p w14:paraId="2068B3A7">
      <w:pPr>
        <w:pStyle w:val="8"/>
        <w:spacing w:line="249" w:lineRule="auto"/>
        <w:rPr>
          <w:color w:val="auto"/>
          <w:highlight w:val="none"/>
        </w:rPr>
      </w:pPr>
    </w:p>
    <w:p w14:paraId="205F713E">
      <w:pPr>
        <w:pStyle w:val="8"/>
        <w:spacing w:line="249" w:lineRule="auto"/>
        <w:rPr>
          <w:color w:val="auto"/>
          <w:highlight w:val="none"/>
        </w:rPr>
      </w:pPr>
    </w:p>
    <w:p w14:paraId="5FC2447F">
      <w:pPr>
        <w:pStyle w:val="8"/>
        <w:spacing w:line="249" w:lineRule="auto"/>
        <w:rPr>
          <w:color w:val="auto"/>
          <w:highlight w:val="none"/>
        </w:rPr>
      </w:pPr>
    </w:p>
    <w:p w14:paraId="7A7256E3">
      <w:pPr>
        <w:pStyle w:val="8"/>
        <w:spacing w:line="249" w:lineRule="auto"/>
        <w:rPr>
          <w:color w:val="auto"/>
          <w:highlight w:val="none"/>
        </w:rPr>
      </w:pPr>
    </w:p>
    <w:p w14:paraId="04E676CE">
      <w:pPr>
        <w:pStyle w:val="8"/>
        <w:spacing w:line="249" w:lineRule="auto"/>
        <w:rPr>
          <w:color w:val="auto"/>
          <w:highlight w:val="none"/>
        </w:rPr>
      </w:pPr>
    </w:p>
    <w:p w14:paraId="56DBC088">
      <w:pPr>
        <w:pStyle w:val="8"/>
        <w:spacing w:line="249" w:lineRule="auto"/>
        <w:rPr>
          <w:color w:val="auto"/>
          <w:highlight w:val="none"/>
        </w:rPr>
      </w:pPr>
    </w:p>
    <w:p w14:paraId="0F2C3CA7">
      <w:pPr>
        <w:pStyle w:val="8"/>
        <w:spacing w:line="250" w:lineRule="auto"/>
        <w:rPr>
          <w:color w:val="auto"/>
          <w:highlight w:val="none"/>
        </w:rPr>
      </w:pPr>
    </w:p>
    <w:p w14:paraId="0F2CFDE9">
      <w:pPr>
        <w:pStyle w:val="8"/>
        <w:spacing w:line="250" w:lineRule="auto"/>
        <w:rPr>
          <w:color w:val="auto"/>
          <w:highlight w:val="none"/>
        </w:rPr>
      </w:pPr>
    </w:p>
    <w:p w14:paraId="0511F865">
      <w:pPr>
        <w:pStyle w:val="8"/>
        <w:spacing w:line="250" w:lineRule="auto"/>
        <w:rPr>
          <w:color w:val="auto"/>
          <w:highlight w:val="none"/>
        </w:rPr>
      </w:pPr>
    </w:p>
    <w:p w14:paraId="1AB25101">
      <w:pPr>
        <w:pStyle w:val="8"/>
        <w:spacing w:line="250" w:lineRule="auto"/>
        <w:rPr>
          <w:color w:val="auto"/>
          <w:highlight w:val="none"/>
        </w:rPr>
      </w:pPr>
    </w:p>
    <w:p w14:paraId="11827962">
      <w:pPr>
        <w:pStyle w:val="8"/>
        <w:spacing w:line="250" w:lineRule="auto"/>
        <w:rPr>
          <w:color w:val="auto"/>
          <w:highlight w:val="none"/>
        </w:rPr>
      </w:pPr>
    </w:p>
    <w:p w14:paraId="079200D1">
      <w:pPr>
        <w:pStyle w:val="8"/>
        <w:spacing w:line="250" w:lineRule="auto"/>
        <w:rPr>
          <w:color w:val="auto"/>
          <w:highlight w:val="none"/>
        </w:rPr>
      </w:pPr>
    </w:p>
    <w:p w14:paraId="4E557524">
      <w:pPr>
        <w:pStyle w:val="8"/>
        <w:spacing w:line="250" w:lineRule="auto"/>
        <w:rPr>
          <w:color w:val="auto"/>
          <w:highlight w:val="none"/>
        </w:rPr>
      </w:pPr>
    </w:p>
    <w:p w14:paraId="7B2E02BD">
      <w:pPr>
        <w:pStyle w:val="8"/>
        <w:spacing w:line="250" w:lineRule="auto"/>
        <w:rPr>
          <w:color w:val="auto"/>
          <w:highlight w:val="none"/>
        </w:rPr>
      </w:pPr>
    </w:p>
    <w:p w14:paraId="2DB4D67E">
      <w:pPr>
        <w:pStyle w:val="8"/>
        <w:spacing w:line="250" w:lineRule="auto"/>
        <w:rPr>
          <w:color w:val="auto"/>
          <w:highlight w:val="none"/>
        </w:rPr>
      </w:pPr>
    </w:p>
    <w:p w14:paraId="3CDA5599">
      <w:pPr>
        <w:spacing w:before="88" w:line="219" w:lineRule="auto"/>
        <w:rPr>
          <w:rFonts w:ascii="Times New Roman" w:hAnsi="Times New Roman" w:eastAsia="Times New Roman" w:cs="Times New Roman"/>
          <w:color w:val="auto"/>
          <w:sz w:val="27"/>
          <w:szCs w:val="27"/>
          <w:highlight w:val="none"/>
        </w:rPr>
      </w:pPr>
      <w:r>
        <w:rPr>
          <w:rFonts w:ascii="宋体" w:hAnsi="宋体" w:eastAsia="宋体" w:cs="宋体"/>
          <w:color w:val="auto"/>
          <w:spacing w:val="4"/>
          <w:sz w:val="27"/>
          <w:szCs w:val="27"/>
          <w:highlight w:val="none"/>
        </w:rPr>
        <w:t>招    标</w:t>
      </w:r>
      <w:r>
        <w:rPr>
          <w:rFonts w:ascii="宋体" w:hAnsi="宋体" w:eastAsia="宋体" w:cs="宋体"/>
          <w:color w:val="auto"/>
          <w:spacing w:val="8"/>
          <w:sz w:val="27"/>
          <w:szCs w:val="27"/>
          <w:highlight w:val="none"/>
        </w:rPr>
        <w:t xml:space="preserve">    </w:t>
      </w:r>
      <w:r>
        <w:rPr>
          <w:rFonts w:ascii="宋体" w:hAnsi="宋体" w:eastAsia="宋体" w:cs="宋体"/>
          <w:color w:val="auto"/>
          <w:spacing w:val="4"/>
          <w:sz w:val="27"/>
          <w:szCs w:val="27"/>
          <w:highlight w:val="none"/>
        </w:rPr>
        <w:t>人</w:t>
      </w:r>
      <w:r>
        <w:rPr>
          <w:rFonts w:ascii="宋体" w:hAnsi="宋体" w:eastAsia="宋体" w:cs="宋体"/>
          <w:color w:val="auto"/>
          <w:spacing w:val="2"/>
          <w:sz w:val="27"/>
          <w:szCs w:val="27"/>
          <w:highlight w:val="none"/>
        </w:rPr>
        <w:t>：</w:t>
      </w:r>
      <w:r>
        <w:rPr>
          <w:rFonts w:ascii="宋体" w:hAnsi="宋体" w:eastAsia="宋体" w:cs="宋体"/>
          <w:color w:val="auto"/>
          <w:spacing w:val="5"/>
          <w:sz w:val="27"/>
          <w:szCs w:val="27"/>
          <w:highlight w:val="none"/>
          <w:u w:val="single" w:color="auto"/>
        </w:rPr>
        <w:t xml:space="preserve">        </w:t>
      </w:r>
      <w:r>
        <w:rPr>
          <w:rFonts w:ascii="宋体" w:hAnsi="宋体" w:eastAsia="宋体" w:cs="宋体"/>
          <w:color w:val="auto"/>
          <w:spacing w:val="2"/>
          <w:sz w:val="27"/>
          <w:szCs w:val="27"/>
          <w:highlight w:val="none"/>
          <w:u w:val="single" w:color="auto"/>
        </w:rPr>
        <w:t>（</w:t>
      </w:r>
      <w:r>
        <w:rPr>
          <w:rFonts w:ascii="宋体" w:hAnsi="宋体" w:eastAsia="宋体" w:cs="宋体"/>
          <w:color w:val="auto"/>
          <w:spacing w:val="4"/>
          <w:sz w:val="27"/>
          <w:szCs w:val="27"/>
          <w:highlight w:val="none"/>
          <w:u w:val="single" w:color="auto"/>
        </w:rPr>
        <w:t>全称）</w:t>
      </w:r>
      <w:r>
        <w:rPr>
          <w:rFonts w:ascii="宋体" w:hAnsi="宋体" w:eastAsia="宋体" w:cs="宋体"/>
          <w:color w:val="auto"/>
          <w:spacing w:val="9"/>
          <w:sz w:val="27"/>
          <w:szCs w:val="27"/>
          <w:highlight w:val="none"/>
          <w:u w:val="single" w:color="auto"/>
        </w:rPr>
        <w:t xml:space="preserve">        </w:t>
      </w:r>
      <w:r>
        <w:rPr>
          <w:rFonts w:ascii="宋体" w:hAnsi="宋体" w:eastAsia="宋体" w:cs="宋体"/>
          <w:color w:val="auto"/>
          <w:spacing w:val="-117"/>
          <w:sz w:val="27"/>
          <w:szCs w:val="27"/>
          <w:highlight w:val="none"/>
        </w:rPr>
        <w:t xml:space="preserve"> </w:t>
      </w:r>
      <w:r>
        <w:rPr>
          <w:rFonts w:ascii="Times New Roman" w:hAnsi="Times New Roman" w:eastAsia="Times New Roman" w:cs="Times New Roman"/>
          <w:color w:val="auto"/>
          <w:spacing w:val="4"/>
          <w:sz w:val="27"/>
          <w:szCs w:val="27"/>
          <w:highlight w:val="none"/>
        </w:rPr>
        <w:t>(</w:t>
      </w:r>
      <w:r>
        <w:rPr>
          <w:rFonts w:ascii="宋体" w:hAnsi="宋体" w:eastAsia="宋体" w:cs="宋体"/>
          <w:color w:val="auto"/>
          <w:spacing w:val="4"/>
          <w:sz w:val="27"/>
          <w:szCs w:val="27"/>
          <w:highlight w:val="none"/>
        </w:rPr>
        <w:t>单位盖章</w:t>
      </w:r>
      <w:r>
        <w:rPr>
          <w:rFonts w:ascii="Times New Roman" w:hAnsi="Times New Roman" w:eastAsia="Times New Roman" w:cs="Times New Roman"/>
          <w:color w:val="auto"/>
          <w:spacing w:val="4"/>
          <w:sz w:val="27"/>
          <w:szCs w:val="27"/>
          <w:highlight w:val="none"/>
        </w:rPr>
        <w:t>)</w:t>
      </w:r>
    </w:p>
    <w:p w14:paraId="4D8815EA">
      <w:pPr>
        <w:pStyle w:val="8"/>
        <w:spacing w:line="298" w:lineRule="auto"/>
        <w:rPr>
          <w:color w:val="auto"/>
          <w:highlight w:val="none"/>
        </w:rPr>
      </w:pPr>
    </w:p>
    <w:p w14:paraId="2BDC6D30">
      <w:pPr>
        <w:pStyle w:val="8"/>
        <w:spacing w:line="298" w:lineRule="auto"/>
        <w:rPr>
          <w:color w:val="auto"/>
          <w:highlight w:val="none"/>
        </w:rPr>
      </w:pPr>
    </w:p>
    <w:p w14:paraId="4BB4D871">
      <w:pPr>
        <w:spacing w:before="88" w:line="219" w:lineRule="auto"/>
        <w:ind w:left="1"/>
        <w:rPr>
          <w:rFonts w:ascii="Times New Roman" w:hAnsi="Times New Roman" w:eastAsia="Times New Roman" w:cs="Times New Roman"/>
          <w:color w:val="auto"/>
          <w:sz w:val="27"/>
          <w:szCs w:val="27"/>
          <w:highlight w:val="none"/>
        </w:rPr>
      </w:pPr>
      <w:r>
        <w:rPr>
          <w:rFonts w:ascii="宋体" w:hAnsi="宋体" w:eastAsia="宋体" w:cs="宋体"/>
          <w:color w:val="auto"/>
          <w:spacing w:val="3"/>
          <w:sz w:val="27"/>
          <w:szCs w:val="27"/>
          <w:highlight w:val="none"/>
        </w:rPr>
        <w:t>编  制</w:t>
      </w:r>
      <w:r>
        <w:rPr>
          <w:rFonts w:ascii="宋体" w:hAnsi="宋体" w:eastAsia="宋体" w:cs="宋体"/>
          <w:color w:val="auto"/>
          <w:spacing w:val="12"/>
          <w:sz w:val="27"/>
          <w:szCs w:val="27"/>
          <w:highlight w:val="none"/>
        </w:rPr>
        <w:t xml:space="preserve">  </w:t>
      </w:r>
      <w:r>
        <w:rPr>
          <w:rFonts w:ascii="宋体" w:hAnsi="宋体" w:eastAsia="宋体" w:cs="宋体"/>
          <w:color w:val="auto"/>
          <w:spacing w:val="3"/>
          <w:sz w:val="27"/>
          <w:szCs w:val="27"/>
          <w:highlight w:val="none"/>
        </w:rPr>
        <w:t>单</w:t>
      </w:r>
      <w:r>
        <w:rPr>
          <w:rFonts w:ascii="宋体" w:hAnsi="宋体" w:eastAsia="宋体" w:cs="宋体"/>
          <w:color w:val="auto"/>
          <w:spacing w:val="10"/>
          <w:sz w:val="27"/>
          <w:szCs w:val="27"/>
          <w:highlight w:val="none"/>
        </w:rPr>
        <w:t xml:space="preserve">  </w:t>
      </w:r>
      <w:r>
        <w:rPr>
          <w:rFonts w:ascii="宋体" w:hAnsi="宋体" w:eastAsia="宋体" w:cs="宋体"/>
          <w:color w:val="auto"/>
          <w:spacing w:val="3"/>
          <w:sz w:val="27"/>
          <w:szCs w:val="27"/>
          <w:highlight w:val="none"/>
        </w:rPr>
        <w:t>位</w:t>
      </w:r>
      <w:r>
        <w:rPr>
          <w:rFonts w:ascii="宋体" w:hAnsi="宋体" w:eastAsia="宋体" w:cs="宋体"/>
          <w:color w:val="auto"/>
          <w:spacing w:val="5"/>
          <w:sz w:val="27"/>
          <w:szCs w:val="27"/>
          <w:highlight w:val="none"/>
        </w:rPr>
        <w:t>：</w:t>
      </w:r>
      <w:r>
        <w:rPr>
          <w:rFonts w:ascii="宋体" w:hAnsi="宋体" w:eastAsia="宋体" w:cs="宋体"/>
          <w:color w:val="auto"/>
          <w:spacing w:val="5"/>
          <w:sz w:val="27"/>
          <w:szCs w:val="27"/>
          <w:highlight w:val="none"/>
          <w:u w:val="single" w:color="auto"/>
        </w:rPr>
        <w:t xml:space="preserve">        （</w:t>
      </w:r>
      <w:r>
        <w:rPr>
          <w:rFonts w:ascii="宋体" w:hAnsi="宋体" w:eastAsia="宋体" w:cs="宋体"/>
          <w:color w:val="auto"/>
          <w:spacing w:val="3"/>
          <w:sz w:val="27"/>
          <w:szCs w:val="27"/>
          <w:highlight w:val="none"/>
          <w:u w:val="single" w:color="auto"/>
        </w:rPr>
        <w:t>全称）</w:t>
      </w:r>
      <w:r>
        <w:rPr>
          <w:rFonts w:ascii="宋体" w:hAnsi="宋体" w:eastAsia="宋体" w:cs="宋体"/>
          <w:color w:val="auto"/>
          <w:spacing w:val="9"/>
          <w:sz w:val="27"/>
          <w:szCs w:val="27"/>
          <w:highlight w:val="none"/>
          <w:u w:val="single" w:color="auto"/>
        </w:rPr>
        <w:t xml:space="preserve">        </w:t>
      </w:r>
      <w:r>
        <w:rPr>
          <w:rFonts w:ascii="宋体" w:hAnsi="宋体" w:eastAsia="宋体" w:cs="宋体"/>
          <w:color w:val="auto"/>
          <w:spacing w:val="-117"/>
          <w:sz w:val="27"/>
          <w:szCs w:val="27"/>
          <w:highlight w:val="none"/>
        </w:rPr>
        <w:t xml:space="preserve"> </w:t>
      </w:r>
      <w:r>
        <w:rPr>
          <w:rFonts w:ascii="Times New Roman" w:hAnsi="Times New Roman" w:eastAsia="Times New Roman" w:cs="Times New Roman"/>
          <w:color w:val="auto"/>
          <w:spacing w:val="3"/>
          <w:sz w:val="27"/>
          <w:szCs w:val="27"/>
          <w:highlight w:val="none"/>
        </w:rPr>
        <w:t>(</w:t>
      </w:r>
      <w:r>
        <w:rPr>
          <w:rFonts w:ascii="宋体" w:hAnsi="宋体" w:eastAsia="宋体" w:cs="宋体"/>
          <w:color w:val="auto"/>
          <w:spacing w:val="3"/>
          <w:sz w:val="27"/>
          <w:szCs w:val="27"/>
          <w:highlight w:val="none"/>
        </w:rPr>
        <w:t>单位盖章</w:t>
      </w:r>
      <w:r>
        <w:rPr>
          <w:rFonts w:ascii="Times New Roman" w:hAnsi="Times New Roman" w:eastAsia="Times New Roman" w:cs="Times New Roman"/>
          <w:color w:val="auto"/>
          <w:spacing w:val="3"/>
          <w:sz w:val="27"/>
          <w:szCs w:val="27"/>
          <w:highlight w:val="none"/>
        </w:rPr>
        <w:t>)</w:t>
      </w:r>
    </w:p>
    <w:p w14:paraId="67CBE350">
      <w:pPr>
        <w:pStyle w:val="8"/>
        <w:spacing w:line="297" w:lineRule="auto"/>
        <w:rPr>
          <w:color w:val="auto"/>
          <w:highlight w:val="none"/>
        </w:rPr>
      </w:pPr>
    </w:p>
    <w:p w14:paraId="79FBEDB3">
      <w:pPr>
        <w:pStyle w:val="8"/>
        <w:spacing w:line="298" w:lineRule="auto"/>
        <w:rPr>
          <w:color w:val="auto"/>
          <w:highlight w:val="none"/>
        </w:rPr>
      </w:pPr>
    </w:p>
    <w:p w14:paraId="79E4874D">
      <w:pPr>
        <w:spacing w:before="88" w:line="225" w:lineRule="auto"/>
        <w:ind w:left="13"/>
        <w:rPr>
          <w:rFonts w:ascii="宋体" w:hAnsi="宋体" w:eastAsia="宋体" w:cs="宋体"/>
          <w:color w:val="auto"/>
          <w:sz w:val="27"/>
          <w:szCs w:val="27"/>
          <w:highlight w:val="none"/>
        </w:rPr>
      </w:pPr>
      <w:r>
        <w:rPr>
          <w:rFonts w:ascii="宋体" w:hAnsi="宋体" w:eastAsia="宋体" w:cs="宋体"/>
          <w:color w:val="auto"/>
          <w:spacing w:val="-2"/>
          <w:sz w:val="27"/>
          <w:szCs w:val="27"/>
          <w:highlight w:val="none"/>
        </w:rPr>
        <w:t>审</w:t>
      </w:r>
      <w:r>
        <w:rPr>
          <w:rFonts w:ascii="宋体" w:hAnsi="宋体" w:eastAsia="宋体" w:cs="宋体"/>
          <w:color w:val="auto"/>
          <w:spacing w:val="9"/>
          <w:sz w:val="27"/>
          <w:szCs w:val="27"/>
          <w:highlight w:val="none"/>
        </w:rPr>
        <w:t xml:space="preserve">    </w:t>
      </w:r>
      <w:r>
        <w:rPr>
          <w:rFonts w:ascii="宋体" w:hAnsi="宋体" w:eastAsia="宋体" w:cs="宋体"/>
          <w:color w:val="auto"/>
          <w:spacing w:val="-2"/>
          <w:sz w:val="27"/>
          <w:szCs w:val="27"/>
          <w:highlight w:val="none"/>
        </w:rPr>
        <w:t>定</w:t>
      </w:r>
      <w:r>
        <w:rPr>
          <w:rFonts w:ascii="宋体" w:hAnsi="宋体" w:eastAsia="宋体" w:cs="宋体"/>
          <w:color w:val="auto"/>
          <w:spacing w:val="8"/>
          <w:sz w:val="27"/>
          <w:szCs w:val="27"/>
          <w:highlight w:val="none"/>
        </w:rPr>
        <w:t xml:space="preserve">    </w:t>
      </w:r>
      <w:r>
        <w:rPr>
          <w:rFonts w:ascii="宋体" w:hAnsi="宋体" w:eastAsia="宋体" w:cs="宋体"/>
          <w:color w:val="auto"/>
          <w:spacing w:val="-2"/>
          <w:sz w:val="27"/>
          <w:szCs w:val="27"/>
          <w:highlight w:val="none"/>
        </w:rPr>
        <w:t>人</w:t>
      </w:r>
      <w:r>
        <w:rPr>
          <w:rFonts w:ascii="宋体" w:hAnsi="宋体" w:eastAsia="宋体" w:cs="宋体"/>
          <w:color w:val="auto"/>
          <w:spacing w:val="4"/>
          <w:sz w:val="27"/>
          <w:szCs w:val="27"/>
          <w:highlight w:val="none"/>
        </w:rPr>
        <w:t>：</w:t>
      </w:r>
      <w:r>
        <w:rPr>
          <w:rFonts w:ascii="宋体" w:hAnsi="宋体" w:eastAsia="宋体" w:cs="宋体"/>
          <w:color w:val="auto"/>
          <w:spacing w:val="5"/>
          <w:sz w:val="27"/>
          <w:szCs w:val="27"/>
          <w:highlight w:val="none"/>
          <w:u w:val="single" w:color="auto"/>
        </w:rPr>
        <w:t xml:space="preserve">                     </w:t>
      </w:r>
      <w:r>
        <w:rPr>
          <w:rFonts w:ascii="宋体" w:hAnsi="宋体" w:eastAsia="宋体" w:cs="宋体"/>
          <w:color w:val="auto"/>
          <w:spacing w:val="-48"/>
          <w:sz w:val="27"/>
          <w:szCs w:val="27"/>
          <w:highlight w:val="none"/>
        </w:rPr>
        <w:t xml:space="preserve"> </w:t>
      </w:r>
      <w:r>
        <w:rPr>
          <w:rFonts w:ascii="宋体" w:hAnsi="宋体" w:eastAsia="宋体" w:cs="宋体"/>
          <w:color w:val="auto"/>
          <w:spacing w:val="4"/>
          <w:sz w:val="27"/>
          <w:szCs w:val="27"/>
          <w:highlight w:val="none"/>
        </w:rPr>
        <w:t>（</w:t>
      </w:r>
      <w:r>
        <w:rPr>
          <w:rFonts w:ascii="宋体" w:hAnsi="宋体" w:eastAsia="宋体" w:cs="宋体"/>
          <w:color w:val="auto"/>
          <w:spacing w:val="-2"/>
          <w:sz w:val="27"/>
          <w:szCs w:val="27"/>
          <w:highlight w:val="none"/>
        </w:rPr>
        <w:t>签字并盖执业专用章）</w:t>
      </w:r>
    </w:p>
    <w:p w14:paraId="622094F4">
      <w:pPr>
        <w:pStyle w:val="8"/>
        <w:spacing w:line="265" w:lineRule="auto"/>
        <w:rPr>
          <w:color w:val="auto"/>
          <w:highlight w:val="none"/>
        </w:rPr>
      </w:pPr>
    </w:p>
    <w:p w14:paraId="5351CBA1">
      <w:pPr>
        <w:spacing w:before="88" w:line="470" w:lineRule="auto"/>
        <w:ind w:left="1" w:right="553" w:firstLine="12"/>
        <w:rPr>
          <w:rFonts w:ascii="宋体" w:hAnsi="宋体" w:eastAsia="宋体" w:cs="宋体"/>
          <w:color w:val="auto"/>
          <w:sz w:val="27"/>
          <w:szCs w:val="27"/>
          <w:highlight w:val="none"/>
        </w:rPr>
      </w:pPr>
      <w:r>
        <w:rPr>
          <w:rFonts w:ascii="宋体" w:hAnsi="宋体" w:eastAsia="宋体" w:cs="宋体"/>
          <w:color w:val="auto"/>
          <w:sz w:val="27"/>
          <w:szCs w:val="27"/>
          <w:highlight w:val="none"/>
        </w:rPr>
        <w:t>审    核</w:t>
      </w:r>
      <w:r>
        <w:rPr>
          <w:rFonts w:ascii="宋体" w:hAnsi="宋体" w:eastAsia="宋体" w:cs="宋体"/>
          <w:color w:val="auto"/>
          <w:spacing w:val="8"/>
          <w:sz w:val="27"/>
          <w:szCs w:val="27"/>
          <w:highlight w:val="none"/>
        </w:rPr>
        <w:t xml:space="preserve">    </w:t>
      </w:r>
      <w:r>
        <w:rPr>
          <w:rFonts w:ascii="宋体" w:hAnsi="宋体" w:eastAsia="宋体" w:cs="宋体"/>
          <w:color w:val="auto"/>
          <w:sz w:val="27"/>
          <w:szCs w:val="27"/>
          <w:highlight w:val="none"/>
        </w:rPr>
        <w:t>人</w:t>
      </w:r>
      <w:r>
        <w:rPr>
          <w:rFonts w:ascii="宋体" w:hAnsi="宋体" w:eastAsia="宋体" w:cs="宋体"/>
          <w:color w:val="auto"/>
          <w:spacing w:val="9"/>
          <w:sz w:val="27"/>
          <w:szCs w:val="27"/>
          <w:highlight w:val="none"/>
        </w:rPr>
        <w:t>：</w:t>
      </w:r>
      <w:r>
        <w:rPr>
          <w:rFonts w:ascii="宋体" w:hAnsi="宋体" w:eastAsia="宋体" w:cs="宋体"/>
          <w:color w:val="auto"/>
          <w:spacing w:val="5"/>
          <w:sz w:val="27"/>
          <w:szCs w:val="27"/>
          <w:highlight w:val="none"/>
          <w:u w:val="single" w:color="auto"/>
        </w:rPr>
        <w:t xml:space="preserve">                     </w:t>
      </w:r>
      <w:r>
        <w:rPr>
          <w:rFonts w:ascii="宋体" w:hAnsi="宋体" w:eastAsia="宋体" w:cs="宋体"/>
          <w:color w:val="auto"/>
          <w:spacing w:val="-48"/>
          <w:sz w:val="27"/>
          <w:szCs w:val="27"/>
          <w:highlight w:val="none"/>
        </w:rPr>
        <w:t xml:space="preserve"> </w:t>
      </w:r>
      <w:r>
        <w:rPr>
          <w:rFonts w:ascii="宋体" w:hAnsi="宋体" w:eastAsia="宋体" w:cs="宋体"/>
          <w:color w:val="auto"/>
          <w:spacing w:val="9"/>
          <w:sz w:val="27"/>
          <w:szCs w:val="27"/>
          <w:highlight w:val="none"/>
        </w:rPr>
        <w:t>（</w:t>
      </w:r>
      <w:r>
        <w:rPr>
          <w:rFonts w:ascii="宋体" w:hAnsi="宋体" w:eastAsia="宋体" w:cs="宋体"/>
          <w:color w:val="auto"/>
          <w:sz w:val="27"/>
          <w:szCs w:val="27"/>
          <w:highlight w:val="none"/>
        </w:rPr>
        <w:t xml:space="preserve">签字并盖执业专用章） </w:t>
      </w:r>
      <w:r>
        <w:rPr>
          <w:rFonts w:ascii="宋体" w:hAnsi="宋体" w:eastAsia="宋体" w:cs="宋体"/>
          <w:color w:val="auto"/>
          <w:spacing w:val="1"/>
          <w:sz w:val="27"/>
          <w:szCs w:val="27"/>
          <w:highlight w:val="none"/>
        </w:rPr>
        <w:t>编    制</w:t>
      </w:r>
      <w:r>
        <w:rPr>
          <w:rFonts w:ascii="宋体" w:hAnsi="宋体" w:eastAsia="宋体" w:cs="宋体"/>
          <w:color w:val="auto"/>
          <w:spacing w:val="8"/>
          <w:sz w:val="27"/>
          <w:szCs w:val="27"/>
          <w:highlight w:val="none"/>
        </w:rPr>
        <w:t xml:space="preserve">    </w:t>
      </w:r>
      <w:r>
        <w:rPr>
          <w:rFonts w:ascii="宋体" w:hAnsi="宋体" w:eastAsia="宋体" w:cs="宋体"/>
          <w:color w:val="auto"/>
          <w:spacing w:val="1"/>
          <w:sz w:val="27"/>
          <w:szCs w:val="27"/>
          <w:highlight w:val="none"/>
        </w:rPr>
        <w:t>人</w:t>
      </w:r>
      <w:r>
        <w:rPr>
          <w:rFonts w:ascii="宋体" w:hAnsi="宋体" w:eastAsia="宋体" w:cs="宋体"/>
          <w:color w:val="auto"/>
          <w:spacing w:val="7"/>
          <w:sz w:val="27"/>
          <w:szCs w:val="27"/>
          <w:highlight w:val="none"/>
        </w:rPr>
        <w:t>：</w:t>
      </w:r>
      <w:r>
        <w:rPr>
          <w:rFonts w:ascii="宋体" w:hAnsi="宋体" w:eastAsia="宋体" w:cs="宋体"/>
          <w:color w:val="auto"/>
          <w:spacing w:val="5"/>
          <w:sz w:val="27"/>
          <w:szCs w:val="27"/>
          <w:highlight w:val="none"/>
          <w:u w:val="single" w:color="auto"/>
        </w:rPr>
        <w:t xml:space="preserve">                     </w:t>
      </w:r>
      <w:r>
        <w:rPr>
          <w:rFonts w:ascii="宋体" w:hAnsi="宋体" w:eastAsia="宋体" w:cs="宋体"/>
          <w:color w:val="auto"/>
          <w:spacing w:val="-49"/>
          <w:sz w:val="27"/>
          <w:szCs w:val="27"/>
          <w:highlight w:val="none"/>
        </w:rPr>
        <w:t xml:space="preserve"> </w:t>
      </w:r>
      <w:r>
        <w:rPr>
          <w:rFonts w:ascii="宋体" w:hAnsi="宋体" w:eastAsia="宋体" w:cs="宋体"/>
          <w:color w:val="auto"/>
          <w:spacing w:val="7"/>
          <w:sz w:val="27"/>
          <w:szCs w:val="27"/>
          <w:highlight w:val="none"/>
        </w:rPr>
        <w:t>（</w:t>
      </w:r>
      <w:r>
        <w:rPr>
          <w:rFonts w:ascii="宋体" w:hAnsi="宋体" w:eastAsia="宋体" w:cs="宋体"/>
          <w:color w:val="auto"/>
          <w:spacing w:val="1"/>
          <w:sz w:val="27"/>
          <w:szCs w:val="27"/>
          <w:highlight w:val="none"/>
        </w:rPr>
        <w:t>签字并盖执业专用章）</w:t>
      </w:r>
    </w:p>
    <w:p w14:paraId="1621870E">
      <w:pPr>
        <w:spacing w:before="318" w:line="226" w:lineRule="auto"/>
        <w:ind w:left="1"/>
        <w:rPr>
          <w:rFonts w:ascii="宋体" w:hAnsi="宋体" w:eastAsia="宋体" w:cs="宋体"/>
          <w:color w:val="auto"/>
          <w:sz w:val="27"/>
          <w:szCs w:val="27"/>
          <w:highlight w:val="none"/>
        </w:rPr>
      </w:pPr>
      <w:r>
        <w:rPr>
          <w:rFonts w:ascii="宋体" w:hAnsi="宋体" w:eastAsia="宋体" w:cs="宋体"/>
          <w:color w:val="auto"/>
          <w:spacing w:val="-7"/>
          <w:sz w:val="27"/>
          <w:szCs w:val="27"/>
          <w:highlight w:val="none"/>
        </w:rPr>
        <w:t>编</w:t>
      </w:r>
      <w:r>
        <w:rPr>
          <w:rFonts w:ascii="宋体" w:hAnsi="宋体" w:eastAsia="宋体" w:cs="宋体"/>
          <w:color w:val="auto"/>
          <w:spacing w:val="11"/>
          <w:sz w:val="27"/>
          <w:szCs w:val="27"/>
          <w:highlight w:val="none"/>
        </w:rPr>
        <w:t xml:space="preserve">  </w:t>
      </w:r>
      <w:r>
        <w:rPr>
          <w:rFonts w:ascii="宋体" w:hAnsi="宋体" w:eastAsia="宋体" w:cs="宋体"/>
          <w:color w:val="auto"/>
          <w:spacing w:val="-7"/>
          <w:sz w:val="27"/>
          <w:szCs w:val="27"/>
          <w:highlight w:val="none"/>
        </w:rPr>
        <w:t>制</w:t>
      </w:r>
      <w:r>
        <w:rPr>
          <w:rFonts w:ascii="宋体" w:hAnsi="宋体" w:eastAsia="宋体" w:cs="宋体"/>
          <w:color w:val="auto"/>
          <w:spacing w:val="17"/>
          <w:sz w:val="27"/>
          <w:szCs w:val="27"/>
          <w:highlight w:val="none"/>
        </w:rPr>
        <w:t xml:space="preserve">  </w:t>
      </w:r>
      <w:r>
        <w:rPr>
          <w:rFonts w:ascii="宋体" w:hAnsi="宋体" w:eastAsia="宋体" w:cs="宋体"/>
          <w:color w:val="auto"/>
          <w:spacing w:val="-7"/>
          <w:sz w:val="27"/>
          <w:szCs w:val="27"/>
          <w:highlight w:val="none"/>
        </w:rPr>
        <w:t>时</w:t>
      </w:r>
      <w:r>
        <w:rPr>
          <w:rFonts w:ascii="宋体" w:hAnsi="宋体" w:eastAsia="宋体" w:cs="宋体"/>
          <w:color w:val="auto"/>
          <w:spacing w:val="22"/>
          <w:sz w:val="27"/>
          <w:szCs w:val="27"/>
          <w:highlight w:val="none"/>
        </w:rPr>
        <w:t xml:space="preserve">  </w:t>
      </w:r>
      <w:r>
        <w:rPr>
          <w:rFonts w:ascii="宋体" w:hAnsi="宋体" w:eastAsia="宋体" w:cs="宋体"/>
          <w:color w:val="auto"/>
          <w:spacing w:val="-7"/>
          <w:sz w:val="27"/>
          <w:szCs w:val="27"/>
          <w:highlight w:val="none"/>
        </w:rPr>
        <w:t>间：</w:t>
      </w:r>
      <w:r>
        <w:rPr>
          <w:rFonts w:ascii="宋体" w:hAnsi="宋体" w:eastAsia="宋体" w:cs="宋体"/>
          <w:color w:val="auto"/>
          <w:sz w:val="27"/>
          <w:szCs w:val="27"/>
          <w:highlight w:val="none"/>
          <w:u w:val="single" w:color="auto"/>
        </w:rPr>
        <w:t xml:space="preserve">                      </w:t>
      </w:r>
    </w:p>
    <w:p w14:paraId="4C8139D9">
      <w:pPr>
        <w:spacing w:line="226" w:lineRule="auto"/>
        <w:rPr>
          <w:rFonts w:ascii="宋体" w:hAnsi="宋体" w:eastAsia="宋体" w:cs="宋体"/>
          <w:color w:val="auto"/>
          <w:sz w:val="27"/>
          <w:szCs w:val="27"/>
          <w:highlight w:val="none"/>
        </w:rPr>
        <w:sectPr>
          <w:footerReference r:id="rId93" w:type="default"/>
          <w:pgSz w:w="11905" w:h="16840"/>
          <w:pgMar w:top="400" w:right="1529" w:bottom="1255" w:left="1599" w:header="0" w:footer="1093" w:gutter="0"/>
          <w:pgNumType w:fmt="decimal"/>
          <w:cols w:space="720" w:num="1"/>
        </w:sectPr>
      </w:pPr>
    </w:p>
    <w:p w14:paraId="44F09FCD">
      <w:pPr>
        <w:pStyle w:val="8"/>
        <w:spacing w:line="247" w:lineRule="auto"/>
        <w:rPr>
          <w:color w:val="auto"/>
          <w:highlight w:val="none"/>
        </w:rPr>
      </w:pPr>
    </w:p>
    <w:p w14:paraId="167A22AC">
      <w:pPr>
        <w:pStyle w:val="8"/>
        <w:spacing w:line="247" w:lineRule="auto"/>
        <w:rPr>
          <w:color w:val="auto"/>
          <w:highlight w:val="none"/>
        </w:rPr>
      </w:pPr>
    </w:p>
    <w:p w14:paraId="3C490A85">
      <w:pPr>
        <w:pStyle w:val="8"/>
        <w:spacing w:line="247" w:lineRule="auto"/>
        <w:rPr>
          <w:color w:val="auto"/>
          <w:highlight w:val="none"/>
        </w:rPr>
      </w:pPr>
    </w:p>
    <w:p w14:paraId="3582E2B9">
      <w:pPr>
        <w:pStyle w:val="8"/>
        <w:spacing w:line="247" w:lineRule="auto"/>
        <w:rPr>
          <w:color w:val="auto"/>
          <w:highlight w:val="none"/>
        </w:rPr>
      </w:pPr>
    </w:p>
    <w:p w14:paraId="563D9951">
      <w:pPr>
        <w:spacing w:before="88" w:line="227" w:lineRule="auto"/>
        <w:ind w:left="3622"/>
        <w:rPr>
          <w:rFonts w:ascii="宋体" w:hAnsi="宋体" w:eastAsia="宋体" w:cs="宋体"/>
          <w:color w:val="auto"/>
          <w:sz w:val="27"/>
          <w:szCs w:val="27"/>
          <w:highlight w:val="none"/>
        </w:rPr>
      </w:pPr>
      <w:r>
        <w:rPr>
          <w:rFonts w:ascii="宋体" w:hAnsi="宋体" w:eastAsia="宋体" w:cs="宋体"/>
          <w:b/>
          <w:bCs/>
          <w:color w:val="auto"/>
          <w:spacing w:val="-6"/>
          <w:sz w:val="27"/>
          <w:szCs w:val="27"/>
          <w:highlight w:val="none"/>
        </w:rPr>
        <w:t>填</w:t>
      </w:r>
      <w:r>
        <w:rPr>
          <w:rFonts w:ascii="宋体" w:hAnsi="宋体" w:eastAsia="宋体" w:cs="宋体"/>
          <w:color w:val="auto"/>
          <w:spacing w:val="18"/>
          <w:sz w:val="27"/>
          <w:szCs w:val="27"/>
          <w:highlight w:val="none"/>
        </w:rPr>
        <w:t xml:space="preserve"> </w:t>
      </w:r>
      <w:r>
        <w:rPr>
          <w:rFonts w:ascii="宋体" w:hAnsi="宋体" w:eastAsia="宋体" w:cs="宋体"/>
          <w:b/>
          <w:bCs/>
          <w:color w:val="auto"/>
          <w:spacing w:val="-6"/>
          <w:sz w:val="27"/>
          <w:szCs w:val="27"/>
          <w:highlight w:val="none"/>
        </w:rPr>
        <w:t>表</w:t>
      </w:r>
      <w:r>
        <w:rPr>
          <w:rFonts w:ascii="宋体" w:hAnsi="宋体" w:eastAsia="宋体" w:cs="宋体"/>
          <w:color w:val="auto"/>
          <w:spacing w:val="22"/>
          <w:sz w:val="27"/>
          <w:szCs w:val="27"/>
          <w:highlight w:val="none"/>
        </w:rPr>
        <w:t xml:space="preserve"> </w:t>
      </w:r>
      <w:r>
        <w:rPr>
          <w:rFonts w:ascii="宋体" w:hAnsi="宋体" w:eastAsia="宋体" w:cs="宋体"/>
          <w:b/>
          <w:bCs/>
          <w:color w:val="auto"/>
          <w:spacing w:val="-6"/>
          <w:sz w:val="27"/>
          <w:szCs w:val="27"/>
          <w:highlight w:val="none"/>
        </w:rPr>
        <w:t>须</w:t>
      </w:r>
      <w:r>
        <w:rPr>
          <w:rFonts w:ascii="宋体" w:hAnsi="宋体" w:eastAsia="宋体" w:cs="宋体"/>
          <w:color w:val="auto"/>
          <w:spacing w:val="24"/>
          <w:sz w:val="27"/>
          <w:szCs w:val="27"/>
          <w:highlight w:val="none"/>
        </w:rPr>
        <w:t xml:space="preserve"> </w:t>
      </w:r>
      <w:r>
        <w:rPr>
          <w:rFonts w:ascii="宋体" w:hAnsi="宋体" w:eastAsia="宋体" w:cs="宋体"/>
          <w:b/>
          <w:bCs/>
          <w:color w:val="auto"/>
          <w:spacing w:val="-6"/>
          <w:sz w:val="27"/>
          <w:szCs w:val="27"/>
          <w:highlight w:val="none"/>
        </w:rPr>
        <w:t>知</w:t>
      </w:r>
    </w:p>
    <w:p w14:paraId="5CB10B8D">
      <w:pPr>
        <w:pStyle w:val="8"/>
        <w:spacing w:line="269" w:lineRule="auto"/>
        <w:rPr>
          <w:color w:val="auto"/>
          <w:highlight w:val="none"/>
        </w:rPr>
      </w:pPr>
    </w:p>
    <w:p w14:paraId="79DD2C70">
      <w:pPr>
        <w:pStyle w:val="8"/>
        <w:spacing w:line="269" w:lineRule="auto"/>
        <w:rPr>
          <w:color w:val="auto"/>
          <w:highlight w:val="none"/>
        </w:rPr>
      </w:pPr>
    </w:p>
    <w:p w14:paraId="062CDB8D">
      <w:pPr>
        <w:spacing w:before="78" w:line="289" w:lineRule="auto"/>
        <w:ind w:right="84" w:firstLine="496"/>
        <w:rPr>
          <w:rFonts w:ascii="宋体" w:hAnsi="宋体" w:eastAsia="宋体" w:cs="宋体"/>
          <w:color w:val="auto"/>
          <w:sz w:val="24"/>
          <w:szCs w:val="24"/>
          <w:highlight w:val="none"/>
        </w:rPr>
      </w:pPr>
      <w:r>
        <w:rPr>
          <w:rFonts w:ascii="Times New Roman" w:hAnsi="Times New Roman" w:eastAsia="Times New Roman" w:cs="Times New Roman"/>
          <w:color w:val="auto"/>
          <w:spacing w:val="-6"/>
          <w:sz w:val="24"/>
          <w:szCs w:val="24"/>
          <w:highlight w:val="none"/>
        </w:rPr>
        <w:t>1.</w:t>
      </w:r>
      <w:r>
        <w:rPr>
          <w:rFonts w:ascii="宋体" w:hAnsi="宋体" w:eastAsia="宋体" w:cs="宋体"/>
          <w:color w:val="auto"/>
          <w:spacing w:val="-6"/>
          <w:sz w:val="24"/>
          <w:szCs w:val="24"/>
          <w:highlight w:val="none"/>
        </w:rPr>
        <w:t>工程量清单及其计价格式中所有要求盖章</w:t>
      </w:r>
      <w:r>
        <w:rPr>
          <w:rFonts w:ascii="宋体" w:hAnsi="宋体" w:eastAsia="宋体" w:cs="宋体"/>
          <w:color w:val="auto"/>
          <w:spacing w:val="-7"/>
          <w:sz w:val="24"/>
          <w:szCs w:val="24"/>
          <w:highlight w:val="none"/>
        </w:rPr>
        <w:t>、签字的地方，</w:t>
      </w:r>
      <w:r>
        <w:rPr>
          <w:rFonts w:ascii="宋体" w:hAnsi="宋体" w:eastAsia="宋体" w:cs="宋体"/>
          <w:color w:val="auto"/>
          <w:spacing w:val="51"/>
          <w:sz w:val="24"/>
          <w:szCs w:val="24"/>
          <w:highlight w:val="none"/>
        </w:rPr>
        <w:t xml:space="preserve"> </w:t>
      </w:r>
      <w:r>
        <w:rPr>
          <w:rFonts w:ascii="宋体" w:hAnsi="宋体" w:eastAsia="宋体" w:cs="宋体"/>
          <w:color w:val="auto"/>
          <w:spacing w:val="-7"/>
          <w:sz w:val="24"/>
          <w:szCs w:val="24"/>
          <w:highlight w:val="none"/>
        </w:rPr>
        <w:t>必须由规定的单位和</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人员盖章、签字。</w:t>
      </w:r>
    </w:p>
    <w:p w14:paraId="18B6FD38">
      <w:pPr>
        <w:spacing w:before="182" w:line="289" w:lineRule="auto"/>
        <w:ind w:left="1" w:firstLine="476"/>
        <w:rPr>
          <w:rFonts w:ascii="宋体" w:hAnsi="宋体" w:eastAsia="宋体" w:cs="宋体"/>
          <w:color w:val="auto"/>
          <w:sz w:val="24"/>
          <w:szCs w:val="24"/>
          <w:highlight w:val="none"/>
        </w:rPr>
      </w:pPr>
      <w:r>
        <w:rPr>
          <w:rFonts w:hint="eastAsia" w:ascii="Times New Roman" w:hAnsi="Times New Roman" w:eastAsia="宋体" w:cs="Times New Roman"/>
          <w:color w:val="auto"/>
          <w:spacing w:val="1"/>
          <w:sz w:val="24"/>
          <w:szCs w:val="24"/>
          <w:highlight w:val="none"/>
          <w:lang w:val="en-US" w:eastAsia="zh-CN"/>
        </w:rPr>
        <w:t>2.</w:t>
      </w:r>
      <w:r>
        <w:rPr>
          <w:rFonts w:ascii="宋体" w:hAnsi="宋体" w:eastAsia="宋体" w:cs="宋体"/>
          <w:color w:val="auto"/>
          <w:spacing w:val="1"/>
          <w:sz w:val="24"/>
          <w:szCs w:val="24"/>
          <w:highlight w:val="none"/>
        </w:rPr>
        <w:t>工程量清单计价格式中列明的所有需要填报的单价和合价，投标人均应填报。</w:t>
      </w:r>
      <w:r>
        <w:rPr>
          <w:rFonts w:ascii="宋体" w:hAnsi="宋体" w:eastAsia="宋体" w:cs="宋体"/>
          <w:color w:val="auto"/>
          <w:spacing w:val="6"/>
          <w:sz w:val="24"/>
          <w:szCs w:val="24"/>
          <w:highlight w:val="none"/>
        </w:rPr>
        <w:t xml:space="preserve"> </w:t>
      </w:r>
      <w:r>
        <w:rPr>
          <w:rFonts w:ascii="宋体" w:hAnsi="宋体" w:eastAsia="宋体" w:cs="宋体"/>
          <w:color w:val="auto"/>
          <w:spacing w:val="-1"/>
          <w:sz w:val="24"/>
          <w:szCs w:val="24"/>
          <w:highlight w:val="none"/>
        </w:rPr>
        <w:t>未填报的单价和合价，视为此项费用已包含在工程</w:t>
      </w:r>
      <w:r>
        <w:rPr>
          <w:rFonts w:ascii="宋体" w:hAnsi="宋体" w:eastAsia="宋体" w:cs="宋体"/>
          <w:color w:val="auto"/>
          <w:spacing w:val="-2"/>
          <w:sz w:val="24"/>
          <w:szCs w:val="24"/>
          <w:highlight w:val="none"/>
        </w:rPr>
        <w:t>量清单的其它单价和合价中。</w:t>
      </w:r>
    </w:p>
    <w:p w14:paraId="1064B5DA">
      <w:pPr>
        <w:spacing w:before="183" w:line="218" w:lineRule="auto"/>
        <w:ind w:left="472"/>
        <w:rPr>
          <w:rFonts w:ascii="宋体" w:hAnsi="宋体" w:eastAsia="宋体" w:cs="宋体"/>
          <w:color w:val="auto"/>
          <w:sz w:val="24"/>
          <w:szCs w:val="24"/>
          <w:highlight w:val="none"/>
        </w:rPr>
        <w:sectPr>
          <w:footerReference r:id="rId94" w:type="default"/>
          <w:pgSz w:w="11905" w:h="16840"/>
          <w:pgMar w:top="400" w:right="1443" w:bottom="1255" w:left="1598" w:header="0" w:footer="1093" w:gutter="0"/>
          <w:pgNumType w:fmt="decimal"/>
          <w:cols w:space="720" w:num="1"/>
        </w:sectPr>
      </w:pPr>
      <w:r>
        <w:rPr>
          <w:rFonts w:hint="eastAsia" w:ascii="Times New Roman" w:hAnsi="Times New Roman" w:eastAsia="宋体" w:cs="Times New Roman"/>
          <w:color w:val="auto"/>
          <w:spacing w:val="-2"/>
          <w:sz w:val="24"/>
          <w:szCs w:val="24"/>
          <w:highlight w:val="none"/>
          <w:lang w:val="en-US" w:eastAsia="zh-CN"/>
        </w:rPr>
        <w:t>3</w:t>
      </w:r>
      <w:r>
        <w:rPr>
          <w:rFonts w:ascii="Times New Roman" w:hAnsi="Times New Roman" w:eastAsia="Times New Roman" w:cs="Times New Roman"/>
          <w:color w:val="auto"/>
          <w:spacing w:val="-2"/>
          <w:sz w:val="24"/>
          <w:szCs w:val="24"/>
          <w:highlight w:val="none"/>
        </w:rPr>
        <w:t>.</w:t>
      </w:r>
      <w:r>
        <w:rPr>
          <w:rFonts w:ascii="宋体" w:hAnsi="宋体" w:eastAsia="宋体" w:cs="宋体"/>
          <w:color w:val="auto"/>
          <w:spacing w:val="-2"/>
          <w:sz w:val="24"/>
          <w:szCs w:val="24"/>
          <w:highlight w:val="none"/>
        </w:rPr>
        <w:t>投标金额（价格）均应以人民币表示。</w:t>
      </w:r>
    </w:p>
    <w:p w14:paraId="376C1419">
      <w:pPr>
        <w:pStyle w:val="8"/>
        <w:spacing w:line="244" w:lineRule="auto"/>
        <w:rPr>
          <w:color w:val="auto"/>
          <w:highlight w:val="none"/>
        </w:rPr>
      </w:pPr>
    </w:p>
    <w:p w14:paraId="2246500D">
      <w:pPr>
        <w:pStyle w:val="8"/>
        <w:spacing w:line="244" w:lineRule="auto"/>
        <w:rPr>
          <w:color w:val="auto"/>
          <w:highlight w:val="none"/>
        </w:rPr>
      </w:pPr>
    </w:p>
    <w:p w14:paraId="039A3933">
      <w:pPr>
        <w:pStyle w:val="8"/>
        <w:spacing w:line="244" w:lineRule="auto"/>
        <w:rPr>
          <w:color w:val="auto"/>
          <w:highlight w:val="none"/>
        </w:rPr>
      </w:pPr>
    </w:p>
    <w:p w14:paraId="4BAD5665">
      <w:pPr>
        <w:pStyle w:val="8"/>
        <w:spacing w:line="244" w:lineRule="auto"/>
        <w:rPr>
          <w:color w:val="auto"/>
          <w:highlight w:val="none"/>
        </w:rPr>
      </w:pPr>
    </w:p>
    <w:p w14:paraId="5F1F2FF2">
      <w:pPr>
        <w:pStyle w:val="8"/>
        <w:spacing w:line="244" w:lineRule="auto"/>
        <w:rPr>
          <w:color w:val="auto"/>
          <w:highlight w:val="none"/>
        </w:rPr>
      </w:pPr>
    </w:p>
    <w:p w14:paraId="67A88BF9">
      <w:pPr>
        <w:pStyle w:val="8"/>
        <w:spacing w:line="245" w:lineRule="auto"/>
        <w:rPr>
          <w:color w:val="auto"/>
          <w:highlight w:val="none"/>
        </w:rPr>
      </w:pPr>
    </w:p>
    <w:p w14:paraId="6F26B19E">
      <w:pPr>
        <w:pStyle w:val="8"/>
        <w:spacing w:line="245" w:lineRule="auto"/>
        <w:rPr>
          <w:color w:val="auto"/>
          <w:highlight w:val="none"/>
        </w:rPr>
      </w:pPr>
    </w:p>
    <w:p w14:paraId="04563F70">
      <w:pPr>
        <w:pStyle w:val="8"/>
        <w:spacing w:line="245" w:lineRule="auto"/>
        <w:rPr>
          <w:color w:val="auto"/>
          <w:highlight w:val="none"/>
        </w:rPr>
      </w:pPr>
    </w:p>
    <w:p w14:paraId="7608E422">
      <w:pPr>
        <w:pStyle w:val="8"/>
        <w:spacing w:line="245" w:lineRule="auto"/>
        <w:rPr>
          <w:color w:val="auto"/>
          <w:highlight w:val="none"/>
        </w:rPr>
      </w:pPr>
    </w:p>
    <w:p w14:paraId="56E2C7E3">
      <w:pPr>
        <w:pStyle w:val="8"/>
        <w:spacing w:line="245" w:lineRule="auto"/>
        <w:rPr>
          <w:color w:val="auto"/>
          <w:highlight w:val="none"/>
        </w:rPr>
      </w:pPr>
    </w:p>
    <w:p w14:paraId="32581F03">
      <w:pPr>
        <w:pStyle w:val="8"/>
        <w:spacing w:line="245" w:lineRule="auto"/>
        <w:rPr>
          <w:color w:val="auto"/>
          <w:highlight w:val="none"/>
        </w:rPr>
      </w:pPr>
    </w:p>
    <w:p w14:paraId="2A151013">
      <w:pPr>
        <w:pStyle w:val="8"/>
        <w:spacing w:line="245" w:lineRule="auto"/>
        <w:rPr>
          <w:color w:val="auto"/>
          <w:highlight w:val="none"/>
        </w:rPr>
      </w:pPr>
    </w:p>
    <w:p w14:paraId="248DA256">
      <w:pPr>
        <w:pStyle w:val="8"/>
        <w:spacing w:line="245" w:lineRule="auto"/>
        <w:rPr>
          <w:color w:val="auto"/>
          <w:highlight w:val="none"/>
        </w:rPr>
      </w:pPr>
    </w:p>
    <w:p w14:paraId="5660C583">
      <w:pPr>
        <w:pStyle w:val="8"/>
        <w:spacing w:line="245" w:lineRule="auto"/>
        <w:rPr>
          <w:color w:val="auto"/>
          <w:highlight w:val="none"/>
        </w:rPr>
      </w:pPr>
    </w:p>
    <w:p w14:paraId="45490AC7">
      <w:pPr>
        <w:pStyle w:val="8"/>
        <w:spacing w:line="245" w:lineRule="auto"/>
        <w:rPr>
          <w:color w:val="auto"/>
          <w:highlight w:val="none"/>
        </w:rPr>
      </w:pPr>
    </w:p>
    <w:p w14:paraId="3A894BE7">
      <w:pPr>
        <w:pStyle w:val="8"/>
        <w:spacing w:line="245" w:lineRule="auto"/>
        <w:rPr>
          <w:color w:val="auto"/>
          <w:highlight w:val="none"/>
        </w:rPr>
      </w:pPr>
    </w:p>
    <w:p w14:paraId="2AE25529">
      <w:pPr>
        <w:pStyle w:val="8"/>
        <w:spacing w:line="245" w:lineRule="auto"/>
        <w:rPr>
          <w:color w:val="auto"/>
          <w:highlight w:val="none"/>
        </w:rPr>
      </w:pPr>
    </w:p>
    <w:p w14:paraId="6FDB74D0">
      <w:pPr>
        <w:pStyle w:val="8"/>
        <w:spacing w:line="245" w:lineRule="auto"/>
        <w:rPr>
          <w:color w:val="auto"/>
          <w:highlight w:val="none"/>
        </w:rPr>
      </w:pPr>
    </w:p>
    <w:p w14:paraId="4BAACB00">
      <w:pPr>
        <w:pStyle w:val="8"/>
        <w:spacing w:line="245" w:lineRule="auto"/>
        <w:rPr>
          <w:color w:val="auto"/>
          <w:highlight w:val="none"/>
        </w:rPr>
      </w:pPr>
    </w:p>
    <w:p w14:paraId="6A9B5167">
      <w:pPr>
        <w:pStyle w:val="8"/>
        <w:spacing w:line="245" w:lineRule="auto"/>
        <w:rPr>
          <w:color w:val="auto"/>
          <w:highlight w:val="none"/>
        </w:rPr>
      </w:pPr>
    </w:p>
    <w:p w14:paraId="3D3C110B">
      <w:pPr>
        <w:pStyle w:val="8"/>
        <w:spacing w:line="245" w:lineRule="auto"/>
        <w:rPr>
          <w:color w:val="auto"/>
          <w:highlight w:val="none"/>
        </w:rPr>
      </w:pPr>
    </w:p>
    <w:p w14:paraId="42FA2E14">
      <w:pPr>
        <w:pStyle w:val="8"/>
        <w:spacing w:line="245" w:lineRule="auto"/>
        <w:rPr>
          <w:color w:val="auto"/>
          <w:highlight w:val="none"/>
        </w:rPr>
      </w:pPr>
    </w:p>
    <w:p w14:paraId="3CC3D4A5">
      <w:pPr>
        <w:pStyle w:val="8"/>
        <w:spacing w:line="245" w:lineRule="auto"/>
        <w:rPr>
          <w:color w:val="auto"/>
          <w:highlight w:val="none"/>
        </w:rPr>
      </w:pPr>
    </w:p>
    <w:p w14:paraId="63D894A8">
      <w:pPr>
        <w:pStyle w:val="8"/>
        <w:spacing w:line="245" w:lineRule="auto"/>
        <w:rPr>
          <w:color w:val="auto"/>
          <w:highlight w:val="none"/>
        </w:rPr>
      </w:pPr>
    </w:p>
    <w:p w14:paraId="17CBEDEE">
      <w:pPr>
        <w:pStyle w:val="8"/>
        <w:spacing w:line="245" w:lineRule="auto"/>
        <w:rPr>
          <w:color w:val="auto"/>
          <w:highlight w:val="none"/>
        </w:rPr>
      </w:pPr>
    </w:p>
    <w:p w14:paraId="41B2CBC3">
      <w:pPr>
        <w:pStyle w:val="8"/>
        <w:spacing w:line="245" w:lineRule="auto"/>
        <w:rPr>
          <w:color w:val="auto"/>
          <w:highlight w:val="none"/>
        </w:rPr>
      </w:pPr>
    </w:p>
    <w:p w14:paraId="4ABCF6DD">
      <w:pPr>
        <w:pStyle w:val="8"/>
        <w:spacing w:line="245" w:lineRule="auto"/>
        <w:rPr>
          <w:color w:val="auto"/>
          <w:highlight w:val="none"/>
        </w:rPr>
      </w:pPr>
    </w:p>
    <w:p w14:paraId="00C90A93">
      <w:pPr>
        <w:pStyle w:val="8"/>
        <w:spacing w:line="245" w:lineRule="auto"/>
        <w:rPr>
          <w:color w:val="auto"/>
          <w:highlight w:val="none"/>
        </w:rPr>
      </w:pPr>
    </w:p>
    <w:p w14:paraId="593F20DB">
      <w:pPr>
        <w:pStyle w:val="8"/>
        <w:spacing w:line="245" w:lineRule="auto"/>
        <w:rPr>
          <w:color w:val="auto"/>
          <w:highlight w:val="none"/>
        </w:rPr>
      </w:pPr>
    </w:p>
    <w:p w14:paraId="01052CE4">
      <w:pPr>
        <w:pStyle w:val="8"/>
        <w:spacing w:line="245" w:lineRule="auto"/>
        <w:rPr>
          <w:color w:val="auto"/>
          <w:highlight w:val="none"/>
        </w:rPr>
      </w:pPr>
    </w:p>
    <w:p w14:paraId="11D273A0">
      <w:pPr>
        <w:spacing w:before="156" w:line="222" w:lineRule="auto"/>
        <w:ind w:left="3250"/>
        <w:outlineLvl w:val="0"/>
        <w:rPr>
          <w:rFonts w:ascii="黑体" w:hAnsi="黑体" w:eastAsia="黑体" w:cs="黑体"/>
          <w:color w:val="auto"/>
          <w:sz w:val="48"/>
          <w:szCs w:val="48"/>
          <w:highlight w:val="none"/>
        </w:rPr>
      </w:pPr>
      <w:bookmarkStart w:id="160" w:name="bookmark422"/>
      <w:bookmarkEnd w:id="160"/>
      <w:bookmarkStart w:id="161" w:name="bookmark99"/>
      <w:bookmarkEnd w:id="161"/>
      <w:bookmarkStart w:id="162" w:name="_Toc29953"/>
      <w:r>
        <w:rPr>
          <w:rFonts w:ascii="黑体" w:hAnsi="黑体" w:eastAsia="黑体" w:cs="黑体"/>
          <w:b/>
          <w:bCs/>
          <w:color w:val="auto"/>
          <w:spacing w:val="-21"/>
          <w:sz w:val="48"/>
          <w:szCs w:val="48"/>
          <w:highlight w:val="none"/>
        </w:rPr>
        <w:t>第</w:t>
      </w:r>
      <w:r>
        <w:rPr>
          <w:rFonts w:ascii="黑体" w:hAnsi="黑体" w:eastAsia="黑体" w:cs="黑体"/>
          <w:color w:val="auto"/>
          <w:spacing w:val="31"/>
          <w:sz w:val="48"/>
          <w:szCs w:val="48"/>
          <w:highlight w:val="none"/>
        </w:rPr>
        <w:t xml:space="preserve"> </w:t>
      </w:r>
      <w:r>
        <w:rPr>
          <w:rFonts w:ascii="黑体" w:hAnsi="黑体" w:eastAsia="黑体" w:cs="黑体"/>
          <w:b/>
          <w:bCs/>
          <w:color w:val="auto"/>
          <w:spacing w:val="-21"/>
          <w:sz w:val="48"/>
          <w:szCs w:val="48"/>
          <w:highlight w:val="none"/>
        </w:rPr>
        <w:t>二</w:t>
      </w:r>
      <w:r>
        <w:rPr>
          <w:rFonts w:ascii="黑体" w:hAnsi="黑体" w:eastAsia="黑体" w:cs="黑体"/>
          <w:color w:val="auto"/>
          <w:spacing w:val="29"/>
          <w:sz w:val="48"/>
          <w:szCs w:val="48"/>
          <w:highlight w:val="none"/>
        </w:rPr>
        <w:t xml:space="preserve"> </w:t>
      </w:r>
      <w:r>
        <w:rPr>
          <w:rFonts w:ascii="黑体" w:hAnsi="黑体" w:eastAsia="黑体" w:cs="黑体"/>
          <w:b/>
          <w:bCs/>
          <w:color w:val="auto"/>
          <w:spacing w:val="-21"/>
          <w:sz w:val="48"/>
          <w:szCs w:val="48"/>
          <w:highlight w:val="none"/>
        </w:rPr>
        <w:t>卷</w:t>
      </w:r>
      <w:bookmarkEnd w:id="162"/>
    </w:p>
    <w:p w14:paraId="30B550BA">
      <w:pPr>
        <w:spacing w:line="222" w:lineRule="auto"/>
        <w:rPr>
          <w:rFonts w:ascii="黑体" w:hAnsi="黑体" w:eastAsia="黑体" w:cs="黑体"/>
          <w:color w:val="auto"/>
          <w:sz w:val="48"/>
          <w:szCs w:val="48"/>
          <w:highlight w:val="none"/>
        </w:rPr>
        <w:sectPr>
          <w:footerReference r:id="rId95" w:type="default"/>
          <w:pgSz w:w="11905" w:h="16840"/>
          <w:pgMar w:top="400" w:right="1529" w:bottom="1255" w:left="1785" w:header="0" w:footer="1093" w:gutter="0"/>
          <w:pgNumType w:fmt="decimal"/>
          <w:cols w:space="720" w:num="1"/>
        </w:sectPr>
      </w:pPr>
    </w:p>
    <w:p w14:paraId="1D6F90AC">
      <w:pPr>
        <w:pStyle w:val="8"/>
        <w:spacing w:line="242" w:lineRule="auto"/>
        <w:rPr>
          <w:color w:val="auto"/>
          <w:highlight w:val="none"/>
        </w:rPr>
      </w:pPr>
    </w:p>
    <w:p w14:paraId="6AAF4E8A">
      <w:pPr>
        <w:pStyle w:val="8"/>
        <w:spacing w:line="242" w:lineRule="auto"/>
        <w:rPr>
          <w:color w:val="auto"/>
          <w:highlight w:val="none"/>
        </w:rPr>
      </w:pPr>
    </w:p>
    <w:p w14:paraId="2844D21B">
      <w:pPr>
        <w:pStyle w:val="8"/>
        <w:spacing w:line="242" w:lineRule="auto"/>
        <w:rPr>
          <w:color w:val="auto"/>
          <w:highlight w:val="none"/>
        </w:rPr>
      </w:pPr>
    </w:p>
    <w:p w14:paraId="60A7CDE3">
      <w:pPr>
        <w:pStyle w:val="8"/>
        <w:spacing w:line="243" w:lineRule="auto"/>
        <w:rPr>
          <w:color w:val="auto"/>
          <w:highlight w:val="none"/>
        </w:rPr>
      </w:pPr>
    </w:p>
    <w:p w14:paraId="6E1BB941">
      <w:pPr>
        <w:spacing w:before="117" w:line="219" w:lineRule="auto"/>
        <w:ind w:left="1337"/>
        <w:outlineLvl w:val="1"/>
        <w:rPr>
          <w:rFonts w:ascii="宋体" w:hAnsi="宋体" w:eastAsia="宋体" w:cs="宋体"/>
          <w:color w:val="auto"/>
          <w:sz w:val="36"/>
          <w:szCs w:val="36"/>
          <w:highlight w:val="none"/>
        </w:rPr>
      </w:pPr>
      <w:bookmarkStart w:id="163" w:name="bookmark100"/>
      <w:bookmarkEnd w:id="163"/>
      <w:bookmarkStart w:id="164" w:name="bookmark423"/>
      <w:bookmarkEnd w:id="164"/>
      <w:bookmarkStart w:id="165" w:name="_Toc24059"/>
      <w:r>
        <w:rPr>
          <w:rFonts w:ascii="宋体" w:hAnsi="宋体" w:eastAsia="宋体" w:cs="宋体"/>
          <w:b/>
          <w:bCs/>
          <w:color w:val="auto"/>
          <w:spacing w:val="-7"/>
          <w:sz w:val="36"/>
          <w:szCs w:val="36"/>
          <w:highlight w:val="none"/>
        </w:rPr>
        <w:t>第六章</w:t>
      </w:r>
      <w:r>
        <w:rPr>
          <w:rFonts w:ascii="宋体" w:hAnsi="宋体" w:eastAsia="宋体" w:cs="宋体"/>
          <w:color w:val="auto"/>
          <w:spacing w:val="29"/>
          <w:sz w:val="36"/>
          <w:szCs w:val="36"/>
          <w:highlight w:val="none"/>
        </w:rPr>
        <w:t xml:space="preserve">  </w:t>
      </w:r>
      <w:r>
        <w:rPr>
          <w:rFonts w:ascii="宋体" w:hAnsi="宋体" w:eastAsia="宋体" w:cs="宋体"/>
          <w:b/>
          <w:bCs/>
          <w:color w:val="auto"/>
          <w:spacing w:val="-7"/>
          <w:sz w:val="36"/>
          <w:szCs w:val="36"/>
          <w:highlight w:val="none"/>
        </w:rPr>
        <w:t>图纸（招标图纸）及其他资料</w:t>
      </w:r>
      <w:bookmarkEnd w:id="165"/>
    </w:p>
    <w:p w14:paraId="0C635B05">
      <w:pPr>
        <w:pStyle w:val="8"/>
        <w:spacing w:line="355" w:lineRule="auto"/>
        <w:rPr>
          <w:color w:val="auto"/>
          <w:highlight w:val="none"/>
        </w:rPr>
      </w:pPr>
    </w:p>
    <w:p w14:paraId="39A9086A">
      <w:pPr>
        <w:pStyle w:val="8"/>
        <w:spacing w:line="356" w:lineRule="auto"/>
        <w:rPr>
          <w:color w:val="auto"/>
          <w:highlight w:val="none"/>
        </w:rPr>
      </w:pPr>
    </w:p>
    <w:p w14:paraId="21CA14D5">
      <w:pPr>
        <w:spacing w:before="88" w:line="226" w:lineRule="auto"/>
        <w:ind w:left="18"/>
        <w:outlineLvl w:val="2"/>
        <w:rPr>
          <w:rFonts w:ascii="宋体" w:hAnsi="宋体" w:eastAsia="宋体" w:cs="宋体"/>
          <w:color w:val="auto"/>
          <w:sz w:val="27"/>
          <w:szCs w:val="27"/>
          <w:highlight w:val="none"/>
        </w:rPr>
      </w:pPr>
      <w:bookmarkStart w:id="166" w:name="bookmark101"/>
      <w:bookmarkEnd w:id="166"/>
      <w:bookmarkStart w:id="167" w:name="_Toc24555"/>
      <w:r>
        <w:rPr>
          <w:rFonts w:ascii="Times New Roman" w:hAnsi="Times New Roman" w:eastAsia="Times New Roman" w:cs="Times New Roman"/>
          <w:b/>
          <w:bCs/>
          <w:color w:val="auto"/>
          <w:spacing w:val="-5"/>
          <w:sz w:val="27"/>
          <w:szCs w:val="27"/>
          <w:highlight w:val="none"/>
        </w:rPr>
        <w:t>1</w:t>
      </w:r>
      <w:r>
        <w:rPr>
          <w:rFonts w:ascii="Times New Roman" w:hAnsi="Times New Roman" w:eastAsia="Times New Roman" w:cs="Times New Roman"/>
          <w:b/>
          <w:bCs/>
          <w:color w:val="auto"/>
          <w:spacing w:val="10"/>
          <w:sz w:val="27"/>
          <w:szCs w:val="27"/>
          <w:highlight w:val="none"/>
        </w:rPr>
        <w:t xml:space="preserve">  </w:t>
      </w:r>
      <w:r>
        <w:rPr>
          <w:rFonts w:ascii="宋体" w:hAnsi="宋体" w:eastAsia="宋体" w:cs="宋体"/>
          <w:b/>
          <w:bCs/>
          <w:color w:val="auto"/>
          <w:spacing w:val="-5"/>
          <w:sz w:val="27"/>
          <w:szCs w:val="27"/>
          <w:highlight w:val="none"/>
        </w:rPr>
        <w:t>说明</w:t>
      </w:r>
      <w:bookmarkEnd w:id="167"/>
    </w:p>
    <w:p w14:paraId="7DD1431A">
      <w:pPr>
        <w:pStyle w:val="8"/>
        <w:spacing w:line="249" w:lineRule="auto"/>
        <w:rPr>
          <w:color w:val="auto"/>
          <w:highlight w:val="none"/>
        </w:rPr>
      </w:pPr>
    </w:p>
    <w:p w14:paraId="2990BFD7">
      <w:pPr>
        <w:spacing w:before="78" w:line="360" w:lineRule="auto"/>
        <w:ind w:left="11" w:right="236" w:firstLine="479"/>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本招标文件所附的全部图纸及其它资料均为招标阶段的中间成果，仅供投标人在</w:t>
      </w:r>
      <w:r>
        <w:rPr>
          <w:rFonts w:ascii="宋体" w:hAnsi="宋体" w:eastAsia="宋体" w:cs="宋体"/>
          <w:color w:val="auto"/>
          <w:spacing w:val="1"/>
          <w:sz w:val="24"/>
          <w:szCs w:val="24"/>
          <w:highlight w:val="none"/>
        </w:rPr>
        <w:t xml:space="preserve"> </w:t>
      </w:r>
      <w:r>
        <w:rPr>
          <w:rFonts w:ascii="宋体" w:hAnsi="宋体" w:eastAsia="宋体" w:cs="宋体"/>
          <w:color w:val="auto"/>
          <w:spacing w:val="-6"/>
          <w:sz w:val="24"/>
          <w:szCs w:val="24"/>
          <w:highlight w:val="none"/>
        </w:rPr>
        <w:t>编制投标文件时使用，不得作为施工的依据。否则，由此而造成的一切后果均由承包</w:t>
      </w:r>
      <w:r>
        <w:rPr>
          <w:rFonts w:ascii="宋体" w:hAnsi="宋体" w:eastAsia="宋体" w:cs="宋体"/>
          <w:color w:val="auto"/>
          <w:spacing w:val="2"/>
          <w:sz w:val="24"/>
          <w:szCs w:val="24"/>
          <w:highlight w:val="none"/>
        </w:rPr>
        <w:t xml:space="preserve"> </w:t>
      </w:r>
      <w:r>
        <w:rPr>
          <w:rFonts w:ascii="宋体" w:hAnsi="宋体" w:eastAsia="宋体" w:cs="宋体"/>
          <w:color w:val="auto"/>
          <w:spacing w:val="-9"/>
          <w:sz w:val="24"/>
          <w:szCs w:val="24"/>
          <w:highlight w:val="none"/>
        </w:rPr>
        <w:t>人自负。</w:t>
      </w:r>
    </w:p>
    <w:p w14:paraId="2F42B941">
      <w:pPr>
        <w:spacing w:before="121" w:line="227" w:lineRule="auto"/>
        <w:ind w:left="6"/>
        <w:outlineLvl w:val="2"/>
        <w:rPr>
          <w:rFonts w:ascii="宋体" w:hAnsi="宋体" w:eastAsia="宋体" w:cs="宋体"/>
          <w:color w:val="auto"/>
          <w:sz w:val="27"/>
          <w:szCs w:val="27"/>
          <w:highlight w:val="none"/>
        </w:rPr>
      </w:pPr>
      <w:bookmarkStart w:id="168" w:name="bookmark102"/>
      <w:bookmarkEnd w:id="168"/>
      <w:bookmarkStart w:id="169" w:name="_Toc1654"/>
      <w:r>
        <w:rPr>
          <w:rFonts w:ascii="Times New Roman" w:hAnsi="Times New Roman" w:eastAsia="Times New Roman" w:cs="Times New Roman"/>
          <w:b/>
          <w:bCs/>
          <w:color w:val="auto"/>
          <w:spacing w:val="3"/>
          <w:sz w:val="27"/>
          <w:szCs w:val="27"/>
          <w:highlight w:val="none"/>
        </w:rPr>
        <w:t>2</w:t>
      </w:r>
      <w:r>
        <w:rPr>
          <w:rFonts w:ascii="Times New Roman" w:hAnsi="Times New Roman" w:eastAsia="Times New Roman" w:cs="Times New Roman"/>
          <w:b/>
          <w:bCs/>
          <w:color w:val="auto"/>
          <w:spacing w:val="22"/>
          <w:sz w:val="27"/>
          <w:szCs w:val="27"/>
          <w:highlight w:val="none"/>
        </w:rPr>
        <w:t xml:space="preserve">  </w:t>
      </w:r>
      <w:r>
        <w:rPr>
          <w:rFonts w:ascii="宋体" w:hAnsi="宋体" w:eastAsia="宋体" w:cs="宋体"/>
          <w:b/>
          <w:bCs/>
          <w:color w:val="auto"/>
          <w:spacing w:val="3"/>
          <w:sz w:val="27"/>
          <w:szCs w:val="27"/>
          <w:highlight w:val="none"/>
        </w:rPr>
        <w:t>图纸及其他资料目录</w:t>
      </w:r>
      <w:bookmarkEnd w:id="169"/>
    </w:p>
    <w:p w14:paraId="53B1F3FB">
      <w:pPr>
        <w:spacing w:before="48"/>
        <w:rPr>
          <w:color w:val="auto"/>
          <w:highlight w:val="none"/>
        </w:rPr>
      </w:pPr>
    </w:p>
    <w:tbl>
      <w:tblPr>
        <w:tblStyle w:val="16"/>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4"/>
        <w:gridCol w:w="2437"/>
        <w:gridCol w:w="2032"/>
        <w:gridCol w:w="2573"/>
        <w:gridCol w:w="1033"/>
      </w:tblGrid>
      <w:tr w14:paraId="6191C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934" w:type="dxa"/>
            <w:tcBorders>
              <w:top w:val="single" w:color="000000" w:sz="6" w:space="0"/>
              <w:left w:val="single" w:color="000000" w:sz="6" w:space="0"/>
            </w:tcBorders>
            <w:vAlign w:val="top"/>
          </w:tcPr>
          <w:p w14:paraId="0D3A51FC">
            <w:pPr>
              <w:pStyle w:val="17"/>
              <w:spacing w:before="236" w:line="221" w:lineRule="auto"/>
              <w:ind w:left="256"/>
              <w:rPr>
                <w:color w:val="auto"/>
                <w:sz w:val="21"/>
                <w:szCs w:val="21"/>
                <w:highlight w:val="none"/>
              </w:rPr>
            </w:pPr>
            <w:r>
              <w:rPr>
                <w:color w:val="auto"/>
                <w:spacing w:val="-2"/>
                <w:sz w:val="21"/>
                <w:szCs w:val="21"/>
                <w:highlight w:val="none"/>
              </w:rPr>
              <w:t>序号</w:t>
            </w:r>
          </w:p>
        </w:tc>
        <w:tc>
          <w:tcPr>
            <w:tcW w:w="2437" w:type="dxa"/>
            <w:tcBorders>
              <w:top w:val="single" w:color="000000" w:sz="6" w:space="0"/>
            </w:tcBorders>
            <w:vAlign w:val="top"/>
          </w:tcPr>
          <w:p w14:paraId="422CE83D">
            <w:pPr>
              <w:pStyle w:val="17"/>
              <w:spacing w:before="236" w:line="220" w:lineRule="auto"/>
              <w:ind w:left="505"/>
              <w:rPr>
                <w:color w:val="auto"/>
                <w:sz w:val="21"/>
                <w:szCs w:val="21"/>
                <w:highlight w:val="none"/>
              </w:rPr>
            </w:pPr>
            <w:r>
              <w:rPr>
                <w:color w:val="auto"/>
                <w:spacing w:val="-4"/>
                <w:sz w:val="21"/>
                <w:szCs w:val="21"/>
                <w:highlight w:val="none"/>
              </w:rPr>
              <w:t>图名或资料名称</w:t>
            </w:r>
          </w:p>
        </w:tc>
        <w:tc>
          <w:tcPr>
            <w:tcW w:w="2032" w:type="dxa"/>
            <w:tcBorders>
              <w:top w:val="single" w:color="000000" w:sz="6" w:space="0"/>
            </w:tcBorders>
            <w:vAlign w:val="top"/>
          </w:tcPr>
          <w:p w14:paraId="5CEDC92A">
            <w:pPr>
              <w:pStyle w:val="17"/>
              <w:spacing w:before="236" w:line="220" w:lineRule="auto"/>
              <w:ind w:left="306"/>
              <w:rPr>
                <w:color w:val="auto"/>
                <w:sz w:val="21"/>
                <w:szCs w:val="21"/>
                <w:highlight w:val="none"/>
              </w:rPr>
            </w:pPr>
            <w:r>
              <w:rPr>
                <w:color w:val="auto"/>
                <w:spacing w:val="-4"/>
                <w:sz w:val="21"/>
                <w:szCs w:val="21"/>
                <w:highlight w:val="none"/>
              </w:rPr>
              <w:t>图号或资料编号</w:t>
            </w:r>
          </w:p>
        </w:tc>
        <w:tc>
          <w:tcPr>
            <w:tcW w:w="2573" w:type="dxa"/>
            <w:tcBorders>
              <w:top w:val="single" w:color="000000" w:sz="6" w:space="0"/>
            </w:tcBorders>
            <w:vAlign w:val="top"/>
          </w:tcPr>
          <w:p w14:paraId="03F74EAC">
            <w:pPr>
              <w:pStyle w:val="17"/>
              <w:spacing w:before="236" w:line="220" w:lineRule="auto"/>
              <w:ind w:left="368"/>
              <w:rPr>
                <w:color w:val="auto"/>
                <w:sz w:val="21"/>
                <w:szCs w:val="21"/>
                <w:highlight w:val="none"/>
              </w:rPr>
            </w:pPr>
            <w:r>
              <w:rPr>
                <w:color w:val="auto"/>
                <w:spacing w:val="-3"/>
                <w:sz w:val="21"/>
                <w:szCs w:val="21"/>
                <w:highlight w:val="none"/>
              </w:rPr>
              <w:t>出图日期或资料日期</w:t>
            </w:r>
          </w:p>
        </w:tc>
        <w:tc>
          <w:tcPr>
            <w:tcW w:w="1033" w:type="dxa"/>
            <w:tcBorders>
              <w:top w:val="single" w:color="000000" w:sz="6" w:space="0"/>
              <w:right w:val="single" w:color="000000" w:sz="6" w:space="0"/>
            </w:tcBorders>
            <w:vAlign w:val="top"/>
          </w:tcPr>
          <w:p w14:paraId="07ABB842">
            <w:pPr>
              <w:pStyle w:val="17"/>
              <w:spacing w:before="236" w:line="221" w:lineRule="auto"/>
              <w:ind w:left="316"/>
              <w:rPr>
                <w:color w:val="auto"/>
                <w:sz w:val="21"/>
                <w:szCs w:val="21"/>
                <w:highlight w:val="none"/>
              </w:rPr>
            </w:pPr>
            <w:r>
              <w:rPr>
                <w:color w:val="auto"/>
                <w:spacing w:val="-3"/>
                <w:sz w:val="21"/>
                <w:szCs w:val="21"/>
                <w:highlight w:val="none"/>
              </w:rPr>
              <w:t>备注</w:t>
            </w:r>
          </w:p>
        </w:tc>
      </w:tr>
      <w:tr w14:paraId="3541A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934" w:type="dxa"/>
            <w:tcBorders>
              <w:left w:val="single" w:color="000000" w:sz="6" w:space="0"/>
            </w:tcBorders>
            <w:shd w:val="clear" w:color="auto" w:fill="auto"/>
            <w:vAlign w:val="top"/>
          </w:tcPr>
          <w:p w14:paraId="13567BE5">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w:t>
            </w:r>
          </w:p>
        </w:tc>
        <w:tc>
          <w:tcPr>
            <w:tcW w:w="2437" w:type="dxa"/>
            <w:shd w:val="clear" w:color="auto" w:fill="auto"/>
            <w:vAlign w:val="top"/>
          </w:tcPr>
          <w:p w14:paraId="50E9D233">
            <w:pPr>
              <w:pStyle w:val="9"/>
              <w:spacing w:line="440" w:lineRule="exact"/>
              <w:ind w:firstLine="480" w:firstLineChars="0"/>
              <w:jc w:val="center"/>
              <w:rPr>
                <w:rFonts w:hint="default"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设计总说明（1~3）</w:t>
            </w:r>
          </w:p>
        </w:tc>
        <w:tc>
          <w:tcPr>
            <w:tcW w:w="2032" w:type="dxa"/>
            <w:shd w:val="clear" w:color="auto" w:fill="auto"/>
            <w:vAlign w:val="top"/>
          </w:tcPr>
          <w:p w14:paraId="2ECA829B">
            <w:pPr>
              <w:pStyle w:val="9"/>
              <w:tabs>
                <w:tab w:val="left" w:pos="960"/>
                <w:tab w:val="left" w:pos="1200"/>
              </w:tabs>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BH-ZT-1-01~03</w:t>
            </w:r>
          </w:p>
        </w:tc>
        <w:tc>
          <w:tcPr>
            <w:tcW w:w="2573" w:type="dxa"/>
            <w:shd w:val="clear" w:color="auto" w:fill="auto"/>
            <w:vAlign w:val="top"/>
          </w:tcPr>
          <w:p w14:paraId="387153B5">
            <w:pPr>
              <w:pStyle w:val="9"/>
              <w:spacing w:line="440" w:lineRule="exact"/>
              <w:jc w:val="center"/>
              <w:rPr>
                <w:rFonts w:hint="default"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right w:val="single" w:color="000000" w:sz="6" w:space="0"/>
            </w:tcBorders>
            <w:shd w:val="clear" w:color="auto" w:fill="auto"/>
            <w:vAlign w:val="top"/>
          </w:tcPr>
          <w:p w14:paraId="3BBCB34D">
            <w:pPr>
              <w:pStyle w:val="9"/>
              <w:spacing w:line="440" w:lineRule="exact"/>
              <w:ind w:firstLine="480" w:firstLineChars="0"/>
              <w:jc w:val="center"/>
              <w:rPr>
                <w:rFonts w:hint="default"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1AC17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934" w:type="dxa"/>
            <w:tcBorders>
              <w:left w:val="single" w:color="000000" w:sz="6" w:space="0"/>
            </w:tcBorders>
            <w:shd w:val="clear" w:color="auto" w:fill="auto"/>
            <w:vAlign w:val="top"/>
          </w:tcPr>
          <w:p w14:paraId="6CD2A531">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w:t>
            </w:r>
          </w:p>
        </w:tc>
        <w:tc>
          <w:tcPr>
            <w:tcW w:w="2437" w:type="dxa"/>
            <w:shd w:val="clear" w:color="auto" w:fill="auto"/>
            <w:vAlign w:val="top"/>
          </w:tcPr>
          <w:p w14:paraId="65495D7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实测现状图</w:t>
            </w:r>
          </w:p>
        </w:tc>
        <w:tc>
          <w:tcPr>
            <w:tcW w:w="2032" w:type="dxa"/>
            <w:shd w:val="clear" w:color="auto" w:fill="auto"/>
            <w:vAlign w:val="top"/>
          </w:tcPr>
          <w:p w14:paraId="2BA45CEC">
            <w:pPr>
              <w:pStyle w:val="9"/>
              <w:tabs>
                <w:tab w:val="left" w:pos="960"/>
                <w:tab w:val="left" w:pos="1200"/>
              </w:tabs>
              <w:spacing w:line="440" w:lineRule="exact"/>
              <w:ind w:firstLine="480" w:firstLineChars="0"/>
              <w:jc w:val="center"/>
              <w:rPr>
                <w:rFonts w:ascii="宋体" w:hAnsi="宋体" w:eastAsia="Arial" w:cs="Arial"/>
                <w:snapToGrid w:val="0"/>
                <w:color w:val="auto"/>
                <w:kern w:val="2"/>
                <w:sz w:val="24"/>
                <w:szCs w:val="24"/>
                <w:highlight w:val="none"/>
                <w:lang w:val="en-US" w:eastAsia="en-US" w:bidi="ar-SA"/>
              </w:rPr>
            </w:pPr>
          </w:p>
        </w:tc>
        <w:tc>
          <w:tcPr>
            <w:tcW w:w="2573" w:type="dxa"/>
            <w:shd w:val="clear" w:color="auto" w:fill="auto"/>
            <w:vAlign w:val="top"/>
          </w:tcPr>
          <w:p w14:paraId="7AF12161">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right w:val="single" w:color="000000" w:sz="6" w:space="0"/>
            </w:tcBorders>
            <w:shd w:val="clear" w:color="auto" w:fill="auto"/>
            <w:vAlign w:val="top"/>
          </w:tcPr>
          <w:p w14:paraId="65EF3113">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A1</w:t>
            </w:r>
          </w:p>
        </w:tc>
      </w:tr>
      <w:tr w14:paraId="0E4C5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934" w:type="dxa"/>
            <w:tcBorders>
              <w:left w:val="single" w:color="000000" w:sz="6" w:space="0"/>
            </w:tcBorders>
            <w:shd w:val="clear" w:color="auto" w:fill="auto"/>
            <w:vAlign w:val="top"/>
          </w:tcPr>
          <w:p w14:paraId="63275E71">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w:t>
            </w:r>
          </w:p>
        </w:tc>
        <w:tc>
          <w:tcPr>
            <w:tcW w:w="2437" w:type="dxa"/>
            <w:shd w:val="clear" w:color="auto" w:fill="auto"/>
            <w:vAlign w:val="top"/>
          </w:tcPr>
          <w:p w14:paraId="29989850">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总平面布置图</w:t>
            </w:r>
          </w:p>
        </w:tc>
        <w:tc>
          <w:tcPr>
            <w:tcW w:w="2032" w:type="dxa"/>
            <w:shd w:val="clear" w:color="auto" w:fill="auto"/>
            <w:vAlign w:val="top"/>
          </w:tcPr>
          <w:p w14:paraId="3D2AFCC9">
            <w:pPr>
              <w:pStyle w:val="9"/>
              <w:tabs>
                <w:tab w:val="left" w:pos="960"/>
                <w:tab w:val="left" w:pos="1200"/>
              </w:tabs>
              <w:spacing w:line="440" w:lineRule="exact"/>
              <w:jc w:val="center"/>
              <w:rPr>
                <w:rFonts w:hint="default"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BH-ZT-3</w:t>
            </w:r>
          </w:p>
        </w:tc>
        <w:tc>
          <w:tcPr>
            <w:tcW w:w="2573" w:type="dxa"/>
            <w:shd w:val="clear" w:color="auto" w:fill="auto"/>
            <w:vAlign w:val="top"/>
          </w:tcPr>
          <w:p w14:paraId="285CE602">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right w:val="single" w:color="000000" w:sz="6" w:space="0"/>
            </w:tcBorders>
            <w:shd w:val="clear" w:color="auto" w:fill="auto"/>
            <w:vAlign w:val="top"/>
          </w:tcPr>
          <w:p w14:paraId="6F14417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A1</w:t>
            </w:r>
          </w:p>
        </w:tc>
      </w:tr>
      <w:tr w14:paraId="0E699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934" w:type="dxa"/>
            <w:tcBorders>
              <w:left w:val="single" w:color="000000" w:sz="6" w:space="0"/>
            </w:tcBorders>
            <w:shd w:val="clear" w:color="auto" w:fill="auto"/>
            <w:vAlign w:val="top"/>
          </w:tcPr>
          <w:p w14:paraId="3C710C8B">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w:t>
            </w:r>
          </w:p>
        </w:tc>
        <w:tc>
          <w:tcPr>
            <w:tcW w:w="2437" w:type="dxa"/>
            <w:shd w:val="clear" w:color="auto" w:fill="auto"/>
            <w:vAlign w:val="top"/>
          </w:tcPr>
          <w:p w14:paraId="0BF9139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土地平整布置图</w:t>
            </w:r>
          </w:p>
        </w:tc>
        <w:tc>
          <w:tcPr>
            <w:tcW w:w="2032" w:type="dxa"/>
            <w:shd w:val="clear" w:color="auto" w:fill="auto"/>
            <w:vAlign w:val="top"/>
          </w:tcPr>
          <w:p w14:paraId="369C4A1E">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BH-TZ-01</w:t>
            </w:r>
          </w:p>
        </w:tc>
        <w:tc>
          <w:tcPr>
            <w:tcW w:w="2573" w:type="dxa"/>
            <w:shd w:val="clear" w:color="auto" w:fill="auto"/>
            <w:vAlign w:val="top"/>
          </w:tcPr>
          <w:p w14:paraId="780725F5">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right w:val="single" w:color="000000" w:sz="6" w:space="0"/>
            </w:tcBorders>
            <w:shd w:val="clear" w:color="auto" w:fill="auto"/>
            <w:vAlign w:val="top"/>
          </w:tcPr>
          <w:p w14:paraId="50FEA2EE">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A1</w:t>
            </w:r>
          </w:p>
        </w:tc>
      </w:tr>
      <w:tr w14:paraId="3D285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934" w:type="dxa"/>
            <w:tcBorders>
              <w:left w:val="single" w:color="000000" w:sz="6" w:space="0"/>
            </w:tcBorders>
            <w:shd w:val="clear" w:color="auto" w:fill="auto"/>
            <w:vAlign w:val="top"/>
          </w:tcPr>
          <w:p w14:paraId="3D1AEC51">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w:t>
            </w:r>
          </w:p>
        </w:tc>
        <w:tc>
          <w:tcPr>
            <w:tcW w:w="2437" w:type="dxa"/>
            <w:shd w:val="clear" w:color="auto" w:fill="auto"/>
            <w:vAlign w:val="top"/>
          </w:tcPr>
          <w:p w14:paraId="17B959CC">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田埂结构图</w:t>
            </w:r>
          </w:p>
        </w:tc>
        <w:tc>
          <w:tcPr>
            <w:tcW w:w="2032" w:type="dxa"/>
            <w:shd w:val="clear" w:color="auto" w:fill="auto"/>
            <w:vAlign w:val="top"/>
          </w:tcPr>
          <w:p w14:paraId="5814FF0F">
            <w:pPr>
              <w:pStyle w:val="9"/>
              <w:spacing w:line="440" w:lineRule="exact"/>
              <w:jc w:val="center"/>
              <w:rPr>
                <w:rFonts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BH-TZ-02</w:t>
            </w:r>
          </w:p>
        </w:tc>
        <w:tc>
          <w:tcPr>
            <w:tcW w:w="2573" w:type="dxa"/>
            <w:shd w:val="clear" w:color="auto" w:fill="auto"/>
            <w:vAlign w:val="top"/>
          </w:tcPr>
          <w:p w14:paraId="231F7499">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right w:val="single" w:color="000000" w:sz="6" w:space="0"/>
            </w:tcBorders>
            <w:shd w:val="clear" w:color="auto" w:fill="auto"/>
            <w:vAlign w:val="top"/>
          </w:tcPr>
          <w:p w14:paraId="20126144">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7FD13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934" w:type="dxa"/>
            <w:tcBorders>
              <w:left w:val="single" w:color="000000" w:sz="6" w:space="0"/>
            </w:tcBorders>
            <w:shd w:val="clear" w:color="auto" w:fill="auto"/>
            <w:vAlign w:val="top"/>
          </w:tcPr>
          <w:p w14:paraId="6C36DF02">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6</w:t>
            </w:r>
          </w:p>
        </w:tc>
        <w:tc>
          <w:tcPr>
            <w:tcW w:w="2437" w:type="dxa"/>
            <w:shd w:val="clear" w:color="auto" w:fill="auto"/>
            <w:vAlign w:val="top"/>
          </w:tcPr>
          <w:p w14:paraId="03AE78CC">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灌溉与排水工程平面布置图</w:t>
            </w:r>
          </w:p>
        </w:tc>
        <w:tc>
          <w:tcPr>
            <w:tcW w:w="2032" w:type="dxa"/>
            <w:shd w:val="clear" w:color="auto" w:fill="auto"/>
            <w:vAlign w:val="top"/>
          </w:tcPr>
          <w:p w14:paraId="566BA47B">
            <w:pPr>
              <w:pStyle w:val="9"/>
              <w:spacing w:line="440" w:lineRule="exact"/>
              <w:jc w:val="center"/>
              <w:rPr>
                <w:rFonts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BH-GP-01</w:t>
            </w:r>
          </w:p>
        </w:tc>
        <w:tc>
          <w:tcPr>
            <w:tcW w:w="2573" w:type="dxa"/>
            <w:shd w:val="clear" w:color="auto" w:fill="auto"/>
            <w:vAlign w:val="top"/>
          </w:tcPr>
          <w:p w14:paraId="5C56EBC9">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right w:val="single" w:color="000000" w:sz="6" w:space="0"/>
            </w:tcBorders>
            <w:shd w:val="clear" w:color="auto" w:fill="auto"/>
            <w:vAlign w:val="top"/>
          </w:tcPr>
          <w:p w14:paraId="517C338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A1</w:t>
            </w:r>
          </w:p>
        </w:tc>
      </w:tr>
      <w:tr w14:paraId="00842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934" w:type="dxa"/>
            <w:tcBorders>
              <w:left w:val="single" w:color="000000" w:sz="6" w:space="0"/>
            </w:tcBorders>
            <w:shd w:val="clear" w:color="auto" w:fill="auto"/>
            <w:vAlign w:val="top"/>
          </w:tcPr>
          <w:p w14:paraId="47B67AE7">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7</w:t>
            </w:r>
          </w:p>
        </w:tc>
        <w:tc>
          <w:tcPr>
            <w:tcW w:w="2437" w:type="dxa"/>
            <w:shd w:val="clear" w:color="auto" w:fill="auto"/>
            <w:vAlign w:val="top"/>
          </w:tcPr>
          <w:p w14:paraId="45151804">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低压管道节水灌溉说明（1~2）</w:t>
            </w:r>
          </w:p>
        </w:tc>
        <w:tc>
          <w:tcPr>
            <w:tcW w:w="2032" w:type="dxa"/>
            <w:shd w:val="clear" w:color="auto" w:fill="auto"/>
            <w:vAlign w:val="top"/>
          </w:tcPr>
          <w:p w14:paraId="23101A6C">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BH-GP-02~03</w:t>
            </w:r>
          </w:p>
        </w:tc>
        <w:tc>
          <w:tcPr>
            <w:tcW w:w="2573" w:type="dxa"/>
            <w:shd w:val="clear" w:color="auto" w:fill="auto"/>
            <w:vAlign w:val="top"/>
          </w:tcPr>
          <w:p w14:paraId="2D19BA68">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right w:val="single" w:color="000000" w:sz="6" w:space="0"/>
            </w:tcBorders>
            <w:shd w:val="clear" w:color="auto" w:fill="auto"/>
            <w:vAlign w:val="top"/>
          </w:tcPr>
          <w:p w14:paraId="0B72FF7F">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60BCF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934" w:type="dxa"/>
            <w:tcBorders>
              <w:left w:val="single" w:color="000000" w:sz="6" w:space="0"/>
            </w:tcBorders>
            <w:shd w:val="clear" w:color="auto" w:fill="auto"/>
            <w:vAlign w:val="top"/>
          </w:tcPr>
          <w:p w14:paraId="2C63BBD2">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8</w:t>
            </w:r>
          </w:p>
        </w:tc>
        <w:tc>
          <w:tcPr>
            <w:tcW w:w="2437" w:type="dxa"/>
            <w:shd w:val="clear" w:color="auto" w:fill="auto"/>
            <w:vAlign w:val="top"/>
          </w:tcPr>
          <w:p w14:paraId="58D50DC3">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节水灌溉平面示意图</w:t>
            </w:r>
          </w:p>
        </w:tc>
        <w:tc>
          <w:tcPr>
            <w:tcW w:w="2032" w:type="dxa"/>
            <w:shd w:val="clear" w:color="auto" w:fill="auto"/>
            <w:vAlign w:val="top"/>
          </w:tcPr>
          <w:p w14:paraId="14BB828C">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BH-GP-04</w:t>
            </w:r>
          </w:p>
        </w:tc>
        <w:tc>
          <w:tcPr>
            <w:tcW w:w="2573" w:type="dxa"/>
            <w:shd w:val="clear" w:color="auto" w:fill="auto"/>
            <w:vAlign w:val="top"/>
          </w:tcPr>
          <w:p w14:paraId="52AE214B">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right w:val="single" w:color="000000" w:sz="6" w:space="0"/>
            </w:tcBorders>
            <w:shd w:val="clear" w:color="auto" w:fill="auto"/>
            <w:vAlign w:val="top"/>
          </w:tcPr>
          <w:p w14:paraId="57F1740B">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11700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34" w:type="dxa"/>
            <w:tcBorders>
              <w:left w:val="single" w:color="000000" w:sz="6" w:space="0"/>
              <w:bottom w:val="single" w:color="000000" w:sz="6" w:space="0"/>
            </w:tcBorders>
            <w:shd w:val="clear" w:color="auto" w:fill="auto"/>
            <w:vAlign w:val="top"/>
          </w:tcPr>
          <w:p w14:paraId="7200C347">
            <w:pPr>
              <w:pStyle w:val="9"/>
              <w:spacing w:line="440" w:lineRule="exact"/>
              <w:ind w:firstLine="480" w:firstLineChars="0"/>
              <w:jc w:val="center"/>
              <w:rPr>
                <w:rFonts w:hint="eastAsia"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9</w:t>
            </w:r>
          </w:p>
        </w:tc>
        <w:tc>
          <w:tcPr>
            <w:tcW w:w="2437" w:type="dxa"/>
            <w:tcBorders>
              <w:bottom w:val="single" w:color="000000" w:sz="6" w:space="0"/>
            </w:tcBorders>
            <w:shd w:val="clear" w:color="auto" w:fill="auto"/>
            <w:vAlign w:val="top"/>
          </w:tcPr>
          <w:p w14:paraId="7DDABA7D">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低压管道输水灌溉系统示意图</w:t>
            </w:r>
          </w:p>
        </w:tc>
        <w:tc>
          <w:tcPr>
            <w:tcW w:w="2032" w:type="dxa"/>
            <w:tcBorders>
              <w:bottom w:val="single" w:color="000000" w:sz="6" w:space="0"/>
            </w:tcBorders>
            <w:shd w:val="clear" w:color="auto" w:fill="auto"/>
            <w:vAlign w:val="top"/>
          </w:tcPr>
          <w:p w14:paraId="7C42F880">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BH-GP-05</w:t>
            </w:r>
          </w:p>
        </w:tc>
        <w:tc>
          <w:tcPr>
            <w:tcW w:w="2573" w:type="dxa"/>
            <w:tcBorders>
              <w:bottom w:val="single" w:color="000000" w:sz="6" w:space="0"/>
            </w:tcBorders>
            <w:shd w:val="clear" w:color="auto" w:fill="auto"/>
            <w:vAlign w:val="top"/>
          </w:tcPr>
          <w:p w14:paraId="7BDB6A86">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1033" w:type="dxa"/>
            <w:tcBorders>
              <w:bottom w:val="single" w:color="000000" w:sz="6" w:space="0"/>
              <w:right w:val="single" w:color="000000" w:sz="6" w:space="0"/>
            </w:tcBorders>
            <w:shd w:val="clear" w:color="auto" w:fill="auto"/>
            <w:vAlign w:val="top"/>
          </w:tcPr>
          <w:p w14:paraId="688B872E">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0461A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3924899">
            <w:pPr>
              <w:pStyle w:val="9"/>
              <w:spacing w:line="440" w:lineRule="exact"/>
              <w:jc w:val="center"/>
              <w:rPr>
                <w:rFonts w:hint="default"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10</w:t>
            </w:r>
          </w:p>
        </w:tc>
        <w:tc>
          <w:tcPr>
            <w:tcW w:w="0" w:type="auto"/>
            <w:shd w:val="clear" w:color="auto" w:fill="auto"/>
            <w:vAlign w:val="top"/>
          </w:tcPr>
          <w:p w14:paraId="6BD8C3E8">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管道链接、穿路示意图</w:t>
            </w:r>
          </w:p>
        </w:tc>
        <w:tc>
          <w:tcPr>
            <w:tcW w:w="0" w:type="auto"/>
            <w:shd w:val="clear" w:color="auto" w:fill="auto"/>
            <w:vAlign w:val="top"/>
          </w:tcPr>
          <w:p w14:paraId="40CBDF61">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BH-GP-06</w:t>
            </w:r>
          </w:p>
        </w:tc>
        <w:tc>
          <w:tcPr>
            <w:tcW w:w="0" w:type="auto"/>
            <w:shd w:val="clear" w:color="auto" w:fill="auto"/>
            <w:vAlign w:val="top"/>
          </w:tcPr>
          <w:p w14:paraId="6CA64DAC">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31F7A05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3743E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2494E87E">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11</w:t>
            </w:r>
          </w:p>
        </w:tc>
        <w:tc>
          <w:tcPr>
            <w:tcW w:w="0" w:type="auto"/>
            <w:shd w:val="clear" w:color="auto" w:fill="auto"/>
            <w:vAlign w:val="top"/>
          </w:tcPr>
          <w:p w14:paraId="696C711B">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镇墩、支墩结构图</w:t>
            </w:r>
          </w:p>
        </w:tc>
        <w:tc>
          <w:tcPr>
            <w:tcW w:w="0" w:type="auto"/>
            <w:shd w:val="clear" w:color="auto" w:fill="auto"/>
            <w:vAlign w:val="top"/>
          </w:tcPr>
          <w:p w14:paraId="38806F85">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BH-GP-07</w:t>
            </w:r>
          </w:p>
        </w:tc>
        <w:tc>
          <w:tcPr>
            <w:tcW w:w="0" w:type="auto"/>
            <w:shd w:val="clear" w:color="auto" w:fill="auto"/>
            <w:vAlign w:val="top"/>
          </w:tcPr>
          <w:p w14:paraId="56F6D33D">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4354C0C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F0A3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7BC8E79">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12</w:t>
            </w:r>
          </w:p>
        </w:tc>
        <w:tc>
          <w:tcPr>
            <w:tcW w:w="0" w:type="auto"/>
            <w:shd w:val="clear" w:color="auto" w:fill="auto"/>
            <w:vAlign w:val="top"/>
          </w:tcPr>
          <w:p w14:paraId="760B6B8C">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管道埋设断面图（1~2）</w:t>
            </w:r>
          </w:p>
        </w:tc>
        <w:tc>
          <w:tcPr>
            <w:tcW w:w="0" w:type="auto"/>
            <w:shd w:val="clear" w:color="auto" w:fill="auto"/>
            <w:vAlign w:val="top"/>
          </w:tcPr>
          <w:p w14:paraId="67D83448">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BH-GP-08~09</w:t>
            </w:r>
          </w:p>
        </w:tc>
        <w:tc>
          <w:tcPr>
            <w:tcW w:w="0" w:type="auto"/>
            <w:shd w:val="clear" w:color="auto" w:fill="auto"/>
            <w:vAlign w:val="top"/>
          </w:tcPr>
          <w:p w14:paraId="6195F8BD">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39804DB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4C95D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D4D8F6A">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13</w:t>
            </w:r>
          </w:p>
        </w:tc>
        <w:tc>
          <w:tcPr>
            <w:tcW w:w="0" w:type="auto"/>
            <w:shd w:val="clear" w:color="auto" w:fill="auto"/>
            <w:vAlign w:val="top"/>
          </w:tcPr>
          <w:p w14:paraId="765C0059">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防水栓（单侧）结构图</w:t>
            </w:r>
          </w:p>
        </w:tc>
        <w:tc>
          <w:tcPr>
            <w:tcW w:w="0" w:type="auto"/>
            <w:shd w:val="clear" w:color="auto" w:fill="auto"/>
            <w:vAlign w:val="top"/>
          </w:tcPr>
          <w:p w14:paraId="577B2C85">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BH-GP-10</w:t>
            </w:r>
          </w:p>
        </w:tc>
        <w:tc>
          <w:tcPr>
            <w:tcW w:w="0" w:type="auto"/>
            <w:shd w:val="clear" w:color="auto" w:fill="auto"/>
            <w:vAlign w:val="top"/>
          </w:tcPr>
          <w:p w14:paraId="5847A57E">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7EC94E05">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0D633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40A360B7">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14</w:t>
            </w:r>
          </w:p>
        </w:tc>
        <w:tc>
          <w:tcPr>
            <w:tcW w:w="0" w:type="auto"/>
            <w:shd w:val="clear" w:color="auto" w:fill="auto"/>
            <w:vAlign w:val="top"/>
          </w:tcPr>
          <w:p w14:paraId="0ECABB2A">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防水栓（双侧）结构图</w:t>
            </w:r>
          </w:p>
        </w:tc>
        <w:tc>
          <w:tcPr>
            <w:tcW w:w="0" w:type="auto"/>
            <w:shd w:val="clear" w:color="auto" w:fill="auto"/>
            <w:vAlign w:val="top"/>
          </w:tcPr>
          <w:p w14:paraId="64D86C9B">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BH-GP-11</w:t>
            </w:r>
          </w:p>
        </w:tc>
        <w:tc>
          <w:tcPr>
            <w:tcW w:w="0" w:type="auto"/>
            <w:shd w:val="clear" w:color="auto" w:fill="auto"/>
            <w:vAlign w:val="top"/>
          </w:tcPr>
          <w:p w14:paraId="38468E9B">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4B250A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2027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398AB91">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15</w:t>
            </w:r>
          </w:p>
        </w:tc>
        <w:tc>
          <w:tcPr>
            <w:tcW w:w="0" w:type="auto"/>
            <w:shd w:val="clear" w:color="auto" w:fill="auto"/>
            <w:vAlign w:val="top"/>
          </w:tcPr>
          <w:p w14:paraId="435E2305">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防水栓保护罩、防冲槽结构图</w:t>
            </w:r>
          </w:p>
        </w:tc>
        <w:tc>
          <w:tcPr>
            <w:tcW w:w="0" w:type="auto"/>
            <w:shd w:val="clear" w:color="auto" w:fill="auto"/>
            <w:vAlign w:val="top"/>
          </w:tcPr>
          <w:p w14:paraId="13B4ECAC">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BH-GP-12</w:t>
            </w:r>
          </w:p>
        </w:tc>
        <w:tc>
          <w:tcPr>
            <w:tcW w:w="0" w:type="auto"/>
            <w:shd w:val="clear" w:color="auto" w:fill="auto"/>
            <w:vAlign w:val="top"/>
          </w:tcPr>
          <w:p w14:paraId="1B475254">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7F88B15D">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091D35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5ECE28C">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16</w:t>
            </w:r>
          </w:p>
        </w:tc>
        <w:tc>
          <w:tcPr>
            <w:tcW w:w="0" w:type="auto"/>
            <w:shd w:val="clear" w:color="auto" w:fill="auto"/>
            <w:vAlign w:val="top"/>
          </w:tcPr>
          <w:p w14:paraId="7BF1150F">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排气阀井结构图</w:t>
            </w:r>
          </w:p>
        </w:tc>
        <w:tc>
          <w:tcPr>
            <w:tcW w:w="0" w:type="auto"/>
            <w:shd w:val="clear" w:color="auto" w:fill="auto"/>
            <w:vAlign w:val="top"/>
          </w:tcPr>
          <w:p w14:paraId="00712CD3">
            <w:pPr>
              <w:pStyle w:val="9"/>
              <w:spacing w:line="240" w:lineRule="auto"/>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BH-GP-13</w:t>
            </w:r>
          </w:p>
        </w:tc>
        <w:tc>
          <w:tcPr>
            <w:tcW w:w="0" w:type="auto"/>
            <w:shd w:val="clear" w:color="auto" w:fill="auto"/>
            <w:vAlign w:val="top"/>
          </w:tcPr>
          <w:p w14:paraId="25163D08">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4096EA8F">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66052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C2FD51C">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17</w:t>
            </w:r>
          </w:p>
        </w:tc>
        <w:tc>
          <w:tcPr>
            <w:tcW w:w="0" w:type="auto"/>
            <w:shd w:val="clear" w:color="auto" w:fill="auto"/>
            <w:vAlign w:val="top"/>
          </w:tcPr>
          <w:p w14:paraId="7F72C838">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闸阀井结构图（1~2）</w:t>
            </w:r>
          </w:p>
        </w:tc>
        <w:tc>
          <w:tcPr>
            <w:tcW w:w="0" w:type="auto"/>
            <w:shd w:val="clear" w:color="auto" w:fill="auto"/>
            <w:vAlign w:val="top"/>
          </w:tcPr>
          <w:p w14:paraId="49D76944">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BH-GP-14~15</w:t>
            </w:r>
          </w:p>
        </w:tc>
        <w:tc>
          <w:tcPr>
            <w:tcW w:w="0" w:type="auto"/>
            <w:shd w:val="clear" w:color="auto" w:fill="auto"/>
            <w:vAlign w:val="top"/>
          </w:tcPr>
          <w:p w14:paraId="52BBF345">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090277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6ED0C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0A4CF55">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18</w:t>
            </w:r>
          </w:p>
        </w:tc>
        <w:tc>
          <w:tcPr>
            <w:tcW w:w="0" w:type="auto"/>
            <w:shd w:val="clear" w:color="auto" w:fill="auto"/>
            <w:vAlign w:val="top"/>
          </w:tcPr>
          <w:p w14:paraId="4E8140A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闸阀井配筋图</w:t>
            </w:r>
          </w:p>
        </w:tc>
        <w:tc>
          <w:tcPr>
            <w:tcW w:w="0" w:type="auto"/>
            <w:shd w:val="clear" w:color="auto" w:fill="auto"/>
            <w:vAlign w:val="top"/>
          </w:tcPr>
          <w:p w14:paraId="1D53E009">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BH-GP-16</w:t>
            </w:r>
          </w:p>
        </w:tc>
        <w:tc>
          <w:tcPr>
            <w:tcW w:w="0" w:type="auto"/>
            <w:shd w:val="clear" w:color="auto" w:fill="auto"/>
            <w:vAlign w:val="top"/>
          </w:tcPr>
          <w:p w14:paraId="06FD0713">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6625D3E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0C580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2C4DF426">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19</w:t>
            </w:r>
          </w:p>
        </w:tc>
        <w:tc>
          <w:tcPr>
            <w:tcW w:w="0" w:type="auto"/>
            <w:shd w:val="clear" w:color="auto" w:fill="auto"/>
            <w:vAlign w:val="top"/>
          </w:tcPr>
          <w:p w14:paraId="0CC82A04">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泄水井结构图</w:t>
            </w:r>
          </w:p>
        </w:tc>
        <w:tc>
          <w:tcPr>
            <w:tcW w:w="0" w:type="auto"/>
            <w:shd w:val="clear" w:color="auto" w:fill="auto"/>
            <w:vAlign w:val="top"/>
          </w:tcPr>
          <w:p w14:paraId="4F9AB102">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BH-GP-17</w:t>
            </w:r>
          </w:p>
        </w:tc>
        <w:tc>
          <w:tcPr>
            <w:tcW w:w="0" w:type="auto"/>
            <w:shd w:val="clear" w:color="auto" w:fill="auto"/>
            <w:vAlign w:val="top"/>
          </w:tcPr>
          <w:p w14:paraId="309374BD">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3E708FA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02141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25F5B3A">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w:t>
            </w:r>
          </w:p>
        </w:tc>
        <w:tc>
          <w:tcPr>
            <w:tcW w:w="0" w:type="auto"/>
            <w:shd w:val="clear" w:color="auto" w:fill="auto"/>
            <w:vAlign w:val="top"/>
          </w:tcPr>
          <w:p w14:paraId="4F1A9F83">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农沟Ⅰ结构图</w:t>
            </w:r>
          </w:p>
        </w:tc>
        <w:tc>
          <w:tcPr>
            <w:tcW w:w="0" w:type="auto"/>
            <w:shd w:val="clear" w:color="auto" w:fill="auto"/>
            <w:vAlign w:val="top"/>
          </w:tcPr>
          <w:p w14:paraId="3264CA9C">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BH-GP-18</w:t>
            </w:r>
          </w:p>
        </w:tc>
        <w:tc>
          <w:tcPr>
            <w:tcW w:w="0" w:type="auto"/>
            <w:shd w:val="clear" w:color="auto" w:fill="auto"/>
            <w:vAlign w:val="top"/>
          </w:tcPr>
          <w:p w14:paraId="77D6DE1C">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5A50BDD">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1AE1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4779FB4B">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21</w:t>
            </w:r>
          </w:p>
        </w:tc>
        <w:tc>
          <w:tcPr>
            <w:tcW w:w="0" w:type="auto"/>
            <w:shd w:val="clear" w:color="auto" w:fill="auto"/>
            <w:vAlign w:val="top"/>
          </w:tcPr>
          <w:p w14:paraId="151CF5AF">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农沟Ⅱ结构图</w:t>
            </w:r>
          </w:p>
        </w:tc>
        <w:tc>
          <w:tcPr>
            <w:tcW w:w="0" w:type="auto"/>
            <w:shd w:val="clear" w:color="auto" w:fill="auto"/>
            <w:vAlign w:val="top"/>
          </w:tcPr>
          <w:p w14:paraId="3758F651">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BH-GP-19</w:t>
            </w:r>
          </w:p>
        </w:tc>
        <w:tc>
          <w:tcPr>
            <w:tcW w:w="0" w:type="auto"/>
            <w:shd w:val="clear" w:color="auto" w:fill="auto"/>
            <w:vAlign w:val="top"/>
          </w:tcPr>
          <w:p w14:paraId="6F9374F2">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3C2FFF75">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7A41C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8551280">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22</w:t>
            </w:r>
          </w:p>
        </w:tc>
        <w:tc>
          <w:tcPr>
            <w:tcW w:w="0" w:type="auto"/>
            <w:shd w:val="clear" w:color="auto" w:fill="auto"/>
            <w:vAlign w:val="top"/>
          </w:tcPr>
          <w:p w14:paraId="505A7BEC">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田面排水口结构图</w:t>
            </w:r>
          </w:p>
        </w:tc>
        <w:tc>
          <w:tcPr>
            <w:tcW w:w="0" w:type="auto"/>
            <w:shd w:val="clear" w:color="auto" w:fill="auto"/>
            <w:vAlign w:val="top"/>
          </w:tcPr>
          <w:p w14:paraId="10210421">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BH-GP-20</w:t>
            </w:r>
          </w:p>
        </w:tc>
        <w:tc>
          <w:tcPr>
            <w:tcW w:w="0" w:type="auto"/>
            <w:shd w:val="clear" w:color="auto" w:fill="auto"/>
            <w:vAlign w:val="top"/>
          </w:tcPr>
          <w:p w14:paraId="44FFE60E">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05E0AF9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66083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FBBF81B">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23</w:t>
            </w:r>
          </w:p>
        </w:tc>
        <w:tc>
          <w:tcPr>
            <w:tcW w:w="0" w:type="auto"/>
            <w:shd w:val="clear" w:color="auto" w:fill="auto"/>
            <w:vAlign w:val="top"/>
          </w:tcPr>
          <w:p w14:paraId="2BD3CADB">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斗沟结构图</w:t>
            </w:r>
          </w:p>
        </w:tc>
        <w:tc>
          <w:tcPr>
            <w:tcW w:w="0" w:type="auto"/>
            <w:shd w:val="clear" w:color="auto" w:fill="auto"/>
            <w:vAlign w:val="top"/>
          </w:tcPr>
          <w:p w14:paraId="0ED80A0A">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BH-GP-21</w:t>
            </w:r>
          </w:p>
        </w:tc>
        <w:tc>
          <w:tcPr>
            <w:tcW w:w="0" w:type="auto"/>
            <w:shd w:val="clear" w:color="auto" w:fill="auto"/>
            <w:vAlign w:val="top"/>
          </w:tcPr>
          <w:p w14:paraId="62B1BD7C">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527EAA5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7BAB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477CAF8A">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24</w:t>
            </w:r>
          </w:p>
        </w:tc>
        <w:tc>
          <w:tcPr>
            <w:tcW w:w="0" w:type="auto"/>
            <w:shd w:val="clear" w:color="auto" w:fill="auto"/>
            <w:vAlign w:val="top"/>
          </w:tcPr>
          <w:p w14:paraId="075950A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生态斗沟排水口结构图</w:t>
            </w:r>
          </w:p>
        </w:tc>
        <w:tc>
          <w:tcPr>
            <w:tcW w:w="0" w:type="auto"/>
            <w:shd w:val="clear" w:color="auto" w:fill="auto"/>
            <w:vAlign w:val="top"/>
          </w:tcPr>
          <w:p w14:paraId="67149D3D">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BH-GP-22</w:t>
            </w:r>
          </w:p>
        </w:tc>
        <w:tc>
          <w:tcPr>
            <w:tcW w:w="0" w:type="auto"/>
            <w:shd w:val="clear" w:color="auto" w:fill="auto"/>
            <w:vAlign w:val="top"/>
          </w:tcPr>
          <w:p w14:paraId="0F494DDC">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22A634B8">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3AEE7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3EF37312">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25</w:t>
            </w:r>
          </w:p>
        </w:tc>
        <w:tc>
          <w:tcPr>
            <w:tcW w:w="0" w:type="auto"/>
            <w:shd w:val="clear" w:color="auto" w:fill="auto"/>
            <w:vAlign w:val="top"/>
          </w:tcPr>
          <w:p w14:paraId="1BDDB636">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排水沟穿路涵洞大样图</w:t>
            </w:r>
          </w:p>
        </w:tc>
        <w:tc>
          <w:tcPr>
            <w:tcW w:w="0" w:type="auto"/>
            <w:shd w:val="clear" w:color="auto" w:fill="auto"/>
            <w:vAlign w:val="top"/>
          </w:tcPr>
          <w:p w14:paraId="0F83F6C8">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BH-GP-23</w:t>
            </w:r>
          </w:p>
        </w:tc>
        <w:tc>
          <w:tcPr>
            <w:tcW w:w="0" w:type="auto"/>
            <w:shd w:val="clear" w:color="auto" w:fill="auto"/>
            <w:vAlign w:val="top"/>
          </w:tcPr>
          <w:p w14:paraId="393F937F">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2CDBDC6F">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5396E5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9D8938E">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26</w:t>
            </w:r>
          </w:p>
        </w:tc>
        <w:tc>
          <w:tcPr>
            <w:tcW w:w="0" w:type="auto"/>
            <w:shd w:val="clear" w:color="auto" w:fill="auto"/>
            <w:vAlign w:val="top"/>
          </w:tcPr>
          <w:p w14:paraId="1C1493B4">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末级净化池示意图</w:t>
            </w:r>
          </w:p>
        </w:tc>
        <w:tc>
          <w:tcPr>
            <w:tcW w:w="0" w:type="auto"/>
            <w:shd w:val="clear" w:color="auto" w:fill="auto"/>
            <w:vAlign w:val="top"/>
          </w:tcPr>
          <w:p w14:paraId="4980EE89">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BH-GP-24</w:t>
            </w:r>
          </w:p>
        </w:tc>
        <w:tc>
          <w:tcPr>
            <w:tcW w:w="0" w:type="auto"/>
            <w:shd w:val="clear" w:color="auto" w:fill="auto"/>
            <w:vAlign w:val="top"/>
          </w:tcPr>
          <w:p w14:paraId="5E22BDF3">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29A38FB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376F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7BE98D0">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27</w:t>
            </w:r>
          </w:p>
        </w:tc>
        <w:tc>
          <w:tcPr>
            <w:tcW w:w="0" w:type="auto"/>
            <w:shd w:val="clear" w:color="auto" w:fill="auto"/>
            <w:vAlign w:val="top"/>
          </w:tcPr>
          <w:p w14:paraId="1C2073C3">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末级净化池结构图</w:t>
            </w:r>
          </w:p>
        </w:tc>
        <w:tc>
          <w:tcPr>
            <w:tcW w:w="0" w:type="auto"/>
            <w:shd w:val="clear" w:color="auto" w:fill="auto"/>
            <w:vAlign w:val="top"/>
          </w:tcPr>
          <w:p w14:paraId="6E87BCCE">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BH-GP-25</w:t>
            </w:r>
          </w:p>
        </w:tc>
        <w:tc>
          <w:tcPr>
            <w:tcW w:w="0" w:type="auto"/>
            <w:shd w:val="clear" w:color="auto" w:fill="auto"/>
            <w:vAlign w:val="top"/>
          </w:tcPr>
          <w:p w14:paraId="7820B0CE">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358B1223">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19E8A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48CF51E">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28</w:t>
            </w:r>
          </w:p>
        </w:tc>
        <w:tc>
          <w:tcPr>
            <w:tcW w:w="0" w:type="auto"/>
            <w:shd w:val="clear" w:color="auto" w:fill="auto"/>
            <w:vAlign w:val="top"/>
          </w:tcPr>
          <w:p w14:paraId="6524350F">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末级净化池拦污栅大样图</w:t>
            </w:r>
          </w:p>
        </w:tc>
        <w:tc>
          <w:tcPr>
            <w:tcW w:w="0" w:type="auto"/>
            <w:shd w:val="clear" w:color="auto" w:fill="auto"/>
            <w:vAlign w:val="top"/>
          </w:tcPr>
          <w:p w14:paraId="30401C1D">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BH-GP-26</w:t>
            </w:r>
          </w:p>
        </w:tc>
        <w:tc>
          <w:tcPr>
            <w:tcW w:w="0" w:type="auto"/>
            <w:shd w:val="clear" w:color="auto" w:fill="auto"/>
            <w:vAlign w:val="top"/>
          </w:tcPr>
          <w:p w14:paraId="06282C21">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5263460">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76012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F3B2B21">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29</w:t>
            </w:r>
          </w:p>
        </w:tc>
        <w:tc>
          <w:tcPr>
            <w:tcW w:w="0" w:type="auto"/>
            <w:shd w:val="clear" w:color="auto" w:fill="auto"/>
            <w:vAlign w:val="top"/>
          </w:tcPr>
          <w:p w14:paraId="66BECAFE">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灌溉泵站设计说明</w:t>
            </w:r>
          </w:p>
        </w:tc>
        <w:tc>
          <w:tcPr>
            <w:tcW w:w="0" w:type="auto"/>
            <w:shd w:val="clear" w:color="auto" w:fill="auto"/>
            <w:vAlign w:val="top"/>
          </w:tcPr>
          <w:p w14:paraId="571423EE">
            <w:pPr>
              <w:pStyle w:val="9"/>
              <w:spacing w:line="480" w:lineRule="auto"/>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BH-GP-27</w:t>
            </w:r>
          </w:p>
        </w:tc>
        <w:tc>
          <w:tcPr>
            <w:tcW w:w="0" w:type="auto"/>
            <w:shd w:val="clear" w:color="auto" w:fill="auto"/>
            <w:vAlign w:val="top"/>
          </w:tcPr>
          <w:p w14:paraId="3E0FFC52">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623A0E46">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01704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46EE508">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30</w:t>
            </w:r>
          </w:p>
        </w:tc>
        <w:tc>
          <w:tcPr>
            <w:tcW w:w="0" w:type="auto"/>
            <w:shd w:val="clear" w:color="auto" w:fill="auto"/>
            <w:vAlign w:val="top"/>
          </w:tcPr>
          <w:p w14:paraId="321953CE">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灌溉泵站平面图</w:t>
            </w:r>
          </w:p>
        </w:tc>
        <w:tc>
          <w:tcPr>
            <w:tcW w:w="0" w:type="auto"/>
            <w:shd w:val="clear" w:color="auto" w:fill="auto"/>
            <w:vAlign w:val="top"/>
          </w:tcPr>
          <w:p w14:paraId="0D91679A">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BH-GP-28</w:t>
            </w:r>
          </w:p>
        </w:tc>
        <w:tc>
          <w:tcPr>
            <w:tcW w:w="0" w:type="auto"/>
            <w:shd w:val="clear" w:color="auto" w:fill="auto"/>
            <w:vAlign w:val="top"/>
          </w:tcPr>
          <w:p w14:paraId="0FFD6178">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456BBF7F">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69387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D1B64D7">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31</w:t>
            </w:r>
          </w:p>
        </w:tc>
        <w:tc>
          <w:tcPr>
            <w:tcW w:w="0" w:type="auto"/>
            <w:shd w:val="clear" w:color="auto" w:fill="auto"/>
            <w:vAlign w:val="top"/>
          </w:tcPr>
          <w:p w14:paraId="6EA39347">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灌溉泵站1-1剖面图</w:t>
            </w:r>
          </w:p>
        </w:tc>
        <w:tc>
          <w:tcPr>
            <w:tcW w:w="0" w:type="auto"/>
            <w:shd w:val="clear" w:color="auto" w:fill="auto"/>
            <w:vAlign w:val="top"/>
          </w:tcPr>
          <w:p w14:paraId="121A6605">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BH-GP-29</w:t>
            </w:r>
          </w:p>
        </w:tc>
        <w:tc>
          <w:tcPr>
            <w:tcW w:w="0" w:type="auto"/>
            <w:shd w:val="clear" w:color="auto" w:fill="auto"/>
            <w:vAlign w:val="top"/>
          </w:tcPr>
          <w:p w14:paraId="7BEF7A6E">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6BBAF4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4410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45DEF42">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32</w:t>
            </w:r>
          </w:p>
        </w:tc>
        <w:tc>
          <w:tcPr>
            <w:tcW w:w="0" w:type="auto"/>
            <w:shd w:val="clear" w:color="auto" w:fill="auto"/>
            <w:vAlign w:val="top"/>
          </w:tcPr>
          <w:p w14:paraId="0020B48A">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灌溉泵站2-2剖面图</w:t>
            </w:r>
          </w:p>
        </w:tc>
        <w:tc>
          <w:tcPr>
            <w:tcW w:w="0" w:type="auto"/>
            <w:shd w:val="clear" w:color="auto" w:fill="auto"/>
            <w:vAlign w:val="top"/>
          </w:tcPr>
          <w:p w14:paraId="40110FC4">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BH-GP-30</w:t>
            </w:r>
          </w:p>
        </w:tc>
        <w:tc>
          <w:tcPr>
            <w:tcW w:w="0" w:type="auto"/>
            <w:shd w:val="clear" w:color="auto" w:fill="auto"/>
            <w:vAlign w:val="top"/>
          </w:tcPr>
          <w:p w14:paraId="1B414E29">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E97285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63875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AC6D1F4">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33</w:t>
            </w:r>
          </w:p>
        </w:tc>
        <w:tc>
          <w:tcPr>
            <w:tcW w:w="0" w:type="auto"/>
            <w:shd w:val="clear" w:color="auto" w:fill="auto"/>
            <w:vAlign w:val="top"/>
          </w:tcPr>
          <w:p w14:paraId="78DE235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灌溉泵站3-3剖面图</w:t>
            </w:r>
          </w:p>
        </w:tc>
        <w:tc>
          <w:tcPr>
            <w:tcW w:w="0" w:type="auto"/>
            <w:shd w:val="clear" w:color="auto" w:fill="auto"/>
            <w:vAlign w:val="top"/>
          </w:tcPr>
          <w:p w14:paraId="6E98643D">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BH-GP-31</w:t>
            </w:r>
          </w:p>
        </w:tc>
        <w:tc>
          <w:tcPr>
            <w:tcW w:w="0" w:type="auto"/>
            <w:shd w:val="clear" w:color="auto" w:fill="auto"/>
            <w:vAlign w:val="top"/>
          </w:tcPr>
          <w:p w14:paraId="2956A410">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37FAB26E">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62BC3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4944E512">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34</w:t>
            </w:r>
          </w:p>
        </w:tc>
        <w:tc>
          <w:tcPr>
            <w:tcW w:w="0" w:type="auto"/>
            <w:shd w:val="clear" w:color="auto" w:fill="auto"/>
            <w:vAlign w:val="top"/>
          </w:tcPr>
          <w:p w14:paraId="0CA8C33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进水池结构图</w:t>
            </w:r>
          </w:p>
        </w:tc>
        <w:tc>
          <w:tcPr>
            <w:tcW w:w="0" w:type="auto"/>
            <w:shd w:val="clear" w:color="auto" w:fill="auto"/>
            <w:vAlign w:val="top"/>
          </w:tcPr>
          <w:p w14:paraId="4FD7F15A">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BH-GP-32</w:t>
            </w:r>
          </w:p>
        </w:tc>
        <w:tc>
          <w:tcPr>
            <w:tcW w:w="0" w:type="auto"/>
            <w:shd w:val="clear" w:color="auto" w:fill="auto"/>
            <w:vAlign w:val="top"/>
          </w:tcPr>
          <w:p w14:paraId="78CD4069">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5787A46D">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5F2F7B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38EB8657">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35</w:t>
            </w:r>
          </w:p>
        </w:tc>
        <w:tc>
          <w:tcPr>
            <w:tcW w:w="0" w:type="auto"/>
            <w:shd w:val="clear" w:color="auto" w:fill="auto"/>
            <w:vAlign w:val="top"/>
          </w:tcPr>
          <w:p w14:paraId="3520457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进水池配筋图</w:t>
            </w:r>
          </w:p>
        </w:tc>
        <w:tc>
          <w:tcPr>
            <w:tcW w:w="0" w:type="auto"/>
            <w:shd w:val="clear" w:color="auto" w:fill="auto"/>
            <w:vAlign w:val="top"/>
          </w:tcPr>
          <w:p w14:paraId="7E6C8DA2">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BH-GP-33</w:t>
            </w:r>
          </w:p>
        </w:tc>
        <w:tc>
          <w:tcPr>
            <w:tcW w:w="0" w:type="auto"/>
            <w:shd w:val="clear" w:color="auto" w:fill="auto"/>
            <w:vAlign w:val="top"/>
          </w:tcPr>
          <w:p w14:paraId="75D6C448">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4D92C7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19E0C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BC56DD7">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36</w:t>
            </w:r>
          </w:p>
        </w:tc>
        <w:tc>
          <w:tcPr>
            <w:tcW w:w="0" w:type="auto"/>
            <w:shd w:val="clear" w:color="auto" w:fill="auto"/>
            <w:vAlign w:val="top"/>
          </w:tcPr>
          <w:p w14:paraId="58CA81D8">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拦污栅及标识牌结构图</w:t>
            </w:r>
          </w:p>
        </w:tc>
        <w:tc>
          <w:tcPr>
            <w:tcW w:w="0" w:type="auto"/>
            <w:shd w:val="clear" w:color="auto" w:fill="auto"/>
            <w:vAlign w:val="top"/>
          </w:tcPr>
          <w:p w14:paraId="2F115C85">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BH-GP-34</w:t>
            </w:r>
          </w:p>
        </w:tc>
        <w:tc>
          <w:tcPr>
            <w:tcW w:w="0" w:type="auto"/>
            <w:shd w:val="clear" w:color="auto" w:fill="auto"/>
            <w:vAlign w:val="top"/>
          </w:tcPr>
          <w:p w14:paraId="0E9E5193">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5241D1A4">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D452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5FEE0C9">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37</w:t>
            </w:r>
          </w:p>
        </w:tc>
        <w:tc>
          <w:tcPr>
            <w:tcW w:w="0" w:type="auto"/>
            <w:shd w:val="clear" w:color="auto" w:fill="auto"/>
            <w:vAlign w:val="top"/>
          </w:tcPr>
          <w:p w14:paraId="10445B5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泵房平面布置图（1~2）</w:t>
            </w:r>
          </w:p>
        </w:tc>
        <w:tc>
          <w:tcPr>
            <w:tcW w:w="0" w:type="auto"/>
            <w:shd w:val="clear" w:color="auto" w:fill="auto"/>
            <w:vAlign w:val="top"/>
          </w:tcPr>
          <w:p w14:paraId="222EA2B3">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BH-GP-35~36</w:t>
            </w:r>
          </w:p>
        </w:tc>
        <w:tc>
          <w:tcPr>
            <w:tcW w:w="0" w:type="auto"/>
            <w:shd w:val="clear" w:color="auto" w:fill="auto"/>
            <w:vAlign w:val="top"/>
          </w:tcPr>
          <w:p w14:paraId="2A244258">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4BD3D3D4">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511B7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3FD09F29">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38</w:t>
            </w:r>
          </w:p>
        </w:tc>
        <w:tc>
          <w:tcPr>
            <w:tcW w:w="0" w:type="auto"/>
            <w:shd w:val="clear" w:color="auto" w:fill="auto"/>
            <w:vAlign w:val="top"/>
          </w:tcPr>
          <w:p w14:paraId="49FD8F75">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泵房立面图（1~2）</w:t>
            </w:r>
          </w:p>
        </w:tc>
        <w:tc>
          <w:tcPr>
            <w:tcW w:w="0" w:type="auto"/>
            <w:shd w:val="clear" w:color="auto" w:fill="auto"/>
            <w:vAlign w:val="top"/>
          </w:tcPr>
          <w:p w14:paraId="7A8363DE">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BH-GP-37~38</w:t>
            </w:r>
          </w:p>
        </w:tc>
        <w:tc>
          <w:tcPr>
            <w:tcW w:w="0" w:type="auto"/>
            <w:shd w:val="clear" w:color="auto" w:fill="auto"/>
            <w:vAlign w:val="top"/>
          </w:tcPr>
          <w:p w14:paraId="1F020010">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AC37DE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6FB4A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5171A6BA">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39</w:t>
            </w:r>
          </w:p>
        </w:tc>
        <w:tc>
          <w:tcPr>
            <w:tcW w:w="0" w:type="auto"/>
            <w:shd w:val="clear" w:color="auto" w:fill="auto"/>
            <w:vAlign w:val="top"/>
          </w:tcPr>
          <w:p w14:paraId="28B26BED">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泵房细部结构图（1~2）</w:t>
            </w:r>
          </w:p>
        </w:tc>
        <w:tc>
          <w:tcPr>
            <w:tcW w:w="0" w:type="auto"/>
            <w:shd w:val="clear" w:color="auto" w:fill="auto"/>
            <w:vAlign w:val="top"/>
          </w:tcPr>
          <w:p w14:paraId="69D95AEB">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BH-GP-39~40</w:t>
            </w:r>
          </w:p>
        </w:tc>
        <w:tc>
          <w:tcPr>
            <w:tcW w:w="0" w:type="auto"/>
            <w:shd w:val="clear" w:color="auto" w:fill="auto"/>
            <w:vAlign w:val="top"/>
          </w:tcPr>
          <w:p w14:paraId="6CBDFCAF">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52AB2B66">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8C8E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6C2F7D1">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40</w:t>
            </w:r>
          </w:p>
        </w:tc>
        <w:tc>
          <w:tcPr>
            <w:tcW w:w="0" w:type="auto"/>
            <w:shd w:val="clear" w:color="auto" w:fill="auto"/>
            <w:vAlign w:val="top"/>
          </w:tcPr>
          <w:p w14:paraId="63CDBBAC">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构造柱、梁结构图</w:t>
            </w:r>
          </w:p>
        </w:tc>
        <w:tc>
          <w:tcPr>
            <w:tcW w:w="0" w:type="auto"/>
            <w:shd w:val="clear" w:color="auto" w:fill="auto"/>
            <w:vAlign w:val="top"/>
          </w:tcPr>
          <w:p w14:paraId="6A0052F7">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BH-GP-41</w:t>
            </w:r>
          </w:p>
        </w:tc>
        <w:tc>
          <w:tcPr>
            <w:tcW w:w="0" w:type="auto"/>
            <w:shd w:val="clear" w:color="auto" w:fill="auto"/>
            <w:vAlign w:val="top"/>
          </w:tcPr>
          <w:p w14:paraId="581B7AF3">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EBB8E5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118D34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759C7B82">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41</w:t>
            </w:r>
          </w:p>
        </w:tc>
        <w:tc>
          <w:tcPr>
            <w:tcW w:w="0" w:type="auto"/>
            <w:shd w:val="clear" w:color="auto" w:fill="auto"/>
            <w:vAlign w:val="top"/>
          </w:tcPr>
          <w:p w14:paraId="348957BB">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屋顶配筋图</w:t>
            </w:r>
          </w:p>
        </w:tc>
        <w:tc>
          <w:tcPr>
            <w:tcW w:w="0" w:type="auto"/>
            <w:shd w:val="clear" w:color="auto" w:fill="auto"/>
            <w:vAlign w:val="top"/>
          </w:tcPr>
          <w:p w14:paraId="6AAF4EF5">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BH-GP-42</w:t>
            </w:r>
          </w:p>
        </w:tc>
        <w:tc>
          <w:tcPr>
            <w:tcW w:w="0" w:type="auto"/>
            <w:shd w:val="clear" w:color="auto" w:fill="auto"/>
            <w:vAlign w:val="top"/>
          </w:tcPr>
          <w:p w14:paraId="4C84244C">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0500D32C">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2763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AD97720">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42</w:t>
            </w:r>
          </w:p>
        </w:tc>
        <w:tc>
          <w:tcPr>
            <w:tcW w:w="0" w:type="auto"/>
            <w:shd w:val="clear" w:color="auto" w:fill="auto"/>
            <w:vAlign w:val="top"/>
          </w:tcPr>
          <w:p w14:paraId="295BCCF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基础结构图及配筋图</w:t>
            </w:r>
          </w:p>
        </w:tc>
        <w:tc>
          <w:tcPr>
            <w:tcW w:w="0" w:type="auto"/>
            <w:shd w:val="clear" w:color="auto" w:fill="auto"/>
            <w:vAlign w:val="top"/>
          </w:tcPr>
          <w:p w14:paraId="0514CA5E">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BH-GP-43</w:t>
            </w:r>
          </w:p>
        </w:tc>
        <w:tc>
          <w:tcPr>
            <w:tcW w:w="0" w:type="auto"/>
            <w:shd w:val="clear" w:color="auto" w:fill="auto"/>
            <w:vAlign w:val="top"/>
          </w:tcPr>
          <w:p w14:paraId="68ACF38B">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619EAE0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09C0F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44AC780A">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43</w:t>
            </w:r>
          </w:p>
        </w:tc>
        <w:tc>
          <w:tcPr>
            <w:tcW w:w="0" w:type="auto"/>
            <w:shd w:val="clear" w:color="auto" w:fill="auto"/>
            <w:vAlign w:val="top"/>
          </w:tcPr>
          <w:p w14:paraId="6E1ED26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电气设计说明</w:t>
            </w:r>
          </w:p>
        </w:tc>
        <w:tc>
          <w:tcPr>
            <w:tcW w:w="0" w:type="auto"/>
            <w:shd w:val="clear" w:color="auto" w:fill="auto"/>
            <w:vAlign w:val="top"/>
          </w:tcPr>
          <w:p w14:paraId="5E6B47E2">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BH-GP-44</w:t>
            </w:r>
          </w:p>
        </w:tc>
        <w:tc>
          <w:tcPr>
            <w:tcW w:w="0" w:type="auto"/>
            <w:shd w:val="clear" w:color="auto" w:fill="auto"/>
            <w:vAlign w:val="top"/>
          </w:tcPr>
          <w:p w14:paraId="172DCD54">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55760FB">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7AB1C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3CB8D62B">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44</w:t>
            </w:r>
          </w:p>
        </w:tc>
        <w:tc>
          <w:tcPr>
            <w:tcW w:w="0" w:type="auto"/>
            <w:shd w:val="clear" w:color="auto" w:fill="auto"/>
            <w:vAlign w:val="top"/>
          </w:tcPr>
          <w:p w14:paraId="71157FBD">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供电线路图</w:t>
            </w:r>
          </w:p>
        </w:tc>
        <w:tc>
          <w:tcPr>
            <w:tcW w:w="0" w:type="auto"/>
            <w:shd w:val="clear" w:color="auto" w:fill="auto"/>
            <w:vAlign w:val="top"/>
          </w:tcPr>
          <w:p w14:paraId="71B8FD10">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BH-GP-45</w:t>
            </w:r>
          </w:p>
        </w:tc>
        <w:tc>
          <w:tcPr>
            <w:tcW w:w="0" w:type="auto"/>
            <w:shd w:val="clear" w:color="auto" w:fill="auto"/>
            <w:vAlign w:val="top"/>
          </w:tcPr>
          <w:p w14:paraId="01B0BEA5">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DA0D12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24173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73354C7E">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45</w:t>
            </w:r>
          </w:p>
        </w:tc>
        <w:tc>
          <w:tcPr>
            <w:tcW w:w="0" w:type="auto"/>
            <w:shd w:val="clear" w:color="auto" w:fill="auto"/>
            <w:vAlign w:val="top"/>
          </w:tcPr>
          <w:p w14:paraId="7EC0B89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电气、照明及插座平面布置图</w:t>
            </w:r>
          </w:p>
        </w:tc>
        <w:tc>
          <w:tcPr>
            <w:tcW w:w="0" w:type="auto"/>
            <w:shd w:val="clear" w:color="auto" w:fill="auto"/>
            <w:vAlign w:val="top"/>
          </w:tcPr>
          <w:p w14:paraId="43A85220">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BH-GP-46</w:t>
            </w:r>
          </w:p>
        </w:tc>
        <w:tc>
          <w:tcPr>
            <w:tcW w:w="0" w:type="auto"/>
            <w:shd w:val="clear" w:color="auto" w:fill="auto"/>
            <w:vAlign w:val="top"/>
          </w:tcPr>
          <w:p w14:paraId="2F10FE5F">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2D7EF6A8">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570E8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309A286A">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46</w:t>
            </w:r>
          </w:p>
        </w:tc>
        <w:tc>
          <w:tcPr>
            <w:tcW w:w="0" w:type="auto"/>
            <w:shd w:val="clear" w:color="auto" w:fill="auto"/>
            <w:vAlign w:val="top"/>
          </w:tcPr>
          <w:p w14:paraId="4C2996EA">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接地布置图</w:t>
            </w:r>
          </w:p>
        </w:tc>
        <w:tc>
          <w:tcPr>
            <w:tcW w:w="0" w:type="auto"/>
            <w:shd w:val="clear" w:color="auto" w:fill="auto"/>
            <w:vAlign w:val="top"/>
          </w:tcPr>
          <w:p w14:paraId="658FF777">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BH-GP-47</w:t>
            </w:r>
          </w:p>
        </w:tc>
        <w:tc>
          <w:tcPr>
            <w:tcW w:w="0" w:type="auto"/>
            <w:shd w:val="clear" w:color="auto" w:fill="auto"/>
            <w:vAlign w:val="top"/>
          </w:tcPr>
          <w:p w14:paraId="7671935E">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54CDA15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3B944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56734E9E">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47</w:t>
            </w:r>
          </w:p>
        </w:tc>
        <w:tc>
          <w:tcPr>
            <w:tcW w:w="0" w:type="auto"/>
            <w:shd w:val="clear" w:color="auto" w:fill="auto"/>
            <w:vAlign w:val="top"/>
          </w:tcPr>
          <w:p w14:paraId="0C0576BF">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双泵变频控制柜回路图</w:t>
            </w:r>
          </w:p>
        </w:tc>
        <w:tc>
          <w:tcPr>
            <w:tcW w:w="0" w:type="auto"/>
            <w:shd w:val="clear" w:color="auto" w:fill="auto"/>
            <w:vAlign w:val="top"/>
          </w:tcPr>
          <w:p w14:paraId="6DE13D4C">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BH-GP-48</w:t>
            </w:r>
          </w:p>
        </w:tc>
        <w:tc>
          <w:tcPr>
            <w:tcW w:w="0" w:type="auto"/>
            <w:shd w:val="clear" w:color="auto" w:fill="auto"/>
            <w:vAlign w:val="top"/>
          </w:tcPr>
          <w:p w14:paraId="65ABAB12">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7DC9A10D">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7E2B9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27FF9C0A">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48</w:t>
            </w:r>
          </w:p>
        </w:tc>
        <w:tc>
          <w:tcPr>
            <w:tcW w:w="0" w:type="auto"/>
            <w:shd w:val="clear" w:color="auto" w:fill="auto"/>
            <w:vAlign w:val="top"/>
          </w:tcPr>
          <w:p w14:paraId="0EF7C9BC">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压力采集装置示意图</w:t>
            </w:r>
          </w:p>
        </w:tc>
        <w:tc>
          <w:tcPr>
            <w:tcW w:w="0" w:type="auto"/>
            <w:shd w:val="clear" w:color="auto" w:fill="auto"/>
            <w:vAlign w:val="top"/>
          </w:tcPr>
          <w:p w14:paraId="5A16F45A">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BH-GP-49</w:t>
            </w:r>
          </w:p>
        </w:tc>
        <w:tc>
          <w:tcPr>
            <w:tcW w:w="0" w:type="auto"/>
            <w:shd w:val="clear" w:color="auto" w:fill="auto"/>
            <w:vAlign w:val="top"/>
          </w:tcPr>
          <w:p w14:paraId="7708D1EC">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1944303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3F816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3BC3B46F">
            <w:pPr>
              <w:pStyle w:val="9"/>
              <w:spacing w:line="440" w:lineRule="exact"/>
              <w:jc w:val="center"/>
              <w:rPr>
                <w:rFonts w:hint="default" w:hAnsi="宋体"/>
                <w:color w:val="auto"/>
                <w:kern w:val="2"/>
                <w:sz w:val="24"/>
                <w:szCs w:val="24"/>
                <w:highlight w:val="none"/>
                <w:lang w:val="en-US" w:eastAsia="zh-CN"/>
              </w:rPr>
            </w:pPr>
            <w:r>
              <w:rPr>
                <w:rFonts w:hint="eastAsia" w:hAnsi="宋体"/>
                <w:color w:val="auto"/>
                <w:kern w:val="2"/>
                <w:sz w:val="24"/>
                <w:szCs w:val="24"/>
                <w:highlight w:val="none"/>
                <w:lang w:val="en-US" w:eastAsia="zh-CN"/>
              </w:rPr>
              <w:t>49</w:t>
            </w:r>
          </w:p>
        </w:tc>
        <w:tc>
          <w:tcPr>
            <w:tcW w:w="0" w:type="auto"/>
            <w:shd w:val="clear" w:color="auto" w:fill="auto"/>
            <w:vAlign w:val="top"/>
          </w:tcPr>
          <w:p w14:paraId="22444BCC">
            <w:pPr>
              <w:pStyle w:val="9"/>
              <w:spacing w:line="440" w:lineRule="exact"/>
              <w:ind w:firstLine="480" w:firstLineChars="0"/>
              <w:jc w:val="center"/>
              <w:rPr>
                <w:rFonts w:hint="default" w:hAnsi="宋体"/>
                <w:color w:val="auto"/>
                <w:kern w:val="2"/>
                <w:sz w:val="24"/>
                <w:szCs w:val="24"/>
                <w:highlight w:val="none"/>
                <w:lang w:val="en-US" w:eastAsia="zh-CN"/>
              </w:rPr>
            </w:pPr>
            <w:r>
              <w:rPr>
                <w:rFonts w:hint="eastAsia" w:hAnsi="宋体"/>
                <w:color w:val="auto"/>
                <w:kern w:val="2"/>
                <w:sz w:val="24"/>
                <w:szCs w:val="24"/>
                <w:highlight w:val="none"/>
                <w:lang w:val="en-US" w:eastAsia="zh-CN"/>
              </w:rPr>
              <w:t>临时围堰大样图</w:t>
            </w:r>
          </w:p>
        </w:tc>
        <w:tc>
          <w:tcPr>
            <w:tcW w:w="0" w:type="auto"/>
            <w:shd w:val="clear" w:color="auto" w:fill="auto"/>
            <w:vAlign w:val="top"/>
          </w:tcPr>
          <w:p w14:paraId="3A256E0C">
            <w:pPr>
              <w:pStyle w:val="9"/>
              <w:spacing w:line="440" w:lineRule="exact"/>
              <w:jc w:val="center"/>
              <w:rPr>
                <w:rFonts w:hint="default" w:hAnsi="宋体"/>
                <w:color w:val="auto"/>
                <w:kern w:val="2"/>
                <w:sz w:val="24"/>
                <w:szCs w:val="24"/>
                <w:highlight w:val="none"/>
                <w:lang w:val="en-US" w:eastAsia="zh-CN"/>
              </w:rPr>
            </w:pPr>
            <w:r>
              <w:rPr>
                <w:rFonts w:hint="eastAsia" w:hAnsi="宋体"/>
                <w:color w:val="auto"/>
                <w:kern w:val="2"/>
                <w:sz w:val="24"/>
                <w:szCs w:val="24"/>
                <w:highlight w:val="none"/>
                <w:lang w:val="en-US" w:eastAsia="zh-CN"/>
              </w:rPr>
              <w:t>BH-GP-50</w:t>
            </w:r>
          </w:p>
        </w:tc>
        <w:tc>
          <w:tcPr>
            <w:tcW w:w="0" w:type="auto"/>
            <w:shd w:val="clear" w:color="auto" w:fill="auto"/>
            <w:vAlign w:val="top"/>
          </w:tcPr>
          <w:p w14:paraId="2B32EFA5">
            <w:pPr>
              <w:pStyle w:val="9"/>
              <w:spacing w:line="440" w:lineRule="exact"/>
              <w:jc w:val="center"/>
              <w:rPr>
                <w:rFonts w:hint="default" w:hAnsi="宋体"/>
                <w:color w:val="auto"/>
                <w:kern w:val="2"/>
                <w:sz w:val="24"/>
                <w:szCs w:val="24"/>
                <w:highlight w:val="none"/>
                <w:lang w:val="en-US" w:eastAsia="zh-CN"/>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2D4F2BCB">
            <w:pPr>
              <w:pStyle w:val="9"/>
              <w:spacing w:line="440" w:lineRule="exact"/>
              <w:ind w:firstLine="480" w:firstLineChars="0"/>
              <w:jc w:val="center"/>
              <w:rPr>
                <w:rFonts w:hint="eastAsia" w:hAnsi="宋体"/>
                <w:color w:val="auto"/>
                <w:kern w:val="2"/>
                <w:sz w:val="24"/>
                <w:szCs w:val="24"/>
                <w:highlight w:val="none"/>
                <w:lang w:val="en-US" w:eastAsia="zh-CN"/>
              </w:rPr>
            </w:pPr>
          </w:p>
        </w:tc>
      </w:tr>
      <w:tr w14:paraId="5945D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4AFA822">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s="Arial"/>
                <w:snapToGrid w:val="0"/>
                <w:color w:val="auto"/>
                <w:kern w:val="2"/>
                <w:sz w:val="24"/>
                <w:szCs w:val="24"/>
                <w:highlight w:val="none"/>
                <w:lang w:val="en-US" w:eastAsia="zh-CN" w:bidi="ar-SA"/>
              </w:rPr>
              <w:t>50</w:t>
            </w:r>
          </w:p>
        </w:tc>
        <w:tc>
          <w:tcPr>
            <w:tcW w:w="0" w:type="auto"/>
            <w:shd w:val="clear" w:color="auto" w:fill="auto"/>
            <w:vAlign w:val="top"/>
          </w:tcPr>
          <w:p w14:paraId="38FC4980">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田间道路设计说明</w:t>
            </w:r>
          </w:p>
        </w:tc>
        <w:tc>
          <w:tcPr>
            <w:tcW w:w="0" w:type="auto"/>
            <w:shd w:val="clear" w:color="auto" w:fill="auto"/>
            <w:vAlign w:val="top"/>
          </w:tcPr>
          <w:p w14:paraId="172026D3">
            <w:pPr>
              <w:pStyle w:val="9"/>
              <w:spacing w:line="440" w:lineRule="exact"/>
              <w:jc w:val="center"/>
              <w:rPr>
                <w:rFonts w:hint="default" w:ascii="宋体" w:hAnsi="宋体" w:eastAsia="宋体"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BH-DL-01</w:t>
            </w:r>
          </w:p>
        </w:tc>
        <w:tc>
          <w:tcPr>
            <w:tcW w:w="0" w:type="auto"/>
            <w:shd w:val="clear" w:color="auto" w:fill="auto"/>
            <w:vAlign w:val="top"/>
          </w:tcPr>
          <w:p w14:paraId="211C6D80">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04EC53B8">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424AD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6D339E1">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51</w:t>
            </w:r>
          </w:p>
        </w:tc>
        <w:tc>
          <w:tcPr>
            <w:tcW w:w="0" w:type="auto"/>
            <w:shd w:val="clear" w:color="auto" w:fill="auto"/>
            <w:vAlign w:val="top"/>
          </w:tcPr>
          <w:p w14:paraId="2C88FB13">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田间道路工程布置图</w:t>
            </w:r>
          </w:p>
        </w:tc>
        <w:tc>
          <w:tcPr>
            <w:tcW w:w="0" w:type="auto"/>
            <w:shd w:val="clear" w:color="auto" w:fill="auto"/>
            <w:vAlign w:val="top"/>
          </w:tcPr>
          <w:p w14:paraId="64488800">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BH-DL-02</w:t>
            </w:r>
          </w:p>
        </w:tc>
        <w:tc>
          <w:tcPr>
            <w:tcW w:w="0" w:type="auto"/>
            <w:shd w:val="clear" w:color="auto" w:fill="auto"/>
            <w:vAlign w:val="top"/>
          </w:tcPr>
          <w:p w14:paraId="76738BB8">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40364178">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A1</w:t>
            </w:r>
          </w:p>
        </w:tc>
      </w:tr>
      <w:tr w14:paraId="0CEA2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6E70E72D">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52</w:t>
            </w:r>
          </w:p>
        </w:tc>
        <w:tc>
          <w:tcPr>
            <w:tcW w:w="0" w:type="auto"/>
            <w:shd w:val="clear" w:color="auto" w:fill="auto"/>
            <w:vAlign w:val="top"/>
          </w:tcPr>
          <w:p w14:paraId="7190158C">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田间道（混凝土）结构图</w:t>
            </w:r>
          </w:p>
        </w:tc>
        <w:tc>
          <w:tcPr>
            <w:tcW w:w="0" w:type="auto"/>
            <w:shd w:val="clear" w:color="auto" w:fill="auto"/>
            <w:vAlign w:val="top"/>
          </w:tcPr>
          <w:p w14:paraId="4DBC56A2">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BH-DL-03</w:t>
            </w:r>
          </w:p>
        </w:tc>
        <w:tc>
          <w:tcPr>
            <w:tcW w:w="0" w:type="auto"/>
            <w:shd w:val="clear" w:color="auto" w:fill="auto"/>
            <w:vAlign w:val="top"/>
          </w:tcPr>
          <w:p w14:paraId="48AFF18D">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37A144F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0BB978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571BE8F">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53</w:t>
            </w:r>
          </w:p>
        </w:tc>
        <w:tc>
          <w:tcPr>
            <w:tcW w:w="0" w:type="auto"/>
            <w:shd w:val="clear" w:color="auto" w:fill="auto"/>
            <w:vAlign w:val="top"/>
          </w:tcPr>
          <w:p w14:paraId="48D402A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田间道（泥结碎石）结构图</w:t>
            </w:r>
          </w:p>
        </w:tc>
        <w:tc>
          <w:tcPr>
            <w:tcW w:w="0" w:type="auto"/>
            <w:shd w:val="clear" w:color="auto" w:fill="auto"/>
            <w:vAlign w:val="top"/>
          </w:tcPr>
          <w:p w14:paraId="61B3A8B6">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BH-DL-04</w:t>
            </w:r>
          </w:p>
        </w:tc>
        <w:tc>
          <w:tcPr>
            <w:tcW w:w="0" w:type="auto"/>
            <w:shd w:val="clear" w:color="auto" w:fill="auto"/>
            <w:vAlign w:val="top"/>
          </w:tcPr>
          <w:p w14:paraId="3FF7CDA5">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72C1182D">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16798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2E84293A">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54</w:t>
            </w:r>
          </w:p>
        </w:tc>
        <w:tc>
          <w:tcPr>
            <w:tcW w:w="0" w:type="auto"/>
            <w:shd w:val="clear" w:color="auto" w:fill="auto"/>
            <w:vAlign w:val="top"/>
          </w:tcPr>
          <w:p w14:paraId="1CF557D3">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生产道（泥结碎石）结构图</w:t>
            </w:r>
          </w:p>
        </w:tc>
        <w:tc>
          <w:tcPr>
            <w:tcW w:w="0" w:type="auto"/>
            <w:shd w:val="clear" w:color="auto" w:fill="auto"/>
            <w:vAlign w:val="top"/>
          </w:tcPr>
          <w:p w14:paraId="15C4511A">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BH-DL-05</w:t>
            </w:r>
          </w:p>
        </w:tc>
        <w:tc>
          <w:tcPr>
            <w:tcW w:w="0" w:type="auto"/>
            <w:shd w:val="clear" w:color="auto" w:fill="auto"/>
            <w:vAlign w:val="top"/>
          </w:tcPr>
          <w:p w14:paraId="13E82134">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0B196EAC">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11AE3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07940207">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55</w:t>
            </w:r>
          </w:p>
        </w:tc>
        <w:tc>
          <w:tcPr>
            <w:tcW w:w="0" w:type="auto"/>
            <w:shd w:val="clear" w:color="auto" w:fill="auto"/>
            <w:vAlign w:val="top"/>
          </w:tcPr>
          <w:p w14:paraId="7CFF8F21">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修复田间道路断面图</w:t>
            </w:r>
          </w:p>
        </w:tc>
        <w:tc>
          <w:tcPr>
            <w:tcW w:w="0" w:type="auto"/>
            <w:shd w:val="clear" w:color="auto" w:fill="auto"/>
            <w:vAlign w:val="top"/>
          </w:tcPr>
          <w:p w14:paraId="21E7E882">
            <w:pPr>
              <w:pStyle w:val="9"/>
              <w:spacing w:line="440" w:lineRule="exact"/>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BH-DL-06</w:t>
            </w:r>
          </w:p>
        </w:tc>
        <w:tc>
          <w:tcPr>
            <w:tcW w:w="0" w:type="auto"/>
            <w:shd w:val="clear" w:color="auto" w:fill="auto"/>
            <w:vAlign w:val="top"/>
          </w:tcPr>
          <w:p w14:paraId="0D832BCA">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6BC59DB5">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32EBA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2B6C8173">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56</w:t>
            </w:r>
          </w:p>
        </w:tc>
        <w:tc>
          <w:tcPr>
            <w:tcW w:w="0" w:type="auto"/>
            <w:shd w:val="clear" w:color="auto" w:fill="auto"/>
            <w:vAlign w:val="top"/>
          </w:tcPr>
          <w:p w14:paraId="398E9549">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下田道结构图</w:t>
            </w:r>
          </w:p>
        </w:tc>
        <w:tc>
          <w:tcPr>
            <w:tcW w:w="0" w:type="auto"/>
            <w:shd w:val="clear" w:color="auto" w:fill="auto"/>
            <w:vAlign w:val="top"/>
          </w:tcPr>
          <w:p w14:paraId="564C82E5">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BH-DL-07</w:t>
            </w:r>
          </w:p>
        </w:tc>
        <w:tc>
          <w:tcPr>
            <w:tcW w:w="0" w:type="auto"/>
            <w:shd w:val="clear" w:color="auto" w:fill="auto"/>
            <w:vAlign w:val="top"/>
          </w:tcPr>
          <w:p w14:paraId="273471E8">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7932D0F0">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73EA3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1EE1187C">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57</w:t>
            </w:r>
          </w:p>
        </w:tc>
        <w:tc>
          <w:tcPr>
            <w:tcW w:w="0" w:type="auto"/>
            <w:shd w:val="clear" w:color="auto" w:fill="auto"/>
            <w:vAlign w:val="top"/>
          </w:tcPr>
          <w:p w14:paraId="6F3F9A22">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会车点结构图</w:t>
            </w:r>
          </w:p>
        </w:tc>
        <w:tc>
          <w:tcPr>
            <w:tcW w:w="0" w:type="auto"/>
            <w:shd w:val="clear" w:color="auto" w:fill="auto"/>
            <w:vAlign w:val="top"/>
          </w:tcPr>
          <w:p w14:paraId="7D9024CC">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BH-DL-08</w:t>
            </w:r>
          </w:p>
        </w:tc>
        <w:tc>
          <w:tcPr>
            <w:tcW w:w="0" w:type="auto"/>
            <w:shd w:val="clear" w:color="auto" w:fill="auto"/>
            <w:vAlign w:val="top"/>
          </w:tcPr>
          <w:p w14:paraId="01993A0A">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6BF7706E">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3397E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3A9A8ADC">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58</w:t>
            </w:r>
          </w:p>
        </w:tc>
        <w:tc>
          <w:tcPr>
            <w:tcW w:w="0" w:type="auto"/>
            <w:shd w:val="clear" w:color="auto" w:fill="auto"/>
            <w:vAlign w:val="top"/>
          </w:tcPr>
          <w:p w14:paraId="4B25D90B">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农田防护林（缓冲带）设计说明01~04</w:t>
            </w:r>
          </w:p>
        </w:tc>
        <w:tc>
          <w:tcPr>
            <w:tcW w:w="0" w:type="auto"/>
            <w:shd w:val="clear" w:color="auto" w:fill="auto"/>
            <w:vAlign w:val="top"/>
          </w:tcPr>
          <w:p w14:paraId="73F2AC43">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BH-FH-01~04</w:t>
            </w:r>
          </w:p>
        </w:tc>
        <w:tc>
          <w:tcPr>
            <w:tcW w:w="0" w:type="auto"/>
            <w:shd w:val="clear" w:color="auto" w:fill="auto"/>
            <w:vAlign w:val="top"/>
          </w:tcPr>
          <w:p w14:paraId="0A57A9BF">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72B08EE0">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r w14:paraId="789F6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0" w:type="auto"/>
            <w:shd w:val="clear" w:color="auto" w:fill="auto"/>
            <w:vAlign w:val="top"/>
          </w:tcPr>
          <w:p w14:paraId="460FDCA8">
            <w:pPr>
              <w:pStyle w:val="9"/>
              <w:spacing w:line="440" w:lineRule="exact"/>
              <w:jc w:val="center"/>
              <w:rPr>
                <w:rFonts w:hint="default"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59</w:t>
            </w:r>
          </w:p>
        </w:tc>
        <w:tc>
          <w:tcPr>
            <w:tcW w:w="0" w:type="auto"/>
            <w:shd w:val="clear" w:color="auto" w:fill="auto"/>
            <w:vAlign w:val="top"/>
          </w:tcPr>
          <w:p w14:paraId="0FEF81D7">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农田防护林（缓冲带）断面图</w:t>
            </w:r>
          </w:p>
        </w:tc>
        <w:tc>
          <w:tcPr>
            <w:tcW w:w="0" w:type="auto"/>
            <w:shd w:val="clear" w:color="auto" w:fill="auto"/>
            <w:vAlign w:val="top"/>
          </w:tcPr>
          <w:p w14:paraId="64FC7126">
            <w:pPr>
              <w:pStyle w:val="9"/>
              <w:spacing w:line="440" w:lineRule="exact"/>
              <w:ind w:firstLine="480" w:firstLineChars="0"/>
              <w:jc w:val="center"/>
              <w:rPr>
                <w:rFonts w:hint="default" w:ascii="宋体" w:hAnsi="宋体" w:eastAsia="Arial" w:cs="Arial"/>
                <w:snapToGrid w:val="0"/>
                <w:color w:val="auto"/>
                <w:kern w:val="2"/>
                <w:sz w:val="24"/>
                <w:szCs w:val="24"/>
                <w:highlight w:val="none"/>
                <w:lang w:val="en-US" w:eastAsia="en-US" w:bidi="ar-SA"/>
              </w:rPr>
            </w:pPr>
            <w:r>
              <w:rPr>
                <w:rFonts w:hint="eastAsia" w:hAnsi="宋体"/>
                <w:color w:val="auto"/>
                <w:kern w:val="2"/>
                <w:sz w:val="24"/>
                <w:szCs w:val="24"/>
                <w:highlight w:val="none"/>
                <w:lang w:val="en-US" w:eastAsia="zh-CN"/>
              </w:rPr>
              <w:t>BH-FH-05</w:t>
            </w:r>
          </w:p>
        </w:tc>
        <w:tc>
          <w:tcPr>
            <w:tcW w:w="0" w:type="auto"/>
            <w:shd w:val="clear" w:color="auto" w:fill="auto"/>
            <w:vAlign w:val="top"/>
          </w:tcPr>
          <w:p w14:paraId="5AEE69B0">
            <w:pPr>
              <w:pStyle w:val="9"/>
              <w:spacing w:line="440" w:lineRule="exact"/>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2025.06</w:t>
            </w:r>
          </w:p>
        </w:tc>
        <w:tc>
          <w:tcPr>
            <w:tcW w:w="0" w:type="auto"/>
            <w:shd w:val="clear" w:color="auto" w:fill="auto"/>
            <w:vAlign w:val="top"/>
          </w:tcPr>
          <w:p w14:paraId="45557B2A">
            <w:pPr>
              <w:pStyle w:val="9"/>
              <w:spacing w:line="440" w:lineRule="exact"/>
              <w:ind w:firstLine="480" w:firstLineChars="0"/>
              <w:jc w:val="center"/>
              <w:rPr>
                <w:rFonts w:hint="eastAsia" w:ascii="宋体" w:hAnsi="宋体" w:eastAsia="Arial" w:cs="Arial"/>
                <w:snapToGrid w:val="0"/>
                <w:color w:val="auto"/>
                <w:kern w:val="2"/>
                <w:sz w:val="24"/>
                <w:szCs w:val="24"/>
                <w:highlight w:val="none"/>
                <w:lang w:val="en-US" w:eastAsia="zh-CN" w:bidi="ar-SA"/>
              </w:rPr>
            </w:pPr>
            <w:r>
              <w:rPr>
                <w:rFonts w:hint="eastAsia" w:hAnsi="宋体"/>
                <w:color w:val="auto"/>
                <w:kern w:val="2"/>
                <w:sz w:val="24"/>
                <w:szCs w:val="24"/>
                <w:highlight w:val="none"/>
                <w:lang w:val="en-US" w:eastAsia="zh-CN"/>
              </w:rPr>
              <w:t>A3</w:t>
            </w:r>
          </w:p>
        </w:tc>
      </w:tr>
    </w:tbl>
    <w:p w14:paraId="000DCEA9">
      <w:pPr>
        <w:pStyle w:val="8"/>
        <w:spacing w:line="243" w:lineRule="auto"/>
        <w:rPr>
          <w:color w:val="auto"/>
          <w:highlight w:val="none"/>
        </w:rPr>
      </w:pPr>
    </w:p>
    <w:p w14:paraId="2D4EA4E8">
      <w:pPr>
        <w:pStyle w:val="8"/>
        <w:spacing w:line="244" w:lineRule="auto"/>
        <w:rPr>
          <w:color w:val="auto"/>
          <w:highlight w:val="none"/>
        </w:rPr>
      </w:pPr>
    </w:p>
    <w:p w14:paraId="490C4EDA">
      <w:pPr>
        <w:spacing w:before="88" w:line="227" w:lineRule="auto"/>
        <w:ind w:left="4"/>
        <w:outlineLvl w:val="2"/>
        <w:rPr>
          <w:rFonts w:ascii="宋体" w:hAnsi="宋体" w:eastAsia="宋体" w:cs="宋体"/>
          <w:color w:val="auto"/>
          <w:sz w:val="27"/>
          <w:szCs w:val="27"/>
          <w:highlight w:val="none"/>
        </w:rPr>
      </w:pPr>
      <w:bookmarkStart w:id="170" w:name="bookmark103"/>
      <w:bookmarkEnd w:id="170"/>
      <w:bookmarkStart w:id="171" w:name="_Toc9457"/>
      <w:r>
        <w:rPr>
          <w:rFonts w:ascii="Times New Roman" w:hAnsi="Times New Roman" w:eastAsia="Times New Roman" w:cs="Times New Roman"/>
          <w:b/>
          <w:bCs/>
          <w:color w:val="auto"/>
          <w:spacing w:val="2"/>
          <w:sz w:val="27"/>
          <w:szCs w:val="27"/>
          <w:highlight w:val="none"/>
        </w:rPr>
        <w:t>3</w:t>
      </w:r>
      <w:r>
        <w:rPr>
          <w:rFonts w:ascii="Times New Roman" w:hAnsi="Times New Roman" w:eastAsia="Times New Roman" w:cs="Times New Roman"/>
          <w:b/>
          <w:bCs/>
          <w:color w:val="auto"/>
          <w:spacing w:val="22"/>
          <w:sz w:val="27"/>
          <w:szCs w:val="27"/>
          <w:highlight w:val="none"/>
        </w:rPr>
        <w:t xml:space="preserve">  </w:t>
      </w:r>
      <w:r>
        <w:rPr>
          <w:rFonts w:ascii="宋体" w:hAnsi="宋体" w:eastAsia="宋体" w:cs="宋体"/>
          <w:b/>
          <w:bCs/>
          <w:color w:val="auto"/>
          <w:spacing w:val="2"/>
          <w:sz w:val="27"/>
          <w:szCs w:val="27"/>
          <w:highlight w:val="none"/>
        </w:rPr>
        <w:t>图纸及其它资料</w:t>
      </w:r>
      <w:bookmarkEnd w:id="171"/>
    </w:p>
    <w:p w14:paraId="3940B7A8">
      <w:pPr>
        <w:pStyle w:val="8"/>
        <w:spacing w:line="246" w:lineRule="auto"/>
        <w:rPr>
          <w:color w:val="auto"/>
          <w:highlight w:val="none"/>
        </w:rPr>
      </w:pPr>
    </w:p>
    <w:p w14:paraId="6D4BF291">
      <w:pPr>
        <w:spacing w:line="221" w:lineRule="auto"/>
        <w:ind w:firstLine="432" w:firstLineChars="200"/>
        <w:rPr>
          <w:rFonts w:ascii="宋体" w:hAnsi="宋体" w:eastAsia="宋体" w:cs="宋体"/>
          <w:color w:val="auto"/>
          <w:sz w:val="24"/>
          <w:szCs w:val="24"/>
          <w:highlight w:val="none"/>
        </w:rPr>
        <w:sectPr>
          <w:footerReference r:id="rId96" w:type="default"/>
          <w:pgSz w:w="11905" w:h="16840"/>
          <w:pgMar w:top="400" w:right="1292" w:bottom="1255" w:left="1587" w:header="0" w:footer="1093" w:gutter="0"/>
          <w:pgNumType w:fmt="decimal"/>
          <w:cols w:space="720" w:num="1"/>
        </w:sectPr>
      </w:pPr>
      <w:r>
        <w:rPr>
          <w:rFonts w:hint="eastAsia" w:ascii="宋体" w:hAnsi="宋体" w:eastAsia="宋体" w:cs="宋体"/>
          <w:color w:val="auto"/>
          <w:spacing w:val="-12"/>
          <w:sz w:val="24"/>
          <w:szCs w:val="24"/>
          <w:highlight w:val="none"/>
        </w:rPr>
        <w:t>潜在投标人登陆越城区公共资源交易平台（http://ztb.sxyc.gov.cn:/TPBidder）自行下载。</w:t>
      </w:r>
    </w:p>
    <w:p w14:paraId="0330242A">
      <w:pPr>
        <w:pStyle w:val="8"/>
        <w:spacing w:line="244" w:lineRule="auto"/>
        <w:rPr>
          <w:color w:val="auto"/>
          <w:highlight w:val="none"/>
        </w:rPr>
      </w:pPr>
    </w:p>
    <w:p w14:paraId="53EA4F4B">
      <w:pPr>
        <w:pStyle w:val="8"/>
        <w:spacing w:line="244" w:lineRule="auto"/>
        <w:rPr>
          <w:color w:val="auto"/>
          <w:highlight w:val="none"/>
        </w:rPr>
      </w:pPr>
    </w:p>
    <w:p w14:paraId="3C4EA1D7">
      <w:pPr>
        <w:pStyle w:val="8"/>
        <w:spacing w:line="244" w:lineRule="auto"/>
        <w:rPr>
          <w:color w:val="auto"/>
          <w:highlight w:val="none"/>
        </w:rPr>
      </w:pPr>
    </w:p>
    <w:p w14:paraId="60778841">
      <w:pPr>
        <w:pStyle w:val="8"/>
        <w:spacing w:line="244" w:lineRule="auto"/>
        <w:rPr>
          <w:color w:val="auto"/>
          <w:highlight w:val="none"/>
        </w:rPr>
      </w:pPr>
    </w:p>
    <w:p w14:paraId="33C63C8A">
      <w:pPr>
        <w:pStyle w:val="8"/>
        <w:spacing w:line="244" w:lineRule="auto"/>
        <w:rPr>
          <w:color w:val="auto"/>
          <w:highlight w:val="none"/>
        </w:rPr>
      </w:pPr>
    </w:p>
    <w:p w14:paraId="6FF5CBF6">
      <w:pPr>
        <w:pStyle w:val="8"/>
        <w:spacing w:line="245" w:lineRule="auto"/>
        <w:rPr>
          <w:color w:val="auto"/>
          <w:highlight w:val="none"/>
        </w:rPr>
      </w:pPr>
    </w:p>
    <w:p w14:paraId="3D57330A">
      <w:pPr>
        <w:pStyle w:val="8"/>
        <w:spacing w:line="245" w:lineRule="auto"/>
        <w:rPr>
          <w:color w:val="auto"/>
          <w:highlight w:val="none"/>
        </w:rPr>
      </w:pPr>
    </w:p>
    <w:p w14:paraId="6BFE1FC7">
      <w:pPr>
        <w:pStyle w:val="8"/>
        <w:spacing w:line="245" w:lineRule="auto"/>
        <w:rPr>
          <w:color w:val="auto"/>
          <w:highlight w:val="none"/>
        </w:rPr>
      </w:pPr>
    </w:p>
    <w:p w14:paraId="41F4ED5F">
      <w:pPr>
        <w:pStyle w:val="8"/>
        <w:spacing w:line="245" w:lineRule="auto"/>
        <w:rPr>
          <w:color w:val="auto"/>
          <w:highlight w:val="none"/>
        </w:rPr>
      </w:pPr>
    </w:p>
    <w:p w14:paraId="1EF4053B">
      <w:pPr>
        <w:pStyle w:val="8"/>
        <w:spacing w:line="245" w:lineRule="auto"/>
        <w:rPr>
          <w:color w:val="auto"/>
          <w:highlight w:val="none"/>
        </w:rPr>
      </w:pPr>
    </w:p>
    <w:p w14:paraId="67F6792A">
      <w:pPr>
        <w:pStyle w:val="8"/>
        <w:spacing w:line="245" w:lineRule="auto"/>
        <w:rPr>
          <w:color w:val="auto"/>
          <w:highlight w:val="none"/>
        </w:rPr>
      </w:pPr>
    </w:p>
    <w:p w14:paraId="57C75FB0">
      <w:pPr>
        <w:pStyle w:val="8"/>
        <w:spacing w:line="245" w:lineRule="auto"/>
        <w:rPr>
          <w:color w:val="auto"/>
          <w:highlight w:val="none"/>
        </w:rPr>
      </w:pPr>
    </w:p>
    <w:p w14:paraId="2AB3A9A6">
      <w:pPr>
        <w:pStyle w:val="8"/>
        <w:spacing w:line="245" w:lineRule="auto"/>
        <w:rPr>
          <w:color w:val="auto"/>
          <w:highlight w:val="none"/>
        </w:rPr>
      </w:pPr>
    </w:p>
    <w:p w14:paraId="3C960EF9">
      <w:pPr>
        <w:pStyle w:val="8"/>
        <w:spacing w:line="245" w:lineRule="auto"/>
        <w:rPr>
          <w:color w:val="auto"/>
          <w:highlight w:val="none"/>
        </w:rPr>
      </w:pPr>
    </w:p>
    <w:p w14:paraId="2E416427">
      <w:pPr>
        <w:pStyle w:val="8"/>
        <w:spacing w:line="245" w:lineRule="auto"/>
        <w:rPr>
          <w:color w:val="auto"/>
          <w:highlight w:val="none"/>
        </w:rPr>
      </w:pPr>
    </w:p>
    <w:p w14:paraId="45BCEAAB">
      <w:pPr>
        <w:pStyle w:val="8"/>
        <w:spacing w:line="245" w:lineRule="auto"/>
        <w:rPr>
          <w:color w:val="auto"/>
          <w:highlight w:val="none"/>
        </w:rPr>
      </w:pPr>
    </w:p>
    <w:p w14:paraId="07CD72AF">
      <w:pPr>
        <w:pStyle w:val="8"/>
        <w:spacing w:line="245" w:lineRule="auto"/>
        <w:rPr>
          <w:color w:val="auto"/>
          <w:highlight w:val="none"/>
        </w:rPr>
      </w:pPr>
    </w:p>
    <w:p w14:paraId="694EFF6E">
      <w:pPr>
        <w:pStyle w:val="8"/>
        <w:spacing w:line="245" w:lineRule="auto"/>
        <w:rPr>
          <w:color w:val="auto"/>
          <w:highlight w:val="none"/>
        </w:rPr>
      </w:pPr>
    </w:p>
    <w:p w14:paraId="7BFAECF9">
      <w:pPr>
        <w:pStyle w:val="8"/>
        <w:spacing w:line="245" w:lineRule="auto"/>
        <w:rPr>
          <w:color w:val="auto"/>
          <w:highlight w:val="none"/>
        </w:rPr>
      </w:pPr>
    </w:p>
    <w:p w14:paraId="1FBA4AE1">
      <w:pPr>
        <w:pStyle w:val="8"/>
        <w:spacing w:line="245" w:lineRule="auto"/>
        <w:rPr>
          <w:color w:val="auto"/>
          <w:highlight w:val="none"/>
        </w:rPr>
      </w:pPr>
    </w:p>
    <w:p w14:paraId="27F15CD6">
      <w:pPr>
        <w:pStyle w:val="8"/>
        <w:spacing w:line="245" w:lineRule="auto"/>
        <w:rPr>
          <w:color w:val="auto"/>
          <w:highlight w:val="none"/>
        </w:rPr>
      </w:pPr>
    </w:p>
    <w:p w14:paraId="0514F1EB">
      <w:pPr>
        <w:pStyle w:val="8"/>
        <w:spacing w:line="245" w:lineRule="auto"/>
        <w:rPr>
          <w:color w:val="auto"/>
          <w:highlight w:val="none"/>
        </w:rPr>
      </w:pPr>
    </w:p>
    <w:p w14:paraId="1D6304C6">
      <w:pPr>
        <w:pStyle w:val="8"/>
        <w:spacing w:line="245" w:lineRule="auto"/>
        <w:rPr>
          <w:color w:val="auto"/>
          <w:highlight w:val="none"/>
        </w:rPr>
      </w:pPr>
    </w:p>
    <w:p w14:paraId="0CCF9666">
      <w:pPr>
        <w:pStyle w:val="8"/>
        <w:spacing w:line="245" w:lineRule="auto"/>
        <w:rPr>
          <w:color w:val="auto"/>
          <w:highlight w:val="none"/>
        </w:rPr>
      </w:pPr>
    </w:p>
    <w:p w14:paraId="16BED81F">
      <w:pPr>
        <w:pStyle w:val="8"/>
        <w:spacing w:line="245" w:lineRule="auto"/>
        <w:rPr>
          <w:color w:val="auto"/>
          <w:highlight w:val="none"/>
        </w:rPr>
      </w:pPr>
    </w:p>
    <w:p w14:paraId="313740F8">
      <w:pPr>
        <w:pStyle w:val="8"/>
        <w:spacing w:line="245" w:lineRule="auto"/>
        <w:rPr>
          <w:color w:val="auto"/>
          <w:highlight w:val="none"/>
        </w:rPr>
      </w:pPr>
    </w:p>
    <w:p w14:paraId="5410C00D">
      <w:pPr>
        <w:pStyle w:val="8"/>
        <w:spacing w:line="245" w:lineRule="auto"/>
        <w:rPr>
          <w:color w:val="auto"/>
          <w:highlight w:val="none"/>
        </w:rPr>
      </w:pPr>
    </w:p>
    <w:p w14:paraId="2622C926">
      <w:pPr>
        <w:pStyle w:val="8"/>
        <w:spacing w:line="245" w:lineRule="auto"/>
        <w:rPr>
          <w:color w:val="auto"/>
          <w:highlight w:val="none"/>
        </w:rPr>
      </w:pPr>
    </w:p>
    <w:p w14:paraId="0A302A89">
      <w:pPr>
        <w:pStyle w:val="8"/>
        <w:spacing w:line="245" w:lineRule="auto"/>
        <w:rPr>
          <w:color w:val="auto"/>
          <w:highlight w:val="none"/>
        </w:rPr>
      </w:pPr>
    </w:p>
    <w:p w14:paraId="6E1060E4">
      <w:pPr>
        <w:pStyle w:val="8"/>
        <w:spacing w:line="245" w:lineRule="auto"/>
        <w:rPr>
          <w:color w:val="auto"/>
          <w:highlight w:val="none"/>
        </w:rPr>
      </w:pPr>
    </w:p>
    <w:p w14:paraId="1095CEE5">
      <w:pPr>
        <w:spacing w:before="156" w:line="222" w:lineRule="auto"/>
        <w:ind w:left="3250"/>
        <w:outlineLvl w:val="0"/>
        <w:rPr>
          <w:rFonts w:ascii="黑体" w:hAnsi="黑体" w:eastAsia="黑体" w:cs="黑体"/>
          <w:color w:val="auto"/>
          <w:sz w:val="48"/>
          <w:szCs w:val="48"/>
          <w:highlight w:val="none"/>
        </w:rPr>
      </w:pPr>
      <w:bookmarkStart w:id="172" w:name="bookmark424"/>
      <w:bookmarkEnd w:id="172"/>
      <w:bookmarkStart w:id="173" w:name="bookmark104"/>
      <w:bookmarkEnd w:id="173"/>
      <w:bookmarkStart w:id="174" w:name="_Toc3483"/>
      <w:r>
        <w:rPr>
          <w:rFonts w:ascii="黑体" w:hAnsi="黑体" w:eastAsia="黑体" w:cs="黑体"/>
          <w:b/>
          <w:bCs/>
          <w:color w:val="auto"/>
          <w:spacing w:val="-21"/>
          <w:sz w:val="48"/>
          <w:szCs w:val="48"/>
          <w:highlight w:val="none"/>
        </w:rPr>
        <w:t>第</w:t>
      </w:r>
      <w:r>
        <w:rPr>
          <w:rFonts w:ascii="黑体" w:hAnsi="黑体" w:eastAsia="黑体" w:cs="黑体"/>
          <w:color w:val="auto"/>
          <w:spacing w:val="31"/>
          <w:sz w:val="48"/>
          <w:szCs w:val="48"/>
          <w:highlight w:val="none"/>
        </w:rPr>
        <w:t xml:space="preserve"> </w:t>
      </w:r>
      <w:r>
        <w:rPr>
          <w:rFonts w:ascii="黑体" w:hAnsi="黑体" w:eastAsia="黑体" w:cs="黑体"/>
          <w:b/>
          <w:bCs/>
          <w:color w:val="auto"/>
          <w:spacing w:val="-21"/>
          <w:sz w:val="48"/>
          <w:szCs w:val="48"/>
          <w:highlight w:val="none"/>
        </w:rPr>
        <w:t>三</w:t>
      </w:r>
      <w:r>
        <w:rPr>
          <w:rFonts w:ascii="黑体" w:hAnsi="黑体" w:eastAsia="黑体" w:cs="黑体"/>
          <w:color w:val="auto"/>
          <w:spacing w:val="29"/>
          <w:sz w:val="48"/>
          <w:szCs w:val="48"/>
          <w:highlight w:val="none"/>
        </w:rPr>
        <w:t xml:space="preserve"> </w:t>
      </w:r>
      <w:r>
        <w:rPr>
          <w:rFonts w:ascii="黑体" w:hAnsi="黑体" w:eastAsia="黑体" w:cs="黑体"/>
          <w:b/>
          <w:bCs/>
          <w:color w:val="auto"/>
          <w:spacing w:val="-21"/>
          <w:sz w:val="48"/>
          <w:szCs w:val="48"/>
          <w:highlight w:val="none"/>
        </w:rPr>
        <w:t>卷</w:t>
      </w:r>
      <w:bookmarkEnd w:id="174"/>
    </w:p>
    <w:p w14:paraId="36AA5BA9">
      <w:pPr>
        <w:spacing w:line="222" w:lineRule="auto"/>
        <w:rPr>
          <w:rFonts w:ascii="黑体" w:hAnsi="黑体" w:eastAsia="黑体" w:cs="黑体"/>
          <w:color w:val="auto"/>
          <w:sz w:val="48"/>
          <w:szCs w:val="48"/>
          <w:highlight w:val="none"/>
        </w:rPr>
        <w:sectPr>
          <w:footerReference r:id="rId97" w:type="default"/>
          <w:pgSz w:w="11905" w:h="16840"/>
          <w:pgMar w:top="400" w:right="1529" w:bottom="1255" w:left="1785" w:header="0" w:footer="1093" w:gutter="0"/>
          <w:pgNumType w:fmt="decimal"/>
          <w:cols w:space="720" w:num="1"/>
        </w:sectPr>
      </w:pPr>
    </w:p>
    <w:p w14:paraId="6CA0DBE0">
      <w:pPr>
        <w:pStyle w:val="8"/>
        <w:spacing w:line="242" w:lineRule="auto"/>
        <w:rPr>
          <w:color w:val="auto"/>
          <w:highlight w:val="none"/>
        </w:rPr>
      </w:pPr>
    </w:p>
    <w:p w14:paraId="631F3D51">
      <w:pPr>
        <w:pStyle w:val="8"/>
        <w:spacing w:line="242" w:lineRule="auto"/>
        <w:rPr>
          <w:color w:val="auto"/>
          <w:highlight w:val="none"/>
        </w:rPr>
      </w:pPr>
    </w:p>
    <w:p w14:paraId="1893D7E2">
      <w:pPr>
        <w:pStyle w:val="8"/>
        <w:spacing w:line="242" w:lineRule="auto"/>
        <w:rPr>
          <w:color w:val="auto"/>
          <w:highlight w:val="none"/>
        </w:rPr>
      </w:pPr>
    </w:p>
    <w:p w14:paraId="779D8278">
      <w:pPr>
        <w:pStyle w:val="8"/>
        <w:spacing w:line="243" w:lineRule="auto"/>
        <w:rPr>
          <w:color w:val="auto"/>
          <w:highlight w:val="none"/>
        </w:rPr>
      </w:pPr>
    </w:p>
    <w:p w14:paraId="3BA64272">
      <w:pPr>
        <w:spacing w:before="117" w:line="219" w:lineRule="auto"/>
        <w:ind w:left="960"/>
        <w:outlineLvl w:val="1"/>
        <w:rPr>
          <w:rFonts w:ascii="宋体" w:hAnsi="宋体" w:eastAsia="宋体" w:cs="宋体"/>
          <w:color w:val="auto"/>
          <w:sz w:val="36"/>
          <w:szCs w:val="36"/>
          <w:highlight w:val="none"/>
        </w:rPr>
      </w:pPr>
      <w:bookmarkStart w:id="175" w:name="bookmark425"/>
      <w:bookmarkEnd w:id="175"/>
      <w:bookmarkStart w:id="176" w:name="bookmark105"/>
      <w:bookmarkEnd w:id="176"/>
      <w:bookmarkStart w:id="177" w:name="_Toc22521"/>
      <w:r>
        <w:rPr>
          <w:rFonts w:ascii="宋体" w:hAnsi="宋体" w:eastAsia="宋体" w:cs="宋体"/>
          <w:b/>
          <w:bCs/>
          <w:color w:val="auto"/>
          <w:spacing w:val="-5"/>
          <w:sz w:val="36"/>
          <w:szCs w:val="36"/>
          <w:highlight w:val="none"/>
        </w:rPr>
        <w:t>第七章</w:t>
      </w:r>
      <w:r>
        <w:rPr>
          <w:rFonts w:ascii="宋体" w:hAnsi="宋体" w:eastAsia="宋体" w:cs="宋体"/>
          <w:color w:val="auto"/>
          <w:spacing w:val="-5"/>
          <w:sz w:val="36"/>
          <w:szCs w:val="36"/>
          <w:highlight w:val="none"/>
        </w:rPr>
        <w:t xml:space="preserve">  </w:t>
      </w:r>
      <w:r>
        <w:rPr>
          <w:rFonts w:ascii="宋体" w:hAnsi="宋体" w:eastAsia="宋体" w:cs="宋体"/>
          <w:b/>
          <w:bCs/>
          <w:color w:val="auto"/>
          <w:spacing w:val="-5"/>
          <w:sz w:val="36"/>
          <w:szCs w:val="36"/>
          <w:highlight w:val="none"/>
        </w:rPr>
        <w:t>技术标准和要求（合同技术条款）</w:t>
      </w:r>
      <w:bookmarkEnd w:id="177"/>
    </w:p>
    <w:p w14:paraId="3A766092">
      <w:pPr>
        <w:spacing w:before="181" w:line="289" w:lineRule="auto"/>
        <w:ind w:right="100" w:firstLine="475"/>
        <w:rPr>
          <w:rFonts w:ascii="宋体" w:hAnsi="宋体" w:eastAsia="宋体" w:cs="宋体"/>
          <w:color w:val="auto"/>
          <w:sz w:val="24"/>
          <w:szCs w:val="24"/>
          <w:highlight w:val="none"/>
        </w:rPr>
      </w:pPr>
      <w:bookmarkStart w:id="178" w:name="bookmark106"/>
      <w:bookmarkEnd w:id="178"/>
    </w:p>
    <w:p w14:paraId="762EBC9D">
      <w:pPr>
        <w:spacing w:line="289" w:lineRule="auto"/>
        <w:rPr>
          <w:rFonts w:ascii="宋体" w:hAnsi="宋体" w:eastAsia="宋体" w:cs="宋体"/>
          <w:color w:val="auto"/>
          <w:sz w:val="24"/>
          <w:szCs w:val="24"/>
          <w:highlight w:val="none"/>
        </w:rPr>
        <w:sectPr>
          <w:headerReference r:id="rId98" w:type="default"/>
          <w:footerReference r:id="rId99" w:type="default"/>
          <w:pgSz w:w="11905" w:h="16840"/>
          <w:pgMar w:top="400" w:right="1462" w:bottom="1255" w:left="1596" w:header="0" w:footer="1093" w:gutter="0"/>
          <w:pgNumType w:fmt="decimal"/>
          <w:cols w:space="720" w:num="1"/>
        </w:sectPr>
      </w:pPr>
    </w:p>
    <w:p w14:paraId="684FCE0C">
      <w:pPr>
        <w:pStyle w:val="8"/>
        <w:spacing w:line="247" w:lineRule="auto"/>
        <w:rPr>
          <w:color w:val="auto"/>
          <w:highlight w:val="none"/>
        </w:rPr>
      </w:pPr>
    </w:p>
    <w:p w14:paraId="74AF5D01">
      <w:pPr>
        <w:pStyle w:val="8"/>
        <w:spacing w:line="248" w:lineRule="auto"/>
        <w:rPr>
          <w:color w:val="auto"/>
          <w:highlight w:val="none"/>
        </w:rPr>
      </w:pPr>
    </w:p>
    <w:p w14:paraId="4506E536">
      <w:pPr>
        <w:pStyle w:val="8"/>
        <w:spacing w:line="248" w:lineRule="auto"/>
        <w:rPr>
          <w:color w:val="auto"/>
          <w:highlight w:val="none"/>
        </w:rPr>
      </w:pPr>
    </w:p>
    <w:p w14:paraId="0C1E81BB">
      <w:pPr>
        <w:pStyle w:val="8"/>
        <w:spacing w:line="248" w:lineRule="auto"/>
        <w:rPr>
          <w:color w:val="auto"/>
          <w:highlight w:val="none"/>
        </w:rPr>
      </w:pPr>
    </w:p>
    <w:p w14:paraId="4004AC27">
      <w:pPr>
        <w:pStyle w:val="8"/>
        <w:spacing w:line="246" w:lineRule="auto"/>
        <w:rPr>
          <w:color w:val="auto"/>
          <w:highlight w:val="none"/>
        </w:rPr>
      </w:pPr>
    </w:p>
    <w:p w14:paraId="51BD45A4">
      <w:pPr>
        <w:pStyle w:val="8"/>
        <w:spacing w:line="246" w:lineRule="auto"/>
        <w:rPr>
          <w:color w:val="auto"/>
          <w:highlight w:val="none"/>
        </w:rPr>
      </w:pPr>
    </w:p>
    <w:p w14:paraId="07987C8B">
      <w:pPr>
        <w:pStyle w:val="8"/>
        <w:spacing w:line="246" w:lineRule="auto"/>
        <w:rPr>
          <w:color w:val="auto"/>
          <w:highlight w:val="none"/>
        </w:rPr>
      </w:pPr>
    </w:p>
    <w:p w14:paraId="40A68857">
      <w:pPr>
        <w:pStyle w:val="8"/>
        <w:spacing w:line="246" w:lineRule="auto"/>
        <w:rPr>
          <w:color w:val="auto"/>
          <w:highlight w:val="none"/>
        </w:rPr>
      </w:pPr>
    </w:p>
    <w:p w14:paraId="71E03E47">
      <w:pPr>
        <w:pStyle w:val="8"/>
        <w:spacing w:line="246" w:lineRule="auto"/>
        <w:rPr>
          <w:color w:val="auto"/>
          <w:highlight w:val="none"/>
        </w:rPr>
      </w:pPr>
    </w:p>
    <w:p w14:paraId="00DDE652">
      <w:pPr>
        <w:pStyle w:val="8"/>
        <w:spacing w:line="246" w:lineRule="auto"/>
        <w:rPr>
          <w:color w:val="auto"/>
          <w:highlight w:val="none"/>
        </w:rPr>
      </w:pPr>
    </w:p>
    <w:p w14:paraId="5708FF83">
      <w:pPr>
        <w:pStyle w:val="8"/>
        <w:spacing w:line="246" w:lineRule="auto"/>
        <w:rPr>
          <w:color w:val="auto"/>
          <w:highlight w:val="none"/>
        </w:rPr>
      </w:pPr>
    </w:p>
    <w:p w14:paraId="429481D0">
      <w:pPr>
        <w:pStyle w:val="8"/>
        <w:spacing w:line="246" w:lineRule="auto"/>
        <w:rPr>
          <w:color w:val="auto"/>
          <w:highlight w:val="none"/>
        </w:rPr>
      </w:pPr>
    </w:p>
    <w:p w14:paraId="7FFE27EB">
      <w:pPr>
        <w:pStyle w:val="8"/>
        <w:spacing w:line="246" w:lineRule="auto"/>
        <w:rPr>
          <w:color w:val="auto"/>
          <w:highlight w:val="none"/>
        </w:rPr>
      </w:pPr>
    </w:p>
    <w:p w14:paraId="757F0755">
      <w:pPr>
        <w:pStyle w:val="8"/>
        <w:spacing w:line="246" w:lineRule="auto"/>
        <w:rPr>
          <w:color w:val="auto"/>
          <w:highlight w:val="none"/>
        </w:rPr>
      </w:pPr>
    </w:p>
    <w:p w14:paraId="05816D60">
      <w:pPr>
        <w:pStyle w:val="8"/>
        <w:spacing w:line="246" w:lineRule="auto"/>
        <w:rPr>
          <w:color w:val="auto"/>
          <w:highlight w:val="none"/>
        </w:rPr>
      </w:pPr>
    </w:p>
    <w:p w14:paraId="511B41CC">
      <w:pPr>
        <w:pStyle w:val="8"/>
        <w:spacing w:line="246" w:lineRule="auto"/>
        <w:rPr>
          <w:color w:val="auto"/>
          <w:highlight w:val="none"/>
        </w:rPr>
      </w:pPr>
    </w:p>
    <w:p w14:paraId="1D122AB7">
      <w:pPr>
        <w:pStyle w:val="8"/>
        <w:spacing w:line="246" w:lineRule="auto"/>
        <w:rPr>
          <w:color w:val="auto"/>
          <w:highlight w:val="none"/>
        </w:rPr>
      </w:pPr>
    </w:p>
    <w:p w14:paraId="76522E5E">
      <w:pPr>
        <w:pStyle w:val="8"/>
        <w:spacing w:line="246" w:lineRule="auto"/>
        <w:rPr>
          <w:color w:val="auto"/>
          <w:highlight w:val="none"/>
        </w:rPr>
      </w:pPr>
    </w:p>
    <w:p w14:paraId="00494FF6">
      <w:pPr>
        <w:pStyle w:val="8"/>
        <w:spacing w:line="246" w:lineRule="auto"/>
        <w:rPr>
          <w:color w:val="auto"/>
          <w:highlight w:val="none"/>
        </w:rPr>
      </w:pPr>
    </w:p>
    <w:p w14:paraId="055B97EA">
      <w:pPr>
        <w:pStyle w:val="8"/>
        <w:spacing w:line="246" w:lineRule="auto"/>
        <w:rPr>
          <w:color w:val="auto"/>
          <w:highlight w:val="none"/>
        </w:rPr>
      </w:pPr>
    </w:p>
    <w:p w14:paraId="0BBE0E67">
      <w:pPr>
        <w:pStyle w:val="8"/>
        <w:spacing w:line="246" w:lineRule="auto"/>
        <w:rPr>
          <w:color w:val="auto"/>
          <w:highlight w:val="none"/>
        </w:rPr>
      </w:pPr>
    </w:p>
    <w:p w14:paraId="566011AB">
      <w:pPr>
        <w:pStyle w:val="8"/>
        <w:spacing w:line="246" w:lineRule="auto"/>
        <w:rPr>
          <w:color w:val="auto"/>
          <w:highlight w:val="none"/>
        </w:rPr>
      </w:pPr>
    </w:p>
    <w:p w14:paraId="3C24EBF5">
      <w:pPr>
        <w:pStyle w:val="8"/>
        <w:spacing w:line="246" w:lineRule="auto"/>
        <w:rPr>
          <w:color w:val="auto"/>
          <w:highlight w:val="none"/>
        </w:rPr>
      </w:pPr>
    </w:p>
    <w:p w14:paraId="30F1963E">
      <w:pPr>
        <w:pStyle w:val="8"/>
        <w:spacing w:line="246" w:lineRule="auto"/>
        <w:rPr>
          <w:color w:val="auto"/>
          <w:highlight w:val="none"/>
        </w:rPr>
      </w:pPr>
    </w:p>
    <w:p w14:paraId="1305C7BF">
      <w:pPr>
        <w:pStyle w:val="8"/>
        <w:spacing w:line="246" w:lineRule="auto"/>
        <w:rPr>
          <w:color w:val="auto"/>
          <w:highlight w:val="none"/>
        </w:rPr>
      </w:pPr>
    </w:p>
    <w:p w14:paraId="1F9CD613">
      <w:pPr>
        <w:pStyle w:val="8"/>
        <w:spacing w:line="246" w:lineRule="auto"/>
        <w:rPr>
          <w:color w:val="auto"/>
          <w:highlight w:val="none"/>
        </w:rPr>
      </w:pPr>
    </w:p>
    <w:p w14:paraId="2E880EEB">
      <w:pPr>
        <w:pStyle w:val="8"/>
        <w:spacing w:line="246" w:lineRule="auto"/>
        <w:rPr>
          <w:color w:val="auto"/>
          <w:highlight w:val="none"/>
        </w:rPr>
      </w:pPr>
    </w:p>
    <w:p w14:paraId="77BD2814">
      <w:pPr>
        <w:pStyle w:val="8"/>
        <w:spacing w:line="246" w:lineRule="auto"/>
        <w:rPr>
          <w:color w:val="auto"/>
          <w:highlight w:val="none"/>
        </w:rPr>
      </w:pPr>
    </w:p>
    <w:p w14:paraId="69EA8423">
      <w:pPr>
        <w:pStyle w:val="8"/>
        <w:spacing w:line="246" w:lineRule="auto"/>
        <w:rPr>
          <w:color w:val="auto"/>
          <w:highlight w:val="none"/>
        </w:rPr>
      </w:pPr>
    </w:p>
    <w:p w14:paraId="72197D16">
      <w:pPr>
        <w:pStyle w:val="8"/>
        <w:spacing w:line="246" w:lineRule="auto"/>
        <w:rPr>
          <w:color w:val="auto"/>
          <w:highlight w:val="none"/>
        </w:rPr>
      </w:pPr>
    </w:p>
    <w:p w14:paraId="6271636B">
      <w:pPr>
        <w:pStyle w:val="8"/>
        <w:spacing w:line="246" w:lineRule="auto"/>
        <w:rPr>
          <w:color w:val="auto"/>
          <w:highlight w:val="none"/>
        </w:rPr>
      </w:pPr>
    </w:p>
    <w:p w14:paraId="5F1E54D9">
      <w:pPr>
        <w:spacing w:before="156" w:line="222" w:lineRule="auto"/>
        <w:ind w:left="3250"/>
        <w:outlineLvl w:val="0"/>
        <w:rPr>
          <w:rFonts w:ascii="黑体" w:hAnsi="黑体" w:eastAsia="黑体" w:cs="黑体"/>
          <w:color w:val="auto"/>
          <w:sz w:val="48"/>
          <w:szCs w:val="48"/>
          <w:highlight w:val="none"/>
        </w:rPr>
      </w:pPr>
      <w:bookmarkStart w:id="179" w:name="bookmark596"/>
      <w:bookmarkEnd w:id="179"/>
      <w:bookmarkStart w:id="180" w:name="bookmark350"/>
      <w:bookmarkEnd w:id="180"/>
      <w:bookmarkStart w:id="181" w:name="_Toc14782"/>
      <w:r>
        <w:rPr>
          <w:rFonts w:ascii="黑体" w:hAnsi="黑体" w:eastAsia="黑体" w:cs="黑体"/>
          <w:b/>
          <w:bCs/>
          <w:color w:val="auto"/>
          <w:spacing w:val="-27"/>
          <w:sz w:val="48"/>
          <w:szCs w:val="48"/>
          <w:highlight w:val="none"/>
        </w:rPr>
        <w:t>第</w:t>
      </w:r>
      <w:r>
        <w:rPr>
          <w:rFonts w:ascii="黑体" w:hAnsi="黑体" w:eastAsia="黑体" w:cs="黑体"/>
          <w:color w:val="auto"/>
          <w:spacing w:val="50"/>
          <w:sz w:val="48"/>
          <w:szCs w:val="48"/>
          <w:highlight w:val="none"/>
        </w:rPr>
        <w:t xml:space="preserve"> </w:t>
      </w:r>
      <w:r>
        <w:rPr>
          <w:rFonts w:ascii="黑体" w:hAnsi="黑体" w:eastAsia="黑体" w:cs="黑体"/>
          <w:b/>
          <w:bCs/>
          <w:color w:val="auto"/>
          <w:spacing w:val="-27"/>
          <w:sz w:val="48"/>
          <w:szCs w:val="48"/>
          <w:highlight w:val="none"/>
        </w:rPr>
        <w:t>四</w:t>
      </w:r>
      <w:r>
        <w:rPr>
          <w:rFonts w:ascii="黑体" w:hAnsi="黑体" w:eastAsia="黑体" w:cs="黑体"/>
          <w:color w:val="auto"/>
          <w:spacing w:val="28"/>
          <w:sz w:val="48"/>
          <w:szCs w:val="48"/>
          <w:highlight w:val="none"/>
        </w:rPr>
        <w:t xml:space="preserve"> </w:t>
      </w:r>
      <w:r>
        <w:rPr>
          <w:rFonts w:ascii="黑体" w:hAnsi="黑体" w:eastAsia="黑体" w:cs="黑体"/>
          <w:b/>
          <w:bCs/>
          <w:color w:val="auto"/>
          <w:spacing w:val="-27"/>
          <w:sz w:val="48"/>
          <w:szCs w:val="48"/>
          <w:highlight w:val="none"/>
        </w:rPr>
        <w:t>卷</w:t>
      </w:r>
      <w:bookmarkEnd w:id="181"/>
    </w:p>
    <w:p w14:paraId="09710DD0">
      <w:pPr>
        <w:spacing w:line="222" w:lineRule="auto"/>
        <w:rPr>
          <w:rFonts w:ascii="黑体" w:hAnsi="黑体" w:eastAsia="黑体" w:cs="黑体"/>
          <w:color w:val="auto"/>
          <w:sz w:val="48"/>
          <w:szCs w:val="48"/>
          <w:highlight w:val="none"/>
        </w:rPr>
        <w:sectPr>
          <w:footerReference r:id="rId100" w:type="default"/>
          <w:pgSz w:w="11905" w:h="16840"/>
          <w:pgMar w:top="400" w:right="1529" w:bottom="1255" w:left="1785" w:header="0" w:footer="1093" w:gutter="0"/>
          <w:pgNumType w:fmt="decimal"/>
          <w:cols w:space="720" w:num="1"/>
        </w:sectPr>
      </w:pPr>
    </w:p>
    <w:p w14:paraId="5C1FFC85">
      <w:pPr>
        <w:pStyle w:val="8"/>
        <w:spacing w:line="242" w:lineRule="auto"/>
        <w:rPr>
          <w:color w:val="auto"/>
          <w:highlight w:val="none"/>
        </w:rPr>
      </w:pPr>
    </w:p>
    <w:p w14:paraId="6D82350B">
      <w:pPr>
        <w:pStyle w:val="8"/>
        <w:spacing w:line="242" w:lineRule="auto"/>
        <w:rPr>
          <w:color w:val="auto"/>
          <w:highlight w:val="none"/>
        </w:rPr>
      </w:pPr>
    </w:p>
    <w:p w14:paraId="5B4FD623">
      <w:pPr>
        <w:pStyle w:val="8"/>
        <w:spacing w:line="242" w:lineRule="auto"/>
        <w:rPr>
          <w:color w:val="auto"/>
          <w:highlight w:val="none"/>
        </w:rPr>
      </w:pPr>
    </w:p>
    <w:p w14:paraId="5D3DF16F">
      <w:pPr>
        <w:pStyle w:val="8"/>
        <w:spacing w:line="243" w:lineRule="auto"/>
        <w:rPr>
          <w:color w:val="auto"/>
          <w:highlight w:val="none"/>
        </w:rPr>
      </w:pPr>
    </w:p>
    <w:p w14:paraId="6BFEB08A">
      <w:pPr>
        <w:spacing w:before="117" w:line="219" w:lineRule="auto"/>
        <w:ind w:left="2403"/>
        <w:outlineLvl w:val="1"/>
        <w:rPr>
          <w:rFonts w:ascii="宋体" w:hAnsi="宋体" w:eastAsia="宋体" w:cs="宋体"/>
          <w:color w:val="auto"/>
          <w:sz w:val="36"/>
          <w:szCs w:val="36"/>
          <w:highlight w:val="none"/>
        </w:rPr>
      </w:pPr>
      <w:bookmarkStart w:id="182" w:name="bookmark351"/>
      <w:bookmarkEnd w:id="182"/>
      <w:bookmarkStart w:id="183" w:name="_Toc10240"/>
      <w:r>
        <w:rPr>
          <w:rFonts w:ascii="宋体" w:hAnsi="宋体" w:eastAsia="宋体" w:cs="宋体"/>
          <w:b/>
          <w:bCs/>
          <w:color w:val="auto"/>
          <w:spacing w:val="-4"/>
          <w:sz w:val="36"/>
          <w:szCs w:val="36"/>
          <w:highlight w:val="none"/>
        </w:rPr>
        <w:t>第八章</w:t>
      </w:r>
      <w:r>
        <w:rPr>
          <w:rFonts w:ascii="宋体" w:hAnsi="宋体" w:eastAsia="宋体" w:cs="宋体"/>
          <w:color w:val="auto"/>
          <w:spacing w:val="-4"/>
          <w:sz w:val="36"/>
          <w:szCs w:val="36"/>
          <w:highlight w:val="none"/>
        </w:rPr>
        <w:t xml:space="preserve">  </w:t>
      </w:r>
      <w:r>
        <w:rPr>
          <w:rFonts w:ascii="宋体" w:hAnsi="宋体" w:eastAsia="宋体" w:cs="宋体"/>
          <w:b/>
          <w:bCs/>
          <w:color w:val="auto"/>
          <w:spacing w:val="-4"/>
          <w:sz w:val="36"/>
          <w:szCs w:val="36"/>
          <w:highlight w:val="none"/>
        </w:rPr>
        <w:t>投标文件格式</w:t>
      </w:r>
      <w:bookmarkEnd w:id="183"/>
    </w:p>
    <w:p w14:paraId="213E6519">
      <w:pPr>
        <w:spacing w:line="219" w:lineRule="auto"/>
        <w:rPr>
          <w:rFonts w:ascii="宋体" w:hAnsi="宋体" w:eastAsia="宋体" w:cs="宋体"/>
          <w:color w:val="auto"/>
          <w:sz w:val="36"/>
          <w:szCs w:val="36"/>
          <w:highlight w:val="none"/>
        </w:rPr>
      </w:pPr>
    </w:p>
    <w:p w14:paraId="2EB6F68A">
      <w:pPr>
        <w:spacing w:line="219" w:lineRule="auto"/>
        <w:rPr>
          <w:rFonts w:ascii="宋体" w:hAnsi="宋体" w:eastAsia="宋体" w:cs="宋体"/>
          <w:color w:val="auto"/>
          <w:sz w:val="36"/>
          <w:szCs w:val="36"/>
          <w:highlight w:val="none"/>
        </w:rPr>
      </w:pPr>
    </w:p>
    <w:p w14:paraId="70C315C6">
      <w:pPr>
        <w:widowControl w:val="0"/>
        <w:kinsoku/>
        <w:spacing w:line="360" w:lineRule="auto"/>
        <w:ind w:firstLine="440" w:firstLineChars="200"/>
        <w:rPr>
          <w:rFonts w:ascii="Times New Roman" w:hAnsi="Times New Roman" w:eastAsia="宋体" w:cs="Times New Roman"/>
          <w:b/>
          <w:color w:val="auto"/>
          <w:sz w:val="22"/>
          <w:szCs w:val="22"/>
          <w:highlight w:val="none"/>
          <w:u w:val="single"/>
          <w:lang w:eastAsia="zh-CN"/>
        </w:rPr>
      </w:pPr>
      <w:r>
        <w:rPr>
          <w:rFonts w:ascii="Times New Roman" w:hAnsi="Times New Roman" w:cs="Times New Roman"/>
          <w:color w:val="auto"/>
          <w:sz w:val="22"/>
          <w:szCs w:val="22"/>
          <w:highlight w:val="none"/>
          <w:lang w:eastAsia="zh-CN"/>
        </w:rPr>
        <w:t>1、商务标：</w:t>
      </w:r>
      <w:r>
        <w:rPr>
          <w:rFonts w:hint="eastAsia" w:ascii="Times New Roman" w:hAnsi="Times New Roman" w:eastAsia="宋体" w:cs="Times New Roman"/>
          <w:b/>
          <w:color w:val="auto"/>
          <w:sz w:val="22"/>
          <w:szCs w:val="22"/>
          <w:highlight w:val="none"/>
          <w:u w:val="single"/>
          <w:lang w:eastAsia="zh-CN"/>
        </w:rPr>
        <w:t>封面；商务标</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w:t>
      </w:r>
      <w:r>
        <w:rPr>
          <w:rFonts w:hint="eastAsia" w:ascii="Times New Roman" w:hAnsi="Times New Roman" w:eastAsia="宋体" w:cs="Times New Roman"/>
          <w:b/>
          <w:color w:val="auto"/>
          <w:sz w:val="22"/>
          <w:szCs w:val="22"/>
          <w:highlight w:val="none"/>
          <w:u w:val="single"/>
          <w:lang w:val="en-US" w:eastAsia="zh-CN"/>
        </w:rPr>
        <w:t>一</w:t>
      </w:r>
      <w:r>
        <w:rPr>
          <w:rFonts w:hint="eastAsia" w:ascii="Times New Roman" w:hAnsi="Times New Roman" w:eastAsia="宋体" w:cs="Times New Roman"/>
          <w:b/>
          <w:color w:val="auto"/>
          <w:sz w:val="22"/>
          <w:szCs w:val="22"/>
          <w:highlight w:val="none"/>
          <w:u w:val="single"/>
          <w:lang w:eastAsia="zh-CN"/>
        </w:rPr>
        <w:t>、投标函及投标函附录；</w:t>
      </w:r>
      <w:r>
        <w:rPr>
          <w:rFonts w:hint="eastAsia" w:ascii="Times New Roman" w:hAnsi="Times New Roman" w:eastAsia="宋体" w:cs="Times New Roman"/>
          <w:b/>
          <w:color w:val="auto"/>
          <w:sz w:val="22"/>
          <w:szCs w:val="22"/>
          <w:highlight w:val="none"/>
          <w:u w:val="single"/>
          <w:lang w:val="en-US" w:eastAsia="zh-CN"/>
        </w:rPr>
        <w:t>五</w:t>
      </w:r>
      <w:r>
        <w:rPr>
          <w:rFonts w:hint="eastAsia" w:ascii="Times New Roman" w:hAnsi="Times New Roman" w:eastAsia="宋体" w:cs="Times New Roman"/>
          <w:b/>
          <w:color w:val="auto"/>
          <w:sz w:val="22"/>
          <w:szCs w:val="22"/>
          <w:highlight w:val="none"/>
          <w:u w:val="single"/>
          <w:lang w:eastAsia="zh-CN"/>
        </w:rPr>
        <w:t>、已标价工程量清单。</w:t>
      </w:r>
    </w:p>
    <w:p w14:paraId="342A693B">
      <w:pPr>
        <w:widowControl w:val="0"/>
        <w:kinsoku/>
        <w:spacing w:line="360" w:lineRule="auto"/>
        <w:ind w:firstLine="440" w:firstLineChars="200"/>
        <w:rPr>
          <w:rFonts w:ascii="Times New Roman" w:hAnsi="Times New Roman" w:cs="Times New Roman"/>
          <w:color w:val="auto"/>
          <w:sz w:val="22"/>
          <w:szCs w:val="22"/>
          <w:highlight w:val="none"/>
          <w:lang w:eastAsia="zh-CN"/>
        </w:rPr>
      </w:pPr>
      <w:r>
        <w:rPr>
          <w:rFonts w:ascii="Times New Roman" w:hAnsi="Times New Roman" w:eastAsia="宋体" w:cs="Times New Roman"/>
          <w:color w:val="auto"/>
          <w:sz w:val="22"/>
          <w:szCs w:val="22"/>
          <w:highlight w:val="none"/>
          <w:lang w:eastAsia="zh-CN"/>
        </w:rPr>
        <w:t>2、</w:t>
      </w:r>
      <w:r>
        <w:rPr>
          <w:rFonts w:ascii="Times New Roman" w:hAnsi="Times New Roman" w:cs="Times New Roman"/>
          <w:color w:val="auto"/>
          <w:sz w:val="22"/>
          <w:szCs w:val="22"/>
          <w:highlight w:val="none"/>
          <w:lang w:eastAsia="zh-CN"/>
        </w:rPr>
        <w:t>资格审查资料：</w:t>
      </w:r>
      <w:r>
        <w:rPr>
          <w:rFonts w:hint="eastAsia" w:ascii="Times New Roman" w:hAnsi="Times New Roman" w:eastAsia="宋体" w:cs="Times New Roman"/>
          <w:b/>
          <w:color w:val="auto"/>
          <w:sz w:val="22"/>
          <w:szCs w:val="22"/>
          <w:highlight w:val="none"/>
          <w:u w:val="single"/>
          <w:lang w:eastAsia="zh-CN"/>
        </w:rPr>
        <w:t>封面；资格后审资料详见投标人须知前附表第3.5款规定。（</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w:t>
      </w:r>
      <w:r>
        <w:rPr>
          <w:rFonts w:hint="eastAsia" w:ascii="Times New Roman" w:hAnsi="Times New Roman" w:eastAsia="宋体" w:cs="Times New Roman"/>
          <w:b/>
          <w:color w:val="auto"/>
          <w:sz w:val="22"/>
          <w:szCs w:val="22"/>
          <w:highlight w:val="none"/>
          <w:u w:val="single"/>
          <w:lang w:val="en-US" w:eastAsia="zh-CN"/>
        </w:rPr>
        <w:t>二</w:t>
      </w:r>
      <w:r>
        <w:rPr>
          <w:rFonts w:hint="eastAsia" w:ascii="Times New Roman" w:hAnsi="Times New Roman" w:eastAsia="宋体" w:cs="Times New Roman"/>
          <w:b/>
          <w:color w:val="auto"/>
          <w:sz w:val="22"/>
          <w:szCs w:val="22"/>
          <w:highlight w:val="none"/>
          <w:u w:val="single"/>
          <w:lang w:eastAsia="zh-CN"/>
        </w:rPr>
        <w:t>、法定代表人身份证明；</w:t>
      </w:r>
      <w:r>
        <w:rPr>
          <w:rFonts w:hint="eastAsia" w:ascii="Times New Roman" w:hAnsi="Times New Roman" w:eastAsia="宋体" w:cs="Times New Roman"/>
          <w:b/>
          <w:color w:val="auto"/>
          <w:sz w:val="22"/>
          <w:szCs w:val="22"/>
          <w:highlight w:val="none"/>
          <w:u w:val="single"/>
          <w:lang w:val="en-US" w:eastAsia="zh-CN"/>
        </w:rPr>
        <w:t>二</w:t>
      </w:r>
      <w:r>
        <w:rPr>
          <w:rFonts w:hint="eastAsia" w:ascii="Times New Roman" w:hAnsi="Times New Roman" w:eastAsia="宋体" w:cs="Times New Roman"/>
          <w:b/>
          <w:color w:val="auto"/>
          <w:sz w:val="22"/>
          <w:szCs w:val="22"/>
          <w:highlight w:val="none"/>
          <w:u w:val="single"/>
          <w:lang w:eastAsia="zh-CN"/>
        </w:rPr>
        <w:t>、授权委托书；</w:t>
      </w:r>
      <w:r>
        <w:rPr>
          <w:rFonts w:hint="eastAsia" w:ascii="Times New Roman" w:hAnsi="Times New Roman" w:eastAsia="宋体" w:cs="Times New Roman"/>
          <w:b/>
          <w:color w:val="auto"/>
          <w:sz w:val="22"/>
          <w:szCs w:val="22"/>
          <w:highlight w:val="none"/>
          <w:u w:val="single"/>
          <w:lang w:val="en-US" w:eastAsia="zh-CN"/>
        </w:rPr>
        <w:t>四</w:t>
      </w:r>
      <w:r>
        <w:rPr>
          <w:rFonts w:hint="eastAsia" w:ascii="Times New Roman" w:hAnsi="Times New Roman" w:eastAsia="宋体" w:cs="Times New Roman"/>
          <w:b/>
          <w:color w:val="auto"/>
          <w:sz w:val="22"/>
          <w:szCs w:val="22"/>
          <w:highlight w:val="none"/>
          <w:u w:val="single"/>
          <w:lang w:eastAsia="zh-CN"/>
        </w:rPr>
        <w:t>、投标保</w:t>
      </w:r>
      <w:r>
        <w:rPr>
          <w:rFonts w:hint="eastAsia" w:ascii="Times New Roman" w:hAnsi="Times New Roman" w:eastAsia="宋体" w:cs="Times New Roman"/>
          <w:b/>
          <w:color w:val="auto"/>
          <w:sz w:val="22"/>
          <w:szCs w:val="22"/>
          <w:highlight w:val="none"/>
          <w:u w:val="single"/>
          <w:lang w:val="en-US" w:eastAsia="zh-CN"/>
        </w:rPr>
        <w:t>证</w:t>
      </w:r>
      <w:r>
        <w:rPr>
          <w:rFonts w:hint="eastAsia" w:ascii="Times New Roman" w:hAnsi="Times New Roman" w:eastAsia="宋体" w:cs="Times New Roman"/>
          <w:b/>
          <w:color w:val="auto"/>
          <w:sz w:val="22"/>
          <w:szCs w:val="22"/>
          <w:highlight w:val="none"/>
          <w:u w:val="single"/>
          <w:lang w:eastAsia="zh-CN"/>
        </w:rPr>
        <w:t>金；</w:t>
      </w:r>
      <w:r>
        <w:rPr>
          <w:rFonts w:hint="eastAsia" w:ascii="Times New Roman" w:hAnsi="Times New Roman" w:eastAsia="宋体" w:cs="Times New Roman"/>
          <w:b/>
          <w:color w:val="auto"/>
          <w:sz w:val="22"/>
          <w:szCs w:val="22"/>
          <w:highlight w:val="none"/>
          <w:u w:val="single"/>
          <w:lang w:val="en-US" w:eastAsia="zh-CN"/>
        </w:rPr>
        <w:t>九</w:t>
      </w:r>
      <w:r>
        <w:rPr>
          <w:rFonts w:hint="eastAsia" w:ascii="Times New Roman" w:hAnsi="Times New Roman" w:eastAsia="宋体" w:cs="Times New Roman"/>
          <w:b/>
          <w:color w:val="auto"/>
          <w:sz w:val="22"/>
          <w:szCs w:val="22"/>
          <w:highlight w:val="none"/>
          <w:u w:val="single"/>
          <w:lang w:eastAsia="zh-CN"/>
        </w:rPr>
        <w:t>、资格审查资料；</w:t>
      </w:r>
      <w:r>
        <w:rPr>
          <w:rFonts w:hint="eastAsia" w:ascii="Times New Roman" w:hAnsi="Times New Roman" w:eastAsia="宋体" w:cs="Times New Roman"/>
          <w:b/>
          <w:color w:val="auto"/>
          <w:sz w:val="22"/>
          <w:szCs w:val="22"/>
          <w:highlight w:val="none"/>
          <w:u w:val="single"/>
          <w:lang w:val="en-US" w:eastAsia="zh-CN"/>
        </w:rPr>
        <w:t>十</w:t>
      </w:r>
      <w:r>
        <w:rPr>
          <w:rFonts w:hint="eastAsia" w:ascii="Times New Roman" w:hAnsi="Times New Roman" w:eastAsia="宋体" w:cs="Times New Roman"/>
          <w:b/>
          <w:color w:val="auto"/>
          <w:sz w:val="22"/>
          <w:szCs w:val="22"/>
          <w:highlight w:val="none"/>
          <w:u w:val="single"/>
          <w:lang w:eastAsia="zh-CN"/>
        </w:rPr>
        <w:t>、原件的复制件；</w:t>
      </w:r>
      <w:r>
        <w:rPr>
          <w:rFonts w:hint="eastAsia" w:ascii="Times New Roman" w:hAnsi="Times New Roman" w:eastAsia="宋体" w:cs="Times New Roman"/>
          <w:b/>
          <w:color w:val="auto"/>
          <w:sz w:val="22"/>
          <w:szCs w:val="22"/>
          <w:highlight w:val="none"/>
          <w:u w:val="single"/>
          <w:lang w:val="en-US" w:eastAsia="zh-CN"/>
        </w:rPr>
        <w:t>十一</w:t>
      </w:r>
      <w:r>
        <w:rPr>
          <w:rFonts w:hint="eastAsia" w:ascii="Times New Roman" w:hAnsi="Times New Roman" w:eastAsia="宋体" w:cs="Times New Roman"/>
          <w:b/>
          <w:color w:val="auto"/>
          <w:sz w:val="22"/>
          <w:szCs w:val="22"/>
          <w:highlight w:val="none"/>
          <w:u w:val="single"/>
          <w:lang w:eastAsia="zh-CN"/>
        </w:rPr>
        <w:t>、其他材料；）</w:t>
      </w:r>
    </w:p>
    <w:p w14:paraId="50A494F0">
      <w:pPr>
        <w:widowControl w:val="0"/>
        <w:kinsoku/>
        <w:spacing w:line="360" w:lineRule="auto"/>
        <w:ind w:firstLine="440" w:firstLineChars="200"/>
        <w:rPr>
          <w:rFonts w:hint="eastAsia" w:ascii="Times New Roman" w:hAnsi="Times New Roman" w:eastAsia="宋体" w:cs="Times New Roman"/>
          <w:b/>
          <w:color w:val="auto"/>
          <w:sz w:val="22"/>
          <w:szCs w:val="22"/>
          <w:highlight w:val="none"/>
          <w:u w:val="single"/>
          <w:lang w:val="en-US" w:eastAsia="zh-CN"/>
        </w:rPr>
      </w:pPr>
      <w:r>
        <w:rPr>
          <w:rFonts w:ascii="Times New Roman" w:hAnsi="Times New Roman" w:cs="Times New Roman"/>
          <w:color w:val="auto"/>
          <w:sz w:val="22"/>
          <w:szCs w:val="22"/>
          <w:highlight w:val="none"/>
          <w:lang w:eastAsia="zh-CN"/>
        </w:rPr>
        <w:t>3、技术标：</w:t>
      </w:r>
      <w:r>
        <w:rPr>
          <w:rFonts w:ascii="Times New Roman" w:hAnsi="Times New Roman" w:eastAsia="宋体" w:cs="Times New Roman"/>
          <w:b/>
          <w:color w:val="auto"/>
          <w:sz w:val="22"/>
          <w:szCs w:val="22"/>
          <w:highlight w:val="none"/>
          <w:u w:val="single"/>
          <w:lang w:eastAsia="zh-CN"/>
        </w:rPr>
        <w:t xml:space="preserve"> </w:t>
      </w:r>
      <w:r>
        <w:rPr>
          <w:rFonts w:hint="eastAsia" w:ascii="Times New Roman" w:hAnsi="Times New Roman" w:eastAsia="宋体" w:cs="Times New Roman"/>
          <w:b/>
          <w:color w:val="auto"/>
          <w:sz w:val="22"/>
          <w:szCs w:val="22"/>
          <w:highlight w:val="none"/>
          <w:u w:val="single"/>
          <w:lang w:eastAsia="zh-CN"/>
        </w:rPr>
        <w:t>封面；技术标</w:t>
      </w:r>
      <w:r>
        <w:rPr>
          <w:rFonts w:hint="eastAsia" w:ascii="Times New Roman" w:hAnsi="Times New Roman" w:eastAsia="宋体" w:cs="Times New Roman"/>
          <w:b/>
          <w:color w:val="auto"/>
          <w:sz w:val="22"/>
          <w:szCs w:val="22"/>
          <w:highlight w:val="none"/>
          <w:u w:val="single"/>
          <w:lang w:val="en-US" w:eastAsia="zh-CN"/>
        </w:rPr>
        <w:t>相关格式</w:t>
      </w:r>
      <w:r>
        <w:rPr>
          <w:rFonts w:hint="eastAsia" w:ascii="Times New Roman" w:hAnsi="Times New Roman" w:eastAsia="宋体" w:cs="Times New Roman"/>
          <w:b/>
          <w:color w:val="auto"/>
          <w:sz w:val="22"/>
          <w:szCs w:val="22"/>
          <w:highlight w:val="none"/>
          <w:u w:val="single"/>
          <w:lang w:eastAsia="zh-CN"/>
        </w:rPr>
        <w:t>详见第八章投标文件格式“六、施工组织设计；七、项目管理机构”；</w:t>
      </w:r>
      <w:r>
        <w:rPr>
          <w:rFonts w:hint="eastAsia" w:ascii="Times New Roman" w:hAnsi="Times New Roman" w:eastAsia="宋体" w:cs="Times New Roman"/>
          <w:b/>
          <w:color w:val="auto"/>
          <w:sz w:val="22"/>
          <w:szCs w:val="22"/>
          <w:highlight w:val="none"/>
          <w:u w:val="single"/>
          <w:lang w:val="en-US" w:eastAsia="zh-CN"/>
        </w:rPr>
        <w:t>其余内容根据第三章第一节评标办法4.3自行编制。</w:t>
      </w:r>
    </w:p>
    <w:p w14:paraId="3250DE5A">
      <w:pPr>
        <w:spacing w:before="183" w:line="359" w:lineRule="auto"/>
        <w:ind w:left="19" w:firstLine="474"/>
        <w:rPr>
          <w:rFonts w:ascii="Times New Roman" w:hAnsi="Times New Roman" w:eastAsia="Times New Roman" w:cs="Times New Roman"/>
          <w:b/>
          <w:bCs/>
          <w:color w:val="auto"/>
          <w:spacing w:val="-4"/>
          <w:sz w:val="24"/>
          <w:szCs w:val="24"/>
          <w:highlight w:val="none"/>
        </w:rPr>
      </w:pPr>
      <w:r>
        <w:rPr>
          <w:rFonts w:ascii="Times New Roman" w:hAnsi="Times New Roman" w:cs="Times New Roman"/>
          <w:color w:val="auto"/>
          <w:sz w:val="22"/>
          <w:szCs w:val="22"/>
          <w:highlight w:val="none"/>
          <w:lang w:eastAsia="zh-CN"/>
        </w:rPr>
        <w:t>4、</w:t>
      </w:r>
      <w:r>
        <w:rPr>
          <w:rFonts w:ascii="Times New Roman" w:hAnsi="Times New Roman" w:cs="Times New Roman"/>
          <w:bCs/>
          <w:color w:val="auto"/>
          <w:sz w:val="22"/>
          <w:szCs w:val="22"/>
          <w:highlight w:val="none"/>
          <w:lang w:eastAsia="zh-CN"/>
        </w:rPr>
        <w:t>资信标</w:t>
      </w:r>
      <w:r>
        <w:rPr>
          <w:rFonts w:ascii="Times New Roman" w:hAnsi="Times New Roman" w:cs="Times New Roman"/>
          <w:color w:val="auto"/>
          <w:sz w:val="22"/>
          <w:szCs w:val="22"/>
          <w:highlight w:val="none"/>
          <w:lang w:eastAsia="zh-CN"/>
        </w:rPr>
        <w:t>：</w:t>
      </w:r>
      <w:r>
        <w:rPr>
          <w:rFonts w:hint="eastAsia" w:ascii="Times New Roman" w:hAnsi="Times New Roman" w:eastAsia="宋体" w:cs="Times New Roman"/>
          <w:b/>
          <w:color w:val="auto"/>
          <w:sz w:val="22"/>
          <w:szCs w:val="22"/>
          <w:highlight w:val="none"/>
          <w:u w:val="single"/>
          <w:lang w:eastAsia="zh-CN"/>
        </w:rPr>
        <w:t>封面；资信标资料</w:t>
      </w:r>
      <w:r>
        <w:rPr>
          <w:rFonts w:hint="eastAsia" w:ascii="Times New Roman" w:hAnsi="Times New Roman" w:eastAsia="宋体" w:cs="Times New Roman"/>
          <w:b/>
          <w:color w:val="auto"/>
          <w:sz w:val="22"/>
          <w:szCs w:val="22"/>
          <w:highlight w:val="none"/>
          <w:u w:val="single"/>
          <w:lang w:val="en-US" w:eastAsia="zh-CN"/>
        </w:rPr>
        <w:t>根据</w:t>
      </w:r>
      <w:r>
        <w:rPr>
          <w:rFonts w:hint="eastAsia" w:ascii="Times New Roman" w:hAnsi="Times New Roman" w:eastAsia="宋体" w:cs="Times New Roman"/>
          <w:b/>
          <w:color w:val="auto"/>
          <w:sz w:val="22"/>
          <w:szCs w:val="22"/>
          <w:highlight w:val="none"/>
          <w:u w:val="single"/>
          <w:lang w:eastAsia="zh-CN"/>
        </w:rPr>
        <w:t>第三章</w:t>
      </w:r>
      <w:r>
        <w:rPr>
          <w:rFonts w:hint="eastAsia" w:ascii="Times New Roman" w:hAnsi="Times New Roman" w:eastAsia="宋体" w:cs="Times New Roman"/>
          <w:b/>
          <w:color w:val="auto"/>
          <w:sz w:val="22"/>
          <w:szCs w:val="22"/>
          <w:highlight w:val="none"/>
          <w:u w:val="single"/>
          <w:lang w:val="en-US" w:eastAsia="zh-CN"/>
        </w:rPr>
        <w:t>第一节</w:t>
      </w:r>
      <w:r>
        <w:rPr>
          <w:rFonts w:hint="eastAsia" w:ascii="Times New Roman" w:hAnsi="Times New Roman" w:eastAsia="宋体" w:cs="Times New Roman"/>
          <w:b/>
          <w:color w:val="auto"/>
          <w:sz w:val="22"/>
          <w:szCs w:val="22"/>
          <w:highlight w:val="none"/>
          <w:u w:val="single"/>
          <w:lang w:eastAsia="zh-CN"/>
        </w:rPr>
        <w:t>评标办法4.</w:t>
      </w:r>
      <w:r>
        <w:rPr>
          <w:rFonts w:hint="eastAsia" w:ascii="Times New Roman" w:hAnsi="Times New Roman" w:eastAsia="宋体" w:cs="Times New Roman"/>
          <w:b/>
          <w:color w:val="auto"/>
          <w:sz w:val="22"/>
          <w:szCs w:val="22"/>
          <w:highlight w:val="none"/>
          <w:u w:val="single"/>
          <w:lang w:val="en-US" w:eastAsia="zh-CN"/>
        </w:rPr>
        <w:t>4要求提供</w:t>
      </w:r>
      <w:r>
        <w:rPr>
          <w:rFonts w:hint="eastAsia" w:ascii="Times New Roman" w:hAnsi="Times New Roman" w:eastAsia="宋体" w:cs="Times New Roman"/>
          <w:b/>
          <w:color w:val="auto"/>
          <w:sz w:val="22"/>
          <w:szCs w:val="22"/>
          <w:highlight w:val="none"/>
          <w:u w:val="single"/>
          <w:lang w:eastAsia="zh-CN"/>
        </w:rPr>
        <w:t>。</w:t>
      </w:r>
    </w:p>
    <w:p w14:paraId="706D404E">
      <w:pPr>
        <w:spacing w:line="219" w:lineRule="auto"/>
        <w:rPr>
          <w:rFonts w:ascii="宋体" w:hAnsi="宋体" w:eastAsia="宋体" w:cs="宋体"/>
          <w:color w:val="auto"/>
          <w:sz w:val="36"/>
          <w:szCs w:val="36"/>
          <w:highlight w:val="none"/>
        </w:rPr>
        <w:sectPr>
          <w:footerReference r:id="rId101" w:type="default"/>
          <w:pgSz w:w="11905" w:h="16840"/>
          <w:pgMar w:top="400" w:right="1529" w:bottom="1255" w:left="1785" w:header="0" w:footer="1093" w:gutter="0"/>
          <w:pgNumType w:fmt="decimal"/>
          <w:cols w:space="720" w:num="1"/>
        </w:sectPr>
      </w:pPr>
    </w:p>
    <w:p w14:paraId="0099A106">
      <w:pPr>
        <w:pStyle w:val="8"/>
        <w:spacing w:line="263" w:lineRule="auto"/>
        <w:rPr>
          <w:color w:val="auto"/>
          <w:highlight w:val="none"/>
        </w:rPr>
      </w:pPr>
    </w:p>
    <w:p w14:paraId="3D5892A7">
      <w:pPr>
        <w:pStyle w:val="8"/>
        <w:spacing w:line="263" w:lineRule="auto"/>
        <w:rPr>
          <w:color w:val="auto"/>
          <w:highlight w:val="none"/>
        </w:rPr>
      </w:pPr>
    </w:p>
    <w:p w14:paraId="14E67C37">
      <w:pPr>
        <w:pStyle w:val="8"/>
        <w:spacing w:line="264" w:lineRule="auto"/>
        <w:rPr>
          <w:color w:val="auto"/>
          <w:highlight w:val="none"/>
        </w:rPr>
      </w:pPr>
    </w:p>
    <w:p w14:paraId="6618A00E">
      <w:pPr>
        <w:pStyle w:val="8"/>
        <w:spacing w:line="264" w:lineRule="auto"/>
        <w:rPr>
          <w:color w:val="auto"/>
          <w:highlight w:val="none"/>
        </w:rPr>
      </w:pPr>
    </w:p>
    <w:p w14:paraId="30465055">
      <w:pPr>
        <w:pStyle w:val="8"/>
        <w:spacing w:line="264" w:lineRule="auto"/>
        <w:rPr>
          <w:color w:val="auto"/>
          <w:highlight w:val="none"/>
        </w:rPr>
      </w:pPr>
    </w:p>
    <w:p w14:paraId="172B4C6F">
      <w:pPr>
        <w:pStyle w:val="8"/>
        <w:spacing w:line="264" w:lineRule="auto"/>
        <w:rPr>
          <w:color w:val="auto"/>
          <w:highlight w:val="none"/>
        </w:rPr>
      </w:pPr>
    </w:p>
    <w:p w14:paraId="10A0BF87">
      <w:pPr>
        <w:pStyle w:val="8"/>
        <w:spacing w:line="264" w:lineRule="auto"/>
        <w:rPr>
          <w:color w:val="auto"/>
          <w:highlight w:val="none"/>
        </w:rPr>
      </w:pPr>
    </w:p>
    <w:p w14:paraId="25D4751F">
      <w:pPr>
        <w:pStyle w:val="8"/>
        <w:spacing w:line="264" w:lineRule="auto"/>
        <w:rPr>
          <w:color w:val="auto"/>
          <w:highlight w:val="none"/>
        </w:rPr>
      </w:pPr>
    </w:p>
    <w:p w14:paraId="14381D6E">
      <w:pPr>
        <w:pStyle w:val="8"/>
        <w:spacing w:line="264" w:lineRule="auto"/>
        <w:rPr>
          <w:color w:val="auto"/>
          <w:highlight w:val="none"/>
        </w:rPr>
      </w:pPr>
    </w:p>
    <w:p w14:paraId="264E848E">
      <w:pPr>
        <w:pStyle w:val="8"/>
        <w:spacing w:line="264" w:lineRule="auto"/>
        <w:rPr>
          <w:color w:val="auto"/>
          <w:highlight w:val="none"/>
        </w:rPr>
      </w:pPr>
    </w:p>
    <w:p w14:paraId="1688A717">
      <w:pPr>
        <w:tabs>
          <w:tab w:val="left" w:pos="3487"/>
        </w:tabs>
        <w:spacing w:before="78" w:line="220" w:lineRule="auto"/>
        <w:ind w:left="132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2"/>
          <w:sz w:val="24"/>
          <w:szCs w:val="24"/>
          <w:highlight w:val="none"/>
        </w:rPr>
        <w:t>（项目名称</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标段名称）</w:t>
      </w:r>
    </w:p>
    <w:p w14:paraId="0606AF24">
      <w:pPr>
        <w:pStyle w:val="8"/>
        <w:spacing w:line="244" w:lineRule="auto"/>
        <w:rPr>
          <w:color w:val="auto"/>
          <w:highlight w:val="none"/>
        </w:rPr>
      </w:pPr>
    </w:p>
    <w:p w14:paraId="671907ED">
      <w:pPr>
        <w:pStyle w:val="8"/>
        <w:spacing w:line="244" w:lineRule="auto"/>
        <w:rPr>
          <w:color w:val="auto"/>
          <w:highlight w:val="none"/>
        </w:rPr>
      </w:pPr>
    </w:p>
    <w:p w14:paraId="3B16B471">
      <w:pPr>
        <w:pStyle w:val="8"/>
        <w:spacing w:line="244" w:lineRule="auto"/>
        <w:rPr>
          <w:color w:val="auto"/>
          <w:highlight w:val="none"/>
        </w:rPr>
      </w:pPr>
    </w:p>
    <w:p w14:paraId="108E585F">
      <w:pPr>
        <w:pStyle w:val="8"/>
        <w:spacing w:line="244" w:lineRule="auto"/>
        <w:rPr>
          <w:color w:val="auto"/>
          <w:highlight w:val="none"/>
        </w:rPr>
      </w:pPr>
    </w:p>
    <w:p w14:paraId="4BD0C918">
      <w:pPr>
        <w:pStyle w:val="8"/>
        <w:spacing w:line="245" w:lineRule="auto"/>
        <w:rPr>
          <w:color w:val="auto"/>
          <w:highlight w:val="none"/>
        </w:rPr>
      </w:pPr>
    </w:p>
    <w:p w14:paraId="07A8AA20">
      <w:pPr>
        <w:pStyle w:val="8"/>
        <w:spacing w:line="245" w:lineRule="auto"/>
        <w:rPr>
          <w:color w:val="auto"/>
          <w:highlight w:val="none"/>
        </w:rPr>
      </w:pPr>
    </w:p>
    <w:p w14:paraId="2603582F">
      <w:pPr>
        <w:pStyle w:val="8"/>
        <w:spacing w:line="245" w:lineRule="auto"/>
        <w:rPr>
          <w:color w:val="auto"/>
          <w:highlight w:val="none"/>
        </w:rPr>
      </w:pPr>
    </w:p>
    <w:p w14:paraId="626A0EE6">
      <w:pPr>
        <w:spacing w:before="143" w:line="220" w:lineRule="auto"/>
        <w:ind w:left="3112"/>
        <w:outlineLvl w:val="0"/>
        <w:rPr>
          <w:rFonts w:ascii="宋体" w:hAnsi="宋体" w:eastAsia="宋体" w:cs="宋体"/>
          <w:color w:val="auto"/>
          <w:sz w:val="44"/>
          <w:szCs w:val="44"/>
          <w:highlight w:val="none"/>
        </w:rPr>
      </w:pPr>
      <w:bookmarkStart w:id="184" w:name="bookmark597"/>
      <w:bookmarkEnd w:id="184"/>
      <w:bookmarkStart w:id="185" w:name="_Toc24570"/>
      <w:r>
        <w:rPr>
          <w:rFonts w:ascii="宋体" w:hAnsi="宋体" w:eastAsia="宋体" w:cs="宋体"/>
          <w:b/>
          <w:bCs/>
          <w:color w:val="auto"/>
          <w:spacing w:val="-20"/>
          <w:sz w:val="44"/>
          <w:szCs w:val="44"/>
          <w:highlight w:val="none"/>
        </w:rPr>
        <w:t>投</w:t>
      </w:r>
      <w:r>
        <w:rPr>
          <w:rFonts w:ascii="宋体" w:hAnsi="宋体" w:eastAsia="宋体" w:cs="宋体"/>
          <w:color w:val="auto"/>
          <w:spacing w:val="20"/>
          <w:sz w:val="44"/>
          <w:szCs w:val="44"/>
          <w:highlight w:val="none"/>
        </w:rPr>
        <w:t xml:space="preserve"> </w:t>
      </w:r>
      <w:r>
        <w:rPr>
          <w:rFonts w:ascii="宋体" w:hAnsi="宋体" w:eastAsia="宋体" w:cs="宋体"/>
          <w:b/>
          <w:bCs/>
          <w:color w:val="auto"/>
          <w:spacing w:val="-20"/>
          <w:sz w:val="44"/>
          <w:szCs w:val="44"/>
          <w:highlight w:val="none"/>
        </w:rPr>
        <w:t>标</w:t>
      </w:r>
      <w:r>
        <w:rPr>
          <w:rFonts w:ascii="宋体" w:hAnsi="宋体" w:eastAsia="宋体" w:cs="宋体"/>
          <w:color w:val="auto"/>
          <w:spacing w:val="23"/>
          <w:sz w:val="44"/>
          <w:szCs w:val="44"/>
          <w:highlight w:val="none"/>
        </w:rPr>
        <w:t xml:space="preserve"> </w:t>
      </w:r>
      <w:r>
        <w:rPr>
          <w:rFonts w:ascii="宋体" w:hAnsi="宋体" w:eastAsia="宋体" w:cs="宋体"/>
          <w:b/>
          <w:bCs/>
          <w:color w:val="auto"/>
          <w:spacing w:val="-20"/>
          <w:sz w:val="44"/>
          <w:szCs w:val="44"/>
          <w:highlight w:val="none"/>
        </w:rPr>
        <w:t>文</w:t>
      </w:r>
      <w:r>
        <w:rPr>
          <w:rFonts w:ascii="宋体" w:hAnsi="宋体" w:eastAsia="宋体" w:cs="宋体"/>
          <w:color w:val="auto"/>
          <w:spacing w:val="17"/>
          <w:sz w:val="44"/>
          <w:szCs w:val="44"/>
          <w:highlight w:val="none"/>
        </w:rPr>
        <w:t xml:space="preserve"> </w:t>
      </w:r>
      <w:r>
        <w:rPr>
          <w:rFonts w:ascii="宋体" w:hAnsi="宋体" w:eastAsia="宋体" w:cs="宋体"/>
          <w:b/>
          <w:bCs/>
          <w:color w:val="auto"/>
          <w:spacing w:val="-20"/>
          <w:sz w:val="44"/>
          <w:szCs w:val="44"/>
          <w:highlight w:val="none"/>
        </w:rPr>
        <w:t>件</w:t>
      </w:r>
      <w:bookmarkEnd w:id="185"/>
    </w:p>
    <w:p w14:paraId="5B549584">
      <w:pPr>
        <w:spacing w:before="301" w:line="185" w:lineRule="auto"/>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微软雅黑" w:hAnsi="微软雅黑" w:eastAsia="微软雅黑" w:cs="微软雅黑"/>
          <w:color w:val="auto"/>
          <w:spacing w:val="-2"/>
          <w:sz w:val="24"/>
          <w:szCs w:val="24"/>
          <w:highlight w:val="none"/>
        </w:rPr>
        <w:t>技术标</w:t>
      </w:r>
      <w:r>
        <w:rPr>
          <w:rFonts w:ascii="Times New Roman" w:hAnsi="Times New Roman" w:eastAsia="Times New Roman" w:cs="Times New Roman"/>
          <w:color w:val="auto"/>
          <w:spacing w:val="-2"/>
          <w:sz w:val="24"/>
          <w:szCs w:val="24"/>
          <w:highlight w:val="none"/>
        </w:rPr>
        <w:t>/</w:t>
      </w:r>
      <w:r>
        <w:rPr>
          <w:rFonts w:ascii="微软雅黑" w:hAnsi="微软雅黑" w:eastAsia="微软雅黑" w:cs="微软雅黑"/>
          <w:color w:val="auto"/>
          <w:spacing w:val="-2"/>
          <w:sz w:val="24"/>
          <w:szCs w:val="24"/>
          <w:highlight w:val="none"/>
        </w:rPr>
        <w:t>资信标</w:t>
      </w:r>
      <w:r>
        <w:rPr>
          <w:rFonts w:ascii="Times New Roman" w:hAnsi="Times New Roman" w:eastAsia="Times New Roman" w:cs="Times New Roman"/>
          <w:color w:val="auto"/>
          <w:spacing w:val="-2"/>
          <w:sz w:val="24"/>
          <w:szCs w:val="24"/>
          <w:highlight w:val="none"/>
        </w:rPr>
        <w:t>/</w:t>
      </w:r>
      <w:r>
        <w:rPr>
          <w:rFonts w:ascii="微软雅黑" w:hAnsi="微软雅黑" w:eastAsia="微软雅黑" w:cs="微软雅黑"/>
          <w:color w:val="auto"/>
          <w:spacing w:val="-2"/>
          <w:sz w:val="24"/>
          <w:szCs w:val="24"/>
          <w:highlight w:val="none"/>
        </w:rPr>
        <w:t>商务标</w:t>
      </w:r>
      <w:r>
        <w:rPr>
          <w:rFonts w:hint="eastAsia" w:ascii="微软雅黑" w:hAnsi="微软雅黑" w:eastAsia="微软雅黑" w:cs="微软雅黑"/>
          <w:color w:val="auto"/>
          <w:spacing w:val="-2"/>
          <w:sz w:val="24"/>
          <w:szCs w:val="24"/>
          <w:highlight w:val="none"/>
          <w:lang w:val="en-US" w:eastAsia="zh-CN"/>
        </w:rPr>
        <w:t>/资格审查资料</w:t>
      </w:r>
      <w:r>
        <w:rPr>
          <w:rFonts w:ascii="宋体" w:hAnsi="宋体" w:eastAsia="宋体" w:cs="宋体"/>
          <w:color w:val="auto"/>
          <w:spacing w:val="-2"/>
          <w:sz w:val="24"/>
          <w:szCs w:val="24"/>
          <w:highlight w:val="none"/>
        </w:rPr>
        <w:t>）</w:t>
      </w:r>
    </w:p>
    <w:p w14:paraId="07437DA3">
      <w:pPr>
        <w:pStyle w:val="8"/>
        <w:spacing w:line="248" w:lineRule="auto"/>
        <w:rPr>
          <w:color w:val="auto"/>
          <w:highlight w:val="none"/>
        </w:rPr>
      </w:pPr>
    </w:p>
    <w:p w14:paraId="0D386187">
      <w:pPr>
        <w:pStyle w:val="8"/>
        <w:spacing w:line="248" w:lineRule="auto"/>
        <w:rPr>
          <w:color w:val="auto"/>
          <w:highlight w:val="none"/>
        </w:rPr>
      </w:pPr>
    </w:p>
    <w:p w14:paraId="7C378D72">
      <w:pPr>
        <w:pStyle w:val="8"/>
        <w:spacing w:line="248" w:lineRule="auto"/>
        <w:rPr>
          <w:color w:val="auto"/>
          <w:highlight w:val="none"/>
        </w:rPr>
      </w:pPr>
    </w:p>
    <w:p w14:paraId="4E99FD16">
      <w:pPr>
        <w:pStyle w:val="8"/>
        <w:spacing w:line="248" w:lineRule="auto"/>
        <w:rPr>
          <w:color w:val="auto"/>
          <w:highlight w:val="none"/>
        </w:rPr>
      </w:pPr>
    </w:p>
    <w:p w14:paraId="62C27544">
      <w:pPr>
        <w:pStyle w:val="8"/>
        <w:spacing w:line="248" w:lineRule="auto"/>
        <w:rPr>
          <w:color w:val="auto"/>
          <w:highlight w:val="none"/>
        </w:rPr>
      </w:pPr>
    </w:p>
    <w:p w14:paraId="2F2A7D75">
      <w:pPr>
        <w:pStyle w:val="8"/>
        <w:spacing w:line="248" w:lineRule="auto"/>
        <w:rPr>
          <w:color w:val="auto"/>
          <w:highlight w:val="none"/>
        </w:rPr>
      </w:pPr>
    </w:p>
    <w:p w14:paraId="59B29660">
      <w:pPr>
        <w:pStyle w:val="8"/>
        <w:spacing w:line="248" w:lineRule="auto"/>
        <w:rPr>
          <w:color w:val="auto"/>
          <w:highlight w:val="none"/>
        </w:rPr>
      </w:pPr>
    </w:p>
    <w:p w14:paraId="01D46A4E">
      <w:pPr>
        <w:pStyle w:val="8"/>
        <w:spacing w:line="248" w:lineRule="auto"/>
        <w:rPr>
          <w:color w:val="auto"/>
          <w:highlight w:val="none"/>
        </w:rPr>
      </w:pPr>
    </w:p>
    <w:p w14:paraId="537F0B2B">
      <w:pPr>
        <w:pStyle w:val="8"/>
        <w:spacing w:line="248" w:lineRule="auto"/>
        <w:rPr>
          <w:color w:val="auto"/>
          <w:highlight w:val="none"/>
        </w:rPr>
      </w:pPr>
    </w:p>
    <w:p w14:paraId="1FEEBBC5">
      <w:pPr>
        <w:pStyle w:val="8"/>
        <w:spacing w:line="248" w:lineRule="auto"/>
        <w:rPr>
          <w:color w:val="auto"/>
          <w:highlight w:val="none"/>
        </w:rPr>
      </w:pPr>
    </w:p>
    <w:p w14:paraId="32C7F465">
      <w:pPr>
        <w:pStyle w:val="8"/>
        <w:spacing w:line="248" w:lineRule="auto"/>
        <w:rPr>
          <w:color w:val="auto"/>
          <w:highlight w:val="none"/>
        </w:rPr>
      </w:pPr>
    </w:p>
    <w:p w14:paraId="57F2E8BF">
      <w:pPr>
        <w:pStyle w:val="8"/>
        <w:spacing w:line="248" w:lineRule="auto"/>
        <w:rPr>
          <w:color w:val="auto"/>
          <w:highlight w:val="none"/>
        </w:rPr>
      </w:pPr>
    </w:p>
    <w:p w14:paraId="40C3F507">
      <w:pPr>
        <w:pStyle w:val="8"/>
        <w:spacing w:line="248" w:lineRule="auto"/>
        <w:rPr>
          <w:color w:val="auto"/>
          <w:highlight w:val="none"/>
        </w:rPr>
      </w:pPr>
    </w:p>
    <w:p w14:paraId="1BE7CCAD">
      <w:pPr>
        <w:pStyle w:val="8"/>
        <w:spacing w:line="248" w:lineRule="auto"/>
        <w:rPr>
          <w:color w:val="auto"/>
          <w:highlight w:val="none"/>
        </w:rPr>
      </w:pPr>
    </w:p>
    <w:p w14:paraId="7DEAED25">
      <w:pPr>
        <w:pStyle w:val="8"/>
        <w:spacing w:line="248" w:lineRule="auto"/>
        <w:rPr>
          <w:color w:val="auto"/>
          <w:highlight w:val="none"/>
        </w:rPr>
      </w:pPr>
    </w:p>
    <w:p w14:paraId="4A7A90D4">
      <w:pPr>
        <w:pStyle w:val="8"/>
        <w:spacing w:line="248" w:lineRule="auto"/>
        <w:rPr>
          <w:color w:val="auto"/>
          <w:highlight w:val="none"/>
        </w:rPr>
      </w:pPr>
    </w:p>
    <w:p w14:paraId="5D30D85F">
      <w:pPr>
        <w:pStyle w:val="8"/>
        <w:spacing w:line="249" w:lineRule="auto"/>
        <w:rPr>
          <w:color w:val="auto"/>
          <w:highlight w:val="none"/>
        </w:rPr>
      </w:pPr>
    </w:p>
    <w:p w14:paraId="293694E3">
      <w:pPr>
        <w:spacing w:before="78" w:line="219" w:lineRule="auto"/>
        <w:ind w:left="1123"/>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投</w:t>
      </w:r>
      <w:r>
        <w:rPr>
          <w:rFonts w:ascii="宋体" w:hAnsi="宋体" w:eastAsia="宋体" w:cs="宋体"/>
          <w:color w:val="auto"/>
          <w:spacing w:val="15"/>
          <w:sz w:val="24"/>
          <w:szCs w:val="24"/>
          <w:highlight w:val="none"/>
        </w:rPr>
        <w:t xml:space="preserve">   </w:t>
      </w:r>
      <w:r>
        <w:rPr>
          <w:rFonts w:ascii="宋体" w:hAnsi="宋体" w:eastAsia="宋体" w:cs="宋体"/>
          <w:color w:val="auto"/>
          <w:spacing w:val="-4"/>
          <w:sz w:val="24"/>
          <w:szCs w:val="24"/>
          <w:highlight w:val="none"/>
        </w:rPr>
        <w:t>标</w:t>
      </w:r>
      <w:r>
        <w:rPr>
          <w:rFonts w:ascii="宋体" w:hAnsi="宋体" w:eastAsia="宋体" w:cs="宋体"/>
          <w:color w:val="auto"/>
          <w:spacing w:val="15"/>
          <w:sz w:val="24"/>
          <w:szCs w:val="24"/>
          <w:highlight w:val="none"/>
        </w:rPr>
        <w:t xml:space="preserve">   </w:t>
      </w:r>
      <w:r>
        <w:rPr>
          <w:rFonts w:ascii="宋体" w:hAnsi="宋体" w:eastAsia="宋体" w:cs="宋体"/>
          <w:color w:val="auto"/>
          <w:spacing w:val="-4"/>
          <w:sz w:val="24"/>
          <w:szCs w:val="24"/>
          <w:highlight w:val="none"/>
        </w:rPr>
        <w:t>人</w:t>
      </w:r>
      <w:r>
        <w:rPr>
          <w:rFonts w:ascii="宋体" w:hAnsi="宋体" w:eastAsia="宋体" w:cs="宋体"/>
          <w:color w:val="auto"/>
          <w:spacing w:val="-1"/>
          <w:sz w:val="24"/>
          <w:szCs w:val="24"/>
          <w:highlight w:val="none"/>
        </w:rPr>
        <w:t>：</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1"/>
          <w:sz w:val="24"/>
          <w:szCs w:val="24"/>
          <w:highlight w:val="none"/>
          <w:u w:val="single" w:color="auto"/>
        </w:rPr>
        <w:t>（</w:t>
      </w:r>
      <w:r>
        <w:rPr>
          <w:rFonts w:ascii="宋体" w:hAnsi="宋体" w:eastAsia="宋体" w:cs="宋体"/>
          <w:color w:val="auto"/>
          <w:spacing w:val="-4"/>
          <w:sz w:val="24"/>
          <w:szCs w:val="24"/>
          <w:highlight w:val="none"/>
          <w:u w:val="single" w:color="auto"/>
        </w:rPr>
        <w:t>盖单位公章）</w:t>
      </w:r>
      <w:r>
        <w:rPr>
          <w:rFonts w:ascii="宋体" w:hAnsi="宋体" w:eastAsia="宋体" w:cs="宋体"/>
          <w:color w:val="auto"/>
          <w:sz w:val="24"/>
          <w:szCs w:val="24"/>
          <w:highlight w:val="none"/>
          <w:u w:val="single" w:color="auto"/>
        </w:rPr>
        <w:t xml:space="preserve">            </w:t>
      </w:r>
    </w:p>
    <w:p w14:paraId="14919094">
      <w:pPr>
        <w:pStyle w:val="8"/>
        <w:spacing w:line="257" w:lineRule="auto"/>
        <w:rPr>
          <w:color w:val="auto"/>
          <w:highlight w:val="none"/>
        </w:rPr>
      </w:pPr>
    </w:p>
    <w:p w14:paraId="4EFC801C">
      <w:pPr>
        <w:pStyle w:val="8"/>
        <w:spacing w:line="258" w:lineRule="auto"/>
        <w:rPr>
          <w:color w:val="auto"/>
          <w:highlight w:val="none"/>
        </w:rPr>
      </w:pPr>
    </w:p>
    <w:p w14:paraId="13B65E86">
      <w:pPr>
        <w:tabs>
          <w:tab w:val="left" w:pos="4123"/>
        </w:tabs>
        <w:spacing w:before="78" w:line="361" w:lineRule="auto"/>
        <w:ind w:left="2803" w:right="1806" w:hanging="1682"/>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法定代表人或委托代理人</w:t>
      </w:r>
      <w:r>
        <w:rPr>
          <w:rFonts w:ascii="宋体" w:hAnsi="宋体" w:eastAsia="宋体" w:cs="宋体"/>
          <w:color w:val="auto"/>
          <w:spacing w:val="5"/>
          <w:sz w:val="24"/>
          <w:szCs w:val="24"/>
          <w:highlight w:val="none"/>
        </w:rPr>
        <w:t>：</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5"/>
          <w:sz w:val="24"/>
          <w:szCs w:val="24"/>
          <w:highlight w:val="none"/>
          <w:u w:val="single" w:color="auto"/>
        </w:rPr>
        <w:t>（</w:t>
      </w:r>
      <w:r>
        <w:rPr>
          <w:rFonts w:ascii="宋体" w:hAnsi="宋体" w:eastAsia="宋体" w:cs="宋体"/>
          <w:color w:val="auto"/>
          <w:sz w:val="24"/>
          <w:szCs w:val="24"/>
          <w:highlight w:val="none"/>
          <w:u w:val="single" w:color="auto"/>
        </w:rPr>
        <w:t xml:space="preserve">签字或盖章）     </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12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699CB1E6">
      <w:pPr>
        <w:pStyle w:val="8"/>
        <w:spacing w:line="287" w:lineRule="auto"/>
        <w:rPr>
          <w:color w:val="auto"/>
          <w:highlight w:val="none"/>
        </w:rPr>
      </w:pPr>
    </w:p>
    <w:p w14:paraId="41CC7BE6">
      <w:pPr>
        <w:pStyle w:val="8"/>
        <w:spacing w:line="287" w:lineRule="auto"/>
        <w:rPr>
          <w:color w:val="auto"/>
          <w:highlight w:val="none"/>
        </w:rPr>
      </w:pPr>
    </w:p>
    <w:p w14:paraId="6CA7E099">
      <w:pPr>
        <w:pStyle w:val="8"/>
        <w:spacing w:line="287" w:lineRule="auto"/>
        <w:rPr>
          <w:color w:val="auto"/>
          <w:highlight w:val="none"/>
        </w:rPr>
      </w:pPr>
    </w:p>
    <w:p w14:paraId="0F5E3F5E">
      <w:pPr>
        <w:pStyle w:val="8"/>
        <w:spacing w:line="287" w:lineRule="auto"/>
        <w:rPr>
          <w:color w:val="auto"/>
          <w:highlight w:val="none"/>
        </w:rPr>
      </w:pPr>
    </w:p>
    <w:p w14:paraId="6D12E4E3">
      <w:pPr>
        <w:spacing w:before="82" w:line="211" w:lineRule="auto"/>
        <w:rPr>
          <w:rFonts w:ascii="宋体" w:hAnsi="宋体" w:eastAsia="宋体" w:cs="宋体"/>
          <w:color w:val="auto"/>
          <w:sz w:val="25"/>
          <w:szCs w:val="25"/>
          <w:highlight w:val="none"/>
        </w:rPr>
      </w:pPr>
      <w:r>
        <w:rPr>
          <w:rFonts w:ascii="宋体" w:hAnsi="宋体" w:eastAsia="宋体" w:cs="宋体"/>
          <w:i/>
          <w:iCs/>
          <w:color w:val="auto"/>
          <w:spacing w:val="-18"/>
          <w:sz w:val="25"/>
          <w:szCs w:val="25"/>
          <w:highlight w:val="none"/>
        </w:rPr>
        <w:t>注：本页同时适用于封面或扉页。</w:t>
      </w:r>
    </w:p>
    <w:p w14:paraId="722A9EF3">
      <w:pPr>
        <w:spacing w:line="211" w:lineRule="auto"/>
        <w:rPr>
          <w:rFonts w:ascii="宋体" w:hAnsi="宋体" w:eastAsia="宋体" w:cs="宋体"/>
          <w:color w:val="auto"/>
          <w:sz w:val="25"/>
          <w:szCs w:val="25"/>
          <w:highlight w:val="none"/>
        </w:rPr>
        <w:sectPr>
          <w:headerReference r:id="rId102" w:type="default"/>
          <w:footerReference r:id="rId103" w:type="default"/>
          <w:pgSz w:w="11905" w:h="16840"/>
          <w:pgMar w:top="400" w:right="1529" w:bottom="1255" w:left="1676" w:header="0" w:footer="1093" w:gutter="0"/>
          <w:pgNumType w:fmt="decimal"/>
          <w:cols w:space="720" w:num="1"/>
        </w:sectPr>
      </w:pPr>
    </w:p>
    <w:p w14:paraId="505A2B9E">
      <w:pPr>
        <w:pStyle w:val="8"/>
        <w:spacing w:line="247" w:lineRule="auto"/>
        <w:rPr>
          <w:color w:val="auto"/>
          <w:highlight w:val="none"/>
        </w:rPr>
      </w:pPr>
    </w:p>
    <w:p w14:paraId="55521D27">
      <w:pPr>
        <w:pStyle w:val="8"/>
        <w:spacing w:line="247" w:lineRule="auto"/>
        <w:rPr>
          <w:color w:val="auto"/>
          <w:highlight w:val="none"/>
        </w:rPr>
      </w:pPr>
    </w:p>
    <w:p w14:paraId="5BDC857D">
      <w:pPr>
        <w:pStyle w:val="8"/>
        <w:spacing w:line="247" w:lineRule="auto"/>
        <w:rPr>
          <w:color w:val="auto"/>
          <w:highlight w:val="none"/>
        </w:rPr>
      </w:pPr>
    </w:p>
    <w:p w14:paraId="7A75B358">
      <w:pPr>
        <w:pStyle w:val="8"/>
        <w:spacing w:line="248" w:lineRule="auto"/>
        <w:rPr>
          <w:color w:val="auto"/>
          <w:highlight w:val="none"/>
        </w:rPr>
      </w:pPr>
    </w:p>
    <w:p w14:paraId="00F33F82">
      <w:pPr>
        <w:spacing w:before="88" w:line="226" w:lineRule="auto"/>
        <w:ind w:left="3418"/>
        <w:outlineLvl w:val="2"/>
        <w:rPr>
          <w:rFonts w:ascii="宋体" w:hAnsi="宋体" w:eastAsia="宋体" w:cs="宋体"/>
          <w:color w:val="auto"/>
          <w:sz w:val="27"/>
          <w:szCs w:val="27"/>
          <w:highlight w:val="none"/>
        </w:rPr>
      </w:pPr>
      <w:bookmarkStart w:id="186" w:name="bookmark352"/>
      <w:bookmarkEnd w:id="186"/>
      <w:bookmarkStart w:id="187" w:name="_Toc14209"/>
      <w:r>
        <w:rPr>
          <w:rFonts w:ascii="宋体" w:hAnsi="宋体" w:eastAsia="宋体" w:cs="宋体"/>
          <w:b/>
          <w:bCs/>
          <w:color w:val="auto"/>
          <w:spacing w:val="6"/>
          <w:sz w:val="27"/>
          <w:szCs w:val="27"/>
          <w:highlight w:val="none"/>
        </w:rPr>
        <w:t>评审因素索引表</w:t>
      </w:r>
      <w:bookmarkEnd w:id="187"/>
    </w:p>
    <w:p w14:paraId="586CD074">
      <w:pPr>
        <w:spacing w:before="49"/>
        <w:rPr>
          <w:color w:val="auto"/>
          <w:highlight w:val="none"/>
        </w:rPr>
      </w:pPr>
    </w:p>
    <w:tbl>
      <w:tblPr>
        <w:tblStyle w:val="16"/>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5"/>
        <w:gridCol w:w="5411"/>
        <w:gridCol w:w="2663"/>
      </w:tblGrid>
      <w:tr w14:paraId="50FE8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935" w:type="dxa"/>
            <w:tcBorders>
              <w:top w:val="single" w:color="000000" w:sz="6" w:space="0"/>
              <w:left w:val="single" w:color="000000" w:sz="6" w:space="0"/>
            </w:tcBorders>
            <w:vAlign w:val="top"/>
          </w:tcPr>
          <w:p w14:paraId="675D910C">
            <w:pPr>
              <w:pStyle w:val="17"/>
              <w:spacing w:before="197" w:line="221" w:lineRule="auto"/>
              <w:ind w:left="227"/>
              <w:rPr>
                <w:color w:val="auto"/>
                <w:sz w:val="24"/>
                <w:szCs w:val="24"/>
                <w:highlight w:val="none"/>
              </w:rPr>
            </w:pPr>
            <w:r>
              <w:rPr>
                <w:color w:val="auto"/>
                <w:spacing w:val="-3"/>
                <w:sz w:val="24"/>
                <w:szCs w:val="24"/>
                <w:highlight w:val="none"/>
              </w:rPr>
              <w:t>序号</w:t>
            </w:r>
          </w:p>
        </w:tc>
        <w:tc>
          <w:tcPr>
            <w:tcW w:w="5411" w:type="dxa"/>
            <w:tcBorders>
              <w:top w:val="single" w:color="000000" w:sz="6" w:space="0"/>
            </w:tcBorders>
            <w:vAlign w:val="top"/>
          </w:tcPr>
          <w:p w14:paraId="73C2B8CA">
            <w:pPr>
              <w:pStyle w:val="17"/>
              <w:spacing w:before="197" w:line="220" w:lineRule="auto"/>
              <w:ind w:left="1688"/>
              <w:rPr>
                <w:color w:val="auto"/>
                <w:sz w:val="24"/>
                <w:szCs w:val="24"/>
                <w:highlight w:val="none"/>
              </w:rPr>
            </w:pPr>
            <w:r>
              <w:rPr>
                <w:color w:val="auto"/>
                <w:spacing w:val="-15"/>
                <w:sz w:val="24"/>
                <w:szCs w:val="24"/>
                <w:highlight w:val="none"/>
              </w:rPr>
              <w:t>评</w:t>
            </w:r>
            <w:r>
              <w:rPr>
                <w:color w:val="auto"/>
                <w:spacing w:val="7"/>
                <w:sz w:val="24"/>
                <w:szCs w:val="24"/>
                <w:highlight w:val="none"/>
              </w:rPr>
              <w:t xml:space="preserve">   </w:t>
            </w:r>
            <w:r>
              <w:rPr>
                <w:color w:val="auto"/>
                <w:spacing w:val="-15"/>
                <w:sz w:val="24"/>
                <w:szCs w:val="24"/>
                <w:highlight w:val="none"/>
              </w:rPr>
              <w:t>审</w:t>
            </w:r>
            <w:r>
              <w:rPr>
                <w:color w:val="auto"/>
                <w:spacing w:val="9"/>
                <w:sz w:val="24"/>
                <w:szCs w:val="24"/>
                <w:highlight w:val="none"/>
              </w:rPr>
              <w:t xml:space="preserve">   </w:t>
            </w:r>
            <w:r>
              <w:rPr>
                <w:color w:val="auto"/>
                <w:spacing w:val="-15"/>
                <w:sz w:val="24"/>
                <w:szCs w:val="24"/>
                <w:highlight w:val="none"/>
              </w:rPr>
              <w:t>因</w:t>
            </w:r>
            <w:r>
              <w:rPr>
                <w:color w:val="auto"/>
                <w:spacing w:val="4"/>
                <w:sz w:val="24"/>
                <w:szCs w:val="24"/>
                <w:highlight w:val="none"/>
              </w:rPr>
              <w:t xml:space="preserve">   </w:t>
            </w:r>
            <w:r>
              <w:rPr>
                <w:color w:val="auto"/>
                <w:spacing w:val="-15"/>
                <w:sz w:val="24"/>
                <w:szCs w:val="24"/>
                <w:highlight w:val="none"/>
              </w:rPr>
              <w:t>素</w:t>
            </w:r>
          </w:p>
        </w:tc>
        <w:tc>
          <w:tcPr>
            <w:tcW w:w="2663" w:type="dxa"/>
            <w:tcBorders>
              <w:top w:val="single" w:color="000000" w:sz="6" w:space="0"/>
              <w:right w:val="single" w:color="000000" w:sz="6" w:space="0"/>
            </w:tcBorders>
            <w:vAlign w:val="top"/>
          </w:tcPr>
          <w:p w14:paraId="682B0913">
            <w:pPr>
              <w:pStyle w:val="17"/>
              <w:spacing w:before="197" w:line="220" w:lineRule="auto"/>
              <w:ind w:left="381"/>
              <w:rPr>
                <w:color w:val="auto"/>
                <w:sz w:val="24"/>
                <w:szCs w:val="24"/>
                <w:highlight w:val="none"/>
              </w:rPr>
            </w:pPr>
            <w:r>
              <w:rPr>
                <w:color w:val="auto"/>
                <w:spacing w:val="-2"/>
                <w:sz w:val="24"/>
                <w:szCs w:val="24"/>
                <w:highlight w:val="none"/>
              </w:rPr>
              <w:t>投标文件页码范围</w:t>
            </w:r>
          </w:p>
        </w:tc>
      </w:tr>
      <w:tr w14:paraId="6671F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5" w:type="dxa"/>
            <w:tcBorders>
              <w:left w:val="single" w:color="000000" w:sz="6" w:space="0"/>
            </w:tcBorders>
            <w:vAlign w:val="top"/>
          </w:tcPr>
          <w:p w14:paraId="2CB39251">
            <w:pPr>
              <w:rPr>
                <w:rFonts w:ascii="Arial"/>
                <w:color w:val="auto"/>
                <w:sz w:val="21"/>
                <w:highlight w:val="none"/>
              </w:rPr>
            </w:pPr>
          </w:p>
        </w:tc>
        <w:tc>
          <w:tcPr>
            <w:tcW w:w="5411" w:type="dxa"/>
            <w:vAlign w:val="top"/>
          </w:tcPr>
          <w:p w14:paraId="1A860B6D">
            <w:pPr>
              <w:rPr>
                <w:rFonts w:ascii="Arial"/>
                <w:color w:val="auto"/>
                <w:sz w:val="21"/>
                <w:highlight w:val="none"/>
              </w:rPr>
            </w:pPr>
          </w:p>
        </w:tc>
        <w:tc>
          <w:tcPr>
            <w:tcW w:w="2663" w:type="dxa"/>
            <w:tcBorders>
              <w:right w:val="single" w:color="000000" w:sz="6" w:space="0"/>
            </w:tcBorders>
            <w:vAlign w:val="top"/>
          </w:tcPr>
          <w:p w14:paraId="2B1CA10C">
            <w:pPr>
              <w:rPr>
                <w:rFonts w:ascii="Arial"/>
                <w:color w:val="auto"/>
                <w:sz w:val="21"/>
                <w:highlight w:val="none"/>
              </w:rPr>
            </w:pPr>
          </w:p>
        </w:tc>
      </w:tr>
      <w:tr w14:paraId="4C244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5" w:type="dxa"/>
            <w:tcBorders>
              <w:left w:val="single" w:color="000000" w:sz="6" w:space="0"/>
            </w:tcBorders>
            <w:vAlign w:val="top"/>
          </w:tcPr>
          <w:p w14:paraId="76E2FE58">
            <w:pPr>
              <w:rPr>
                <w:rFonts w:ascii="Arial"/>
                <w:color w:val="auto"/>
                <w:sz w:val="21"/>
                <w:highlight w:val="none"/>
              </w:rPr>
            </w:pPr>
          </w:p>
        </w:tc>
        <w:tc>
          <w:tcPr>
            <w:tcW w:w="5411" w:type="dxa"/>
            <w:vAlign w:val="top"/>
          </w:tcPr>
          <w:p w14:paraId="3B5255DF">
            <w:pPr>
              <w:rPr>
                <w:rFonts w:ascii="Arial"/>
                <w:color w:val="auto"/>
                <w:sz w:val="21"/>
                <w:highlight w:val="none"/>
              </w:rPr>
            </w:pPr>
          </w:p>
        </w:tc>
        <w:tc>
          <w:tcPr>
            <w:tcW w:w="2663" w:type="dxa"/>
            <w:tcBorders>
              <w:right w:val="single" w:color="000000" w:sz="6" w:space="0"/>
            </w:tcBorders>
            <w:vAlign w:val="top"/>
          </w:tcPr>
          <w:p w14:paraId="69152CE4">
            <w:pPr>
              <w:rPr>
                <w:rFonts w:ascii="Arial"/>
                <w:color w:val="auto"/>
                <w:sz w:val="21"/>
                <w:highlight w:val="none"/>
              </w:rPr>
            </w:pPr>
          </w:p>
        </w:tc>
      </w:tr>
      <w:tr w14:paraId="6798D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35" w:type="dxa"/>
            <w:tcBorders>
              <w:left w:val="single" w:color="000000" w:sz="6" w:space="0"/>
            </w:tcBorders>
            <w:vAlign w:val="top"/>
          </w:tcPr>
          <w:p w14:paraId="37822AD0">
            <w:pPr>
              <w:rPr>
                <w:rFonts w:ascii="Arial"/>
                <w:color w:val="auto"/>
                <w:sz w:val="21"/>
                <w:highlight w:val="none"/>
              </w:rPr>
            </w:pPr>
          </w:p>
        </w:tc>
        <w:tc>
          <w:tcPr>
            <w:tcW w:w="5411" w:type="dxa"/>
            <w:vAlign w:val="top"/>
          </w:tcPr>
          <w:p w14:paraId="72009051">
            <w:pPr>
              <w:rPr>
                <w:rFonts w:ascii="Arial"/>
                <w:color w:val="auto"/>
                <w:sz w:val="21"/>
                <w:highlight w:val="none"/>
              </w:rPr>
            </w:pPr>
          </w:p>
        </w:tc>
        <w:tc>
          <w:tcPr>
            <w:tcW w:w="2663" w:type="dxa"/>
            <w:tcBorders>
              <w:right w:val="single" w:color="000000" w:sz="6" w:space="0"/>
            </w:tcBorders>
            <w:vAlign w:val="top"/>
          </w:tcPr>
          <w:p w14:paraId="432CA0E7">
            <w:pPr>
              <w:rPr>
                <w:rFonts w:ascii="Arial"/>
                <w:color w:val="auto"/>
                <w:sz w:val="21"/>
                <w:highlight w:val="none"/>
              </w:rPr>
            </w:pPr>
          </w:p>
        </w:tc>
      </w:tr>
      <w:tr w14:paraId="71B57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5" w:type="dxa"/>
            <w:tcBorders>
              <w:left w:val="single" w:color="000000" w:sz="6" w:space="0"/>
            </w:tcBorders>
            <w:vAlign w:val="top"/>
          </w:tcPr>
          <w:p w14:paraId="50E24CFC">
            <w:pPr>
              <w:rPr>
                <w:rFonts w:ascii="Arial"/>
                <w:color w:val="auto"/>
                <w:sz w:val="21"/>
                <w:highlight w:val="none"/>
              </w:rPr>
            </w:pPr>
          </w:p>
        </w:tc>
        <w:tc>
          <w:tcPr>
            <w:tcW w:w="5411" w:type="dxa"/>
            <w:vAlign w:val="top"/>
          </w:tcPr>
          <w:p w14:paraId="4BDB631F">
            <w:pPr>
              <w:rPr>
                <w:rFonts w:ascii="Arial"/>
                <w:color w:val="auto"/>
                <w:sz w:val="21"/>
                <w:highlight w:val="none"/>
              </w:rPr>
            </w:pPr>
          </w:p>
        </w:tc>
        <w:tc>
          <w:tcPr>
            <w:tcW w:w="2663" w:type="dxa"/>
            <w:tcBorders>
              <w:right w:val="single" w:color="000000" w:sz="6" w:space="0"/>
            </w:tcBorders>
            <w:vAlign w:val="top"/>
          </w:tcPr>
          <w:p w14:paraId="4081B57C">
            <w:pPr>
              <w:rPr>
                <w:rFonts w:ascii="Arial"/>
                <w:color w:val="auto"/>
                <w:sz w:val="21"/>
                <w:highlight w:val="none"/>
              </w:rPr>
            </w:pPr>
          </w:p>
        </w:tc>
      </w:tr>
      <w:tr w14:paraId="76CF8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5" w:type="dxa"/>
            <w:tcBorders>
              <w:left w:val="single" w:color="000000" w:sz="6" w:space="0"/>
            </w:tcBorders>
            <w:vAlign w:val="top"/>
          </w:tcPr>
          <w:p w14:paraId="4895BF0C">
            <w:pPr>
              <w:rPr>
                <w:rFonts w:ascii="Arial"/>
                <w:color w:val="auto"/>
                <w:sz w:val="21"/>
                <w:highlight w:val="none"/>
              </w:rPr>
            </w:pPr>
          </w:p>
        </w:tc>
        <w:tc>
          <w:tcPr>
            <w:tcW w:w="5411" w:type="dxa"/>
            <w:vAlign w:val="top"/>
          </w:tcPr>
          <w:p w14:paraId="54E163DE">
            <w:pPr>
              <w:rPr>
                <w:rFonts w:ascii="Arial"/>
                <w:color w:val="auto"/>
                <w:sz w:val="21"/>
                <w:highlight w:val="none"/>
              </w:rPr>
            </w:pPr>
          </w:p>
        </w:tc>
        <w:tc>
          <w:tcPr>
            <w:tcW w:w="2663" w:type="dxa"/>
            <w:tcBorders>
              <w:right w:val="single" w:color="000000" w:sz="6" w:space="0"/>
            </w:tcBorders>
            <w:vAlign w:val="top"/>
          </w:tcPr>
          <w:p w14:paraId="07CF69D9">
            <w:pPr>
              <w:rPr>
                <w:rFonts w:ascii="Arial"/>
                <w:color w:val="auto"/>
                <w:sz w:val="21"/>
                <w:highlight w:val="none"/>
              </w:rPr>
            </w:pPr>
          </w:p>
        </w:tc>
      </w:tr>
      <w:tr w14:paraId="79BA55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35" w:type="dxa"/>
            <w:tcBorders>
              <w:left w:val="single" w:color="000000" w:sz="6" w:space="0"/>
            </w:tcBorders>
            <w:vAlign w:val="top"/>
          </w:tcPr>
          <w:p w14:paraId="03848588">
            <w:pPr>
              <w:rPr>
                <w:rFonts w:ascii="Arial"/>
                <w:color w:val="auto"/>
                <w:sz w:val="21"/>
                <w:highlight w:val="none"/>
              </w:rPr>
            </w:pPr>
          </w:p>
        </w:tc>
        <w:tc>
          <w:tcPr>
            <w:tcW w:w="5411" w:type="dxa"/>
            <w:vAlign w:val="top"/>
          </w:tcPr>
          <w:p w14:paraId="3C48CD5B">
            <w:pPr>
              <w:rPr>
                <w:rFonts w:ascii="Arial"/>
                <w:color w:val="auto"/>
                <w:sz w:val="21"/>
                <w:highlight w:val="none"/>
              </w:rPr>
            </w:pPr>
          </w:p>
        </w:tc>
        <w:tc>
          <w:tcPr>
            <w:tcW w:w="2663" w:type="dxa"/>
            <w:tcBorders>
              <w:right w:val="single" w:color="000000" w:sz="6" w:space="0"/>
            </w:tcBorders>
            <w:vAlign w:val="top"/>
          </w:tcPr>
          <w:p w14:paraId="7A106B88">
            <w:pPr>
              <w:rPr>
                <w:rFonts w:ascii="Arial"/>
                <w:color w:val="auto"/>
                <w:sz w:val="21"/>
                <w:highlight w:val="none"/>
              </w:rPr>
            </w:pPr>
          </w:p>
        </w:tc>
      </w:tr>
      <w:tr w14:paraId="15DE4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5" w:type="dxa"/>
            <w:tcBorders>
              <w:left w:val="single" w:color="000000" w:sz="6" w:space="0"/>
            </w:tcBorders>
            <w:vAlign w:val="top"/>
          </w:tcPr>
          <w:p w14:paraId="7D265055">
            <w:pPr>
              <w:rPr>
                <w:rFonts w:ascii="Arial"/>
                <w:color w:val="auto"/>
                <w:sz w:val="21"/>
                <w:highlight w:val="none"/>
              </w:rPr>
            </w:pPr>
          </w:p>
        </w:tc>
        <w:tc>
          <w:tcPr>
            <w:tcW w:w="5411" w:type="dxa"/>
            <w:vAlign w:val="top"/>
          </w:tcPr>
          <w:p w14:paraId="2137ADBE">
            <w:pPr>
              <w:rPr>
                <w:rFonts w:ascii="Arial"/>
                <w:color w:val="auto"/>
                <w:sz w:val="21"/>
                <w:highlight w:val="none"/>
              </w:rPr>
            </w:pPr>
          </w:p>
        </w:tc>
        <w:tc>
          <w:tcPr>
            <w:tcW w:w="2663" w:type="dxa"/>
            <w:tcBorders>
              <w:right w:val="single" w:color="000000" w:sz="6" w:space="0"/>
            </w:tcBorders>
            <w:vAlign w:val="top"/>
          </w:tcPr>
          <w:p w14:paraId="15A1357D">
            <w:pPr>
              <w:rPr>
                <w:rFonts w:ascii="Arial"/>
                <w:color w:val="auto"/>
                <w:sz w:val="21"/>
                <w:highlight w:val="none"/>
              </w:rPr>
            </w:pPr>
          </w:p>
        </w:tc>
      </w:tr>
      <w:tr w14:paraId="3562E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5" w:type="dxa"/>
            <w:tcBorders>
              <w:left w:val="single" w:color="000000" w:sz="6" w:space="0"/>
            </w:tcBorders>
            <w:vAlign w:val="top"/>
          </w:tcPr>
          <w:p w14:paraId="0E877B1C">
            <w:pPr>
              <w:rPr>
                <w:rFonts w:ascii="Arial"/>
                <w:color w:val="auto"/>
                <w:sz w:val="21"/>
                <w:highlight w:val="none"/>
              </w:rPr>
            </w:pPr>
          </w:p>
        </w:tc>
        <w:tc>
          <w:tcPr>
            <w:tcW w:w="5411" w:type="dxa"/>
            <w:vAlign w:val="top"/>
          </w:tcPr>
          <w:p w14:paraId="5304575C">
            <w:pPr>
              <w:rPr>
                <w:rFonts w:ascii="Arial"/>
                <w:color w:val="auto"/>
                <w:sz w:val="21"/>
                <w:highlight w:val="none"/>
              </w:rPr>
            </w:pPr>
          </w:p>
        </w:tc>
        <w:tc>
          <w:tcPr>
            <w:tcW w:w="2663" w:type="dxa"/>
            <w:tcBorders>
              <w:right w:val="single" w:color="000000" w:sz="6" w:space="0"/>
            </w:tcBorders>
            <w:vAlign w:val="top"/>
          </w:tcPr>
          <w:p w14:paraId="69D0D5C6">
            <w:pPr>
              <w:rPr>
                <w:rFonts w:ascii="Arial"/>
                <w:color w:val="auto"/>
                <w:sz w:val="21"/>
                <w:highlight w:val="none"/>
              </w:rPr>
            </w:pPr>
          </w:p>
        </w:tc>
      </w:tr>
      <w:tr w14:paraId="6F78E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35" w:type="dxa"/>
            <w:tcBorders>
              <w:left w:val="single" w:color="000000" w:sz="6" w:space="0"/>
            </w:tcBorders>
            <w:vAlign w:val="top"/>
          </w:tcPr>
          <w:p w14:paraId="4EEC49B7">
            <w:pPr>
              <w:rPr>
                <w:rFonts w:ascii="Arial"/>
                <w:color w:val="auto"/>
                <w:sz w:val="21"/>
                <w:highlight w:val="none"/>
              </w:rPr>
            </w:pPr>
          </w:p>
        </w:tc>
        <w:tc>
          <w:tcPr>
            <w:tcW w:w="5411" w:type="dxa"/>
            <w:vAlign w:val="top"/>
          </w:tcPr>
          <w:p w14:paraId="5F99CA25">
            <w:pPr>
              <w:rPr>
                <w:rFonts w:ascii="Arial"/>
                <w:color w:val="auto"/>
                <w:sz w:val="21"/>
                <w:highlight w:val="none"/>
              </w:rPr>
            </w:pPr>
          </w:p>
        </w:tc>
        <w:tc>
          <w:tcPr>
            <w:tcW w:w="2663" w:type="dxa"/>
            <w:tcBorders>
              <w:right w:val="single" w:color="000000" w:sz="6" w:space="0"/>
            </w:tcBorders>
            <w:vAlign w:val="top"/>
          </w:tcPr>
          <w:p w14:paraId="396653CF">
            <w:pPr>
              <w:rPr>
                <w:rFonts w:ascii="Arial"/>
                <w:color w:val="auto"/>
                <w:sz w:val="21"/>
                <w:highlight w:val="none"/>
              </w:rPr>
            </w:pPr>
          </w:p>
        </w:tc>
      </w:tr>
      <w:tr w14:paraId="3BDE9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5" w:type="dxa"/>
            <w:tcBorders>
              <w:left w:val="single" w:color="000000" w:sz="6" w:space="0"/>
            </w:tcBorders>
            <w:vAlign w:val="top"/>
          </w:tcPr>
          <w:p w14:paraId="495B8EDA">
            <w:pPr>
              <w:rPr>
                <w:rFonts w:ascii="Arial"/>
                <w:color w:val="auto"/>
                <w:sz w:val="21"/>
                <w:highlight w:val="none"/>
              </w:rPr>
            </w:pPr>
          </w:p>
        </w:tc>
        <w:tc>
          <w:tcPr>
            <w:tcW w:w="5411" w:type="dxa"/>
            <w:vAlign w:val="top"/>
          </w:tcPr>
          <w:p w14:paraId="6BED8433">
            <w:pPr>
              <w:rPr>
                <w:rFonts w:ascii="Arial"/>
                <w:color w:val="auto"/>
                <w:sz w:val="21"/>
                <w:highlight w:val="none"/>
              </w:rPr>
            </w:pPr>
          </w:p>
        </w:tc>
        <w:tc>
          <w:tcPr>
            <w:tcW w:w="2663" w:type="dxa"/>
            <w:tcBorders>
              <w:right w:val="single" w:color="000000" w:sz="6" w:space="0"/>
            </w:tcBorders>
            <w:vAlign w:val="top"/>
          </w:tcPr>
          <w:p w14:paraId="4D586ED7">
            <w:pPr>
              <w:rPr>
                <w:rFonts w:ascii="Arial"/>
                <w:color w:val="auto"/>
                <w:sz w:val="21"/>
                <w:highlight w:val="none"/>
              </w:rPr>
            </w:pPr>
          </w:p>
        </w:tc>
      </w:tr>
      <w:tr w14:paraId="081DF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35" w:type="dxa"/>
            <w:tcBorders>
              <w:left w:val="single" w:color="000000" w:sz="6" w:space="0"/>
            </w:tcBorders>
            <w:vAlign w:val="top"/>
          </w:tcPr>
          <w:p w14:paraId="0005BE28">
            <w:pPr>
              <w:rPr>
                <w:rFonts w:ascii="Arial"/>
                <w:color w:val="auto"/>
                <w:sz w:val="21"/>
                <w:highlight w:val="none"/>
              </w:rPr>
            </w:pPr>
          </w:p>
        </w:tc>
        <w:tc>
          <w:tcPr>
            <w:tcW w:w="5411" w:type="dxa"/>
            <w:vAlign w:val="top"/>
          </w:tcPr>
          <w:p w14:paraId="44FCF4B2">
            <w:pPr>
              <w:rPr>
                <w:rFonts w:ascii="Arial"/>
                <w:color w:val="auto"/>
                <w:sz w:val="21"/>
                <w:highlight w:val="none"/>
              </w:rPr>
            </w:pPr>
          </w:p>
        </w:tc>
        <w:tc>
          <w:tcPr>
            <w:tcW w:w="2663" w:type="dxa"/>
            <w:tcBorders>
              <w:right w:val="single" w:color="000000" w:sz="6" w:space="0"/>
            </w:tcBorders>
            <w:vAlign w:val="top"/>
          </w:tcPr>
          <w:p w14:paraId="47848309">
            <w:pPr>
              <w:rPr>
                <w:rFonts w:ascii="Arial"/>
                <w:color w:val="auto"/>
                <w:sz w:val="21"/>
                <w:highlight w:val="none"/>
              </w:rPr>
            </w:pPr>
          </w:p>
        </w:tc>
      </w:tr>
      <w:tr w14:paraId="5903E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35" w:type="dxa"/>
            <w:tcBorders>
              <w:left w:val="single" w:color="000000" w:sz="6" w:space="0"/>
            </w:tcBorders>
            <w:vAlign w:val="top"/>
          </w:tcPr>
          <w:p w14:paraId="0E932299">
            <w:pPr>
              <w:rPr>
                <w:rFonts w:ascii="Arial"/>
                <w:color w:val="auto"/>
                <w:sz w:val="21"/>
                <w:highlight w:val="none"/>
              </w:rPr>
            </w:pPr>
          </w:p>
        </w:tc>
        <w:tc>
          <w:tcPr>
            <w:tcW w:w="5411" w:type="dxa"/>
            <w:vAlign w:val="top"/>
          </w:tcPr>
          <w:p w14:paraId="3AE3902E">
            <w:pPr>
              <w:rPr>
                <w:rFonts w:ascii="Arial"/>
                <w:color w:val="auto"/>
                <w:sz w:val="21"/>
                <w:highlight w:val="none"/>
              </w:rPr>
            </w:pPr>
          </w:p>
        </w:tc>
        <w:tc>
          <w:tcPr>
            <w:tcW w:w="2663" w:type="dxa"/>
            <w:tcBorders>
              <w:right w:val="single" w:color="000000" w:sz="6" w:space="0"/>
            </w:tcBorders>
            <w:vAlign w:val="top"/>
          </w:tcPr>
          <w:p w14:paraId="46EF06C7">
            <w:pPr>
              <w:rPr>
                <w:rFonts w:ascii="Arial"/>
                <w:color w:val="auto"/>
                <w:sz w:val="21"/>
                <w:highlight w:val="none"/>
              </w:rPr>
            </w:pPr>
          </w:p>
        </w:tc>
      </w:tr>
      <w:tr w14:paraId="416F2A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35" w:type="dxa"/>
            <w:tcBorders>
              <w:left w:val="single" w:color="000000" w:sz="6" w:space="0"/>
            </w:tcBorders>
            <w:vAlign w:val="top"/>
          </w:tcPr>
          <w:p w14:paraId="73F929F9">
            <w:pPr>
              <w:rPr>
                <w:rFonts w:ascii="Arial"/>
                <w:color w:val="auto"/>
                <w:sz w:val="21"/>
                <w:highlight w:val="none"/>
              </w:rPr>
            </w:pPr>
          </w:p>
        </w:tc>
        <w:tc>
          <w:tcPr>
            <w:tcW w:w="5411" w:type="dxa"/>
            <w:vAlign w:val="top"/>
          </w:tcPr>
          <w:p w14:paraId="701FA855">
            <w:pPr>
              <w:rPr>
                <w:rFonts w:ascii="Arial"/>
                <w:color w:val="auto"/>
                <w:sz w:val="21"/>
                <w:highlight w:val="none"/>
              </w:rPr>
            </w:pPr>
          </w:p>
        </w:tc>
        <w:tc>
          <w:tcPr>
            <w:tcW w:w="2663" w:type="dxa"/>
            <w:tcBorders>
              <w:right w:val="single" w:color="000000" w:sz="6" w:space="0"/>
            </w:tcBorders>
            <w:vAlign w:val="top"/>
          </w:tcPr>
          <w:p w14:paraId="53406EFB">
            <w:pPr>
              <w:rPr>
                <w:rFonts w:ascii="Arial"/>
                <w:color w:val="auto"/>
                <w:sz w:val="21"/>
                <w:highlight w:val="none"/>
              </w:rPr>
            </w:pPr>
          </w:p>
        </w:tc>
      </w:tr>
      <w:tr w14:paraId="51E28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935" w:type="dxa"/>
            <w:tcBorders>
              <w:left w:val="single" w:color="000000" w:sz="6" w:space="0"/>
              <w:bottom w:val="single" w:color="000000" w:sz="6" w:space="0"/>
            </w:tcBorders>
            <w:vAlign w:val="top"/>
          </w:tcPr>
          <w:p w14:paraId="42B64E15">
            <w:pPr>
              <w:rPr>
                <w:rFonts w:ascii="Arial"/>
                <w:color w:val="auto"/>
                <w:sz w:val="21"/>
                <w:highlight w:val="none"/>
              </w:rPr>
            </w:pPr>
          </w:p>
        </w:tc>
        <w:tc>
          <w:tcPr>
            <w:tcW w:w="5411" w:type="dxa"/>
            <w:tcBorders>
              <w:bottom w:val="single" w:color="000000" w:sz="6" w:space="0"/>
            </w:tcBorders>
            <w:vAlign w:val="top"/>
          </w:tcPr>
          <w:p w14:paraId="1BACE83B">
            <w:pPr>
              <w:rPr>
                <w:rFonts w:ascii="Arial"/>
                <w:color w:val="auto"/>
                <w:sz w:val="21"/>
                <w:highlight w:val="none"/>
              </w:rPr>
            </w:pPr>
          </w:p>
        </w:tc>
        <w:tc>
          <w:tcPr>
            <w:tcW w:w="2663" w:type="dxa"/>
            <w:tcBorders>
              <w:bottom w:val="single" w:color="000000" w:sz="6" w:space="0"/>
              <w:right w:val="single" w:color="000000" w:sz="6" w:space="0"/>
            </w:tcBorders>
            <w:vAlign w:val="top"/>
          </w:tcPr>
          <w:p w14:paraId="59552A47">
            <w:pPr>
              <w:rPr>
                <w:rFonts w:ascii="Arial"/>
                <w:color w:val="auto"/>
                <w:sz w:val="21"/>
                <w:highlight w:val="none"/>
              </w:rPr>
            </w:pPr>
          </w:p>
        </w:tc>
      </w:tr>
    </w:tbl>
    <w:p w14:paraId="3625072E">
      <w:pPr>
        <w:pStyle w:val="8"/>
        <w:rPr>
          <w:color w:val="auto"/>
          <w:highlight w:val="none"/>
        </w:rPr>
      </w:pPr>
    </w:p>
    <w:p w14:paraId="590BE87F">
      <w:pPr>
        <w:rPr>
          <w:color w:val="auto"/>
          <w:highlight w:val="none"/>
        </w:rPr>
        <w:sectPr>
          <w:headerReference r:id="rId104" w:type="default"/>
          <w:footerReference r:id="rId105" w:type="default"/>
          <w:pgSz w:w="11905" w:h="16840"/>
          <w:pgMar w:top="400" w:right="1292" w:bottom="1255" w:left="1587" w:header="0" w:footer="1093" w:gutter="0"/>
          <w:pgNumType w:fmt="decimal"/>
          <w:cols w:space="720" w:num="1"/>
        </w:sectPr>
      </w:pPr>
    </w:p>
    <w:p w14:paraId="3253E978">
      <w:pPr>
        <w:pStyle w:val="8"/>
        <w:spacing w:line="247" w:lineRule="auto"/>
        <w:rPr>
          <w:color w:val="auto"/>
          <w:highlight w:val="none"/>
        </w:rPr>
      </w:pPr>
    </w:p>
    <w:p w14:paraId="1BDE3BDF">
      <w:pPr>
        <w:pStyle w:val="8"/>
        <w:spacing w:line="248" w:lineRule="auto"/>
        <w:rPr>
          <w:color w:val="auto"/>
          <w:highlight w:val="none"/>
        </w:rPr>
      </w:pPr>
    </w:p>
    <w:p w14:paraId="59B4ACA4">
      <w:pPr>
        <w:pStyle w:val="8"/>
        <w:spacing w:line="248" w:lineRule="auto"/>
        <w:rPr>
          <w:color w:val="auto"/>
          <w:highlight w:val="none"/>
        </w:rPr>
      </w:pPr>
    </w:p>
    <w:p w14:paraId="7756FE8D">
      <w:pPr>
        <w:pStyle w:val="8"/>
        <w:spacing w:line="248" w:lineRule="auto"/>
        <w:rPr>
          <w:color w:val="auto"/>
          <w:highlight w:val="none"/>
        </w:rPr>
      </w:pPr>
    </w:p>
    <w:sdt>
      <w:sdtPr>
        <w:rPr>
          <w:rFonts w:ascii="宋体" w:hAnsi="宋体" w:eastAsia="宋体" w:cs="宋体"/>
          <w:color w:val="auto"/>
          <w:sz w:val="24"/>
          <w:szCs w:val="24"/>
          <w:highlight w:val="none"/>
        </w:rPr>
        <w:id w:val="147476907"/>
        <w:docPartObj>
          <w:docPartGallery w:val="Table of Contents"/>
          <w:docPartUnique/>
        </w:docPartObj>
      </w:sdtPr>
      <w:sdtEndPr>
        <w:rPr>
          <w:rFonts w:ascii="宋体" w:hAnsi="宋体" w:eastAsia="宋体" w:cs="宋体"/>
          <w:color w:val="auto"/>
          <w:sz w:val="24"/>
          <w:szCs w:val="24"/>
          <w:highlight w:val="none"/>
        </w:rPr>
      </w:sdtEndPr>
      <w:sdtContent>
        <w:p w14:paraId="67475BB8">
          <w:pPr>
            <w:spacing w:before="78" w:line="222" w:lineRule="auto"/>
            <w:ind w:left="4133"/>
            <w:rPr>
              <w:rFonts w:ascii="宋体" w:hAnsi="宋体" w:eastAsia="宋体" w:cs="宋体"/>
              <w:color w:val="auto"/>
              <w:sz w:val="24"/>
              <w:szCs w:val="24"/>
              <w:highlight w:val="none"/>
            </w:rPr>
          </w:pPr>
          <w:bookmarkStart w:id="188" w:name="bookmark598"/>
          <w:bookmarkEnd w:id="188"/>
          <w:r>
            <w:rPr>
              <w:rFonts w:ascii="宋体" w:hAnsi="宋体" w:eastAsia="宋体" w:cs="宋体"/>
              <w:b/>
              <w:bCs/>
              <w:color w:val="auto"/>
              <w:spacing w:val="-31"/>
              <w:sz w:val="24"/>
              <w:szCs w:val="24"/>
              <w:highlight w:val="none"/>
            </w:rPr>
            <w:t>目</w:t>
          </w:r>
          <w:r>
            <w:rPr>
              <w:rFonts w:ascii="宋体" w:hAnsi="宋体" w:eastAsia="宋体" w:cs="宋体"/>
              <w:color w:val="auto"/>
              <w:spacing w:val="6"/>
              <w:sz w:val="24"/>
              <w:szCs w:val="24"/>
              <w:highlight w:val="none"/>
            </w:rPr>
            <w:t xml:space="preserve">  </w:t>
          </w:r>
          <w:r>
            <w:rPr>
              <w:rFonts w:ascii="宋体" w:hAnsi="宋体" w:eastAsia="宋体" w:cs="宋体"/>
              <w:b/>
              <w:bCs/>
              <w:color w:val="auto"/>
              <w:spacing w:val="-31"/>
              <w:sz w:val="24"/>
              <w:szCs w:val="24"/>
              <w:highlight w:val="none"/>
            </w:rPr>
            <w:t>录</w:t>
          </w:r>
        </w:p>
        <w:p w14:paraId="73B4CB1E">
          <w:pPr>
            <w:pStyle w:val="8"/>
            <w:spacing w:line="255" w:lineRule="auto"/>
            <w:rPr>
              <w:color w:val="auto"/>
              <w:highlight w:val="none"/>
            </w:rPr>
          </w:pPr>
        </w:p>
        <w:p w14:paraId="1FDAE871">
          <w:pPr>
            <w:pStyle w:val="8"/>
            <w:spacing w:line="256" w:lineRule="auto"/>
            <w:rPr>
              <w:color w:val="auto"/>
              <w:highlight w:val="none"/>
            </w:rPr>
          </w:pPr>
        </w:p>
        <w:p w14:paraId="17EC8009">
          <w:pPr>
            <w:spacing w:before="78" w:line="219" w:lineRule="auto"/>
            <w:ind w:left="29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一、投标函及投标函附录</w:t>
          </w:r>
        </w:p>
        <w:p w14:paraId="57FC8634">
          <w:pPr>
            <w:spacing w:before="181" w:line="220" w:lineRule="auto"/>
            <w:ind w:left="2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二、法定代表人身份证明</w:t>
          </w:r>
        </w:p>
        <w:p w14:paraId="1D1B62FF">
          <w:pPr>
            <w:spacing w:before="181" w:line="219" w:lineRule="auto"/>
            <w:ind w:left="2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二、授权委托书</w:t>
          </w:r>
        </w:p>
        <w:p w14:paraId="1F0CE565">
          <w:pPr>
            <w:spacing w:before="182" w:line="219" w:lineRule="auto"/>
            <w:ind w:left="2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三、联合体协议书</w:t>
          </w:r>
        </w:p>
        <w:p w14:paraId="549B54D3">
          <w:pPr>
            <w:spacing w:before="182" w:line="220" w:lineRule="auto"/>
            <w:ind w:left="313"/>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四、投标保证金</w:t>
          </w:r>
        </w:p>
        <w:p w14:paraId="36188C20">
          <w:pPr>
            <w:spacing w:before="181" w:line="218" w:lineRule="auto"/>
            <w:ind w:left="2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五、已标价工程量清单</w:t>
          </w:r>
        </w:p>
        <w:p w14:paraId="65F1B8F5">
          <w:pPr>
            <w:spacing w:before="183" w:line="221" w:lineRule="auto"/>
            <w:ind w:left="29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六、施工组织设计</w:t>
          </w:r>
        </w:p>
        <w:p w14:paraId="37A29682">
          <w:pPr>
            <w:spacing w:before="179" w:line="219" w:lineRule="auto"/>
            <w:ind w:left="29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七、项目管理机构</w:t>
          </w:r>
        </w:p>
        <w:p w14:paraId="674E4221">
          <w:pPr>
            <w:spacing w:before="184" w:line="219" w:lineRule="auto"/>
            <w:ind w:left="29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八、拟分包项目情况表</w:t>
          </w:r>
        </w:p>
        <w:p w14:paraId="17F7DA1B">
          <w:pPr>
            <w:spacing w:before="181" w:line="220" w:lineRule="auto"/>
            <w:ind w:left="29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九、资格审查资料</w:t>
          </w:r>
        </w:p>
        <w:p w14:paraId="6DF1644B">
          <w:pPr>
            <w:spacing w:before="181" w:line="220" w:lineRule="auto"/>
            <w:ind w:left="29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十、原件的复制件</w:t>
          </w:r>
        </w:p>
        <w:p w14:paraId="26214548">
          <w:pPr>
            <w:spacing w:before="181" w:line="219" w:lineRule="auto"/>
            <w:ind w:left="29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十一、其他材料</w:t>
          </w:r>
        </w:p>
      </w:sdtContent>
    </w:sdt>
    <w:p w14:paraId="37F30377">
      <w:pPr>
        <w:spacing w:line="219" w:lineRule="auto"/>
        <w:rPr>
          <w:rFonts w:ascii="宋体" w:hAnsi="宋体" w:eastAsia="宋体" w:cs="宋体"/>
          <w:color w:val="auto"/>
          <w:sz w:val="24"/>
          <w:szCs w:val="24"/>
          <w:highlight w:val="none"/>
        </w:rPr>
        <w:sectPr>
          <w:headerReference r:id="rId106" w:type="default"/>
          <w:footerReference r:id="rId107" w:type="default"/>
          <w:pgSz w:w="11905" w:h="16840"/>
          <w:pgMar w:top="400" w:right="1529" w:bottom="1255" w:left="1785" w:header="0" w:footer="1093" w:gutter="0"/>
          <w:pgNumType w:fmt="decimal"/>
          <w:cols w:space="720" w:num="1"/>
        </w:sectPr>
      </w:pPr>
    </w:p>
    <w:p w14:paraId="71A98C51">
      <w:pPr>
        <w:pStyle w:val="8"/>
        <w:spacing w:line="247" w:lineRule="auto"/>
        <w:rPr>
          <w:color w:val="auto"/>
          <w:highlight w:val="none"/>
        </w:rPr>
      </w:pPr>
    </w:p>
    <w:p w14:paraId="514AB0CF">
      <w:pPr>
        <w:pStyle w:val="8"/>
        <w:spacing w:line="247" w:lineRule="auto"/>
        <w:rPr>
          <w:color w:val="auto"/>
          <w:highlight w:val="none"/>
        </w:rPr>
      </w:pPr>
    </w:p>
    <w:p w14:paraId="35E61391">
      <w:pPr>
        <w:pStyle w:val="8"/>
        <w:spacing w:line="247" w:lineRule="auto"/>
        <w:rPr>
          <w:color w:val="auto"/>
          <w:highlight w:val="none"/>
        </w:rPr>
      </w:pPr>
    </w:p>
    <w:p w14:paraId="074F37E1">
      <w:pPr>
        <w:pStyle w:val="8"/>
        <w:spacing w:line="248" w:lineRule="auto"/>
        <w:rPr>
          <w:color w:val="auto"/>
          <w:highlight w:val="none"/>
        </w:rPr>
      </w:pPr>
    </w:p>
    <w:p w14:paraId="549A6FE9">
      <w:pPr>
        <w:spacing w:before="88" w:line="225" w:lineRule="auto"/>
        <w:ind w:left="2862"/>
        <w:outlineLvl w:val="0"/>
        <w:rPr>
          <w:rFonts w:ascii="宋体" w:hAnsi="宋体" w:eastAsia="宋体" w:cs="宋体"/>
          <w:color w:val="auto"/>
          <w:sz w:val="27"/>
          <w:szCs w:val="27"/>
          <w:highlight w:val="none"/>
        </w:rPr>
      </w:pPr>
      <w:bookmarkStart w:id="189" w:name="bookmark353"/>
      <w:bookmarkEnd w:id="189"/>
      <w:bookmarkStart w:id="190" w:name="_Toc23418"/>
      <w:r>
        <w:rPr>
          <w:rFonts w:ascii="宋体" w:hAnsi="宋体" w:eastAsia="宋体" w:cs="宋体"/>
          <w:b/>
          <w:bCs/>
          <w:color w:val="auto"/>
          <w:spacing w:val="5"/>
          <w:sz w:val="27"/>
          <w:szCs w:val="27"/>
          <w:highlight w:val="none"/>
        </w:rPr>
        <w:t>一、投标函及投标函附录</w:t>
      </w:r>
      <w:bookmarkEnd w:id="190"/>
    </w:p>
    <w:p w14:paraId="25037797">
      <w:pPr>
        <w:pStyle w:val="8"/>
        <w:spacing w:line="330" w:lineRule="auto"/>
        <w:rPr>
          <w:color w:val="auto"/>
          <w:highlight w:val="none"/>
        </w:rPr>
      </w:pPr>
    </w:p>
    <w:p w14:paraId="3A5C466C">
      <w:pPr>
        <w:pStyle w:val="8"/>
        <w:spacing w:line="330" w:lineRule="auto"/>
        <w:rPr>
          <w:color w:val="auto"/>
          <w:highlight w:val="none"/>
        </w:rPr>
      </w:pPr>
    </w:p>
    <w:p w14:paraId="47F94080">
      <w:pPr>
        <w:spacing w:before="78" w:line="220" w:lineRule="auto"/>
        <w:ind w:left="15"/>
        <w:outlineLvl w:val="1"/>
        <w:rPr>
          <w:rFonts w:ascii="宋体" w:hAnsi="宋体" w:eastAsia="宋体" w:cs="宋体"/>
          <w:color w:val="auto"/>
          <w:sz w:val="24"/>
          <w:szCs w:val="24"/>
          <w:highlight w:val="none"/>
        </w:rPr>
      </w:pPr>
      <w:bookmarkStart w:id="191" w:name="_Toc13584"/>
      <w:r>
        <w:rPr>
          <w:rFonts w:ascii="宋体" w:hAnsi="宋体" w:eastAsia="宋体" w:cs="宋体"/>
          <w:b/>
          <w:bCs/>
          <w:color w:val="auto"/>
          <w:spacing w:val="-8"/>
          <w:sz w:val="24"/>
          <w:szCs w:val="24"/>
          <w:highlight w:val="none"/>
        </w:rPr>
        <w:t>（一）投标函</w:t>
      </w:r>
      <w:bookmarkEnd w:id="191"/>
    </w:p>
    <w:p w14:paraId="57D59A86">
      <w:pPr>
        <w:tabs>
          <w:tab w:val="left" w:pos="2400"/>
        </w:tabs>
        <w:spacing w:before="180"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（招标人名称</w:t>
      </w:r>
      <w:r>
        <w:rPr>
          <w:rFonts w:ascii="宋体" w:hAnsi="宋体" w:eastAsia="宋体" w:cs="宋体"/>
          <w:color w:val="auto"/>
          <w:spacing w:val="-4"/>
          <w:sz w:val="24"/>
          <w:szCs w:val="24"/>
          <w:highlight w:val="none"/>
        </w:rPr>
        <w:t>）：</w:t>
      </w:r>
    </w:p>
    <w:p w14:paraId="7B628FBE">
      <w:pPr>
        <w:spacing w:before="181" w:line="324" w:lineRule="auto"/>
        <w:ind w:left="8" w:firstLine="451"/>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1</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3"/>
          <w:sz w:val="24"/>
          <w:szCs w:val="24"/>
          <w:highlight w:val="none"/>
        </w:rPr>
        <w:t>．我方已仔细研究了</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（项目名称</w:t>
      </w:r>
      <w:r>
        <w:rPr>
          <w:rFonts w:ascii="宋体" w:hAnsi="宋体" w:eastAsia="宋体" w:cs="宋体"/>
          <w:color w:val="auto"/>
          <w:spacing w:val="6"/>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
          <w:sz w:val="24"/>
          <w:szCs w:val="24"/>
          <w:highlight w:val="none"/>
        </w:rPr>
        <w:t>（</w:t>
      </w:r>
      <w:r>
        <w:rPr>
          <w:rFonts w:ascii="宋体" w:hAnsi="宋体" w:eastAsia="宋体" w:cs="宋体"/>
          <w:color w:val="auto"/>
          <w:spacing w:val="-3"/>
          <w:sz w:val="24"/>
          <w:szCs w:val="24"/>
          <w:highlight w:val="none"/>
        </w:rPr>
        <w:t>标段名称）招标</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文件的全部内容，愿意以人民币（大写）</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95"/>
          <w:sz w:val="24"/>
          <w:szCs w:val="24"/>
          <w:highlight w:val="none"/>
        </w:rPr>
        <w:t xml:space="preserve"> </w:t>
      </w:r>
      <w:r>
        <w:rPr>
          <w:rFonts w:ascii="宋体" w:hAnsi="宋体" w:eastAsia="宋体" w:cs="宋体"/>
          <w:color w:val="auto"/>
          <w:spacing w:val="-1"/>
          <w:sz w:val="24"/>
          <w:szCs w:val="24"/>
          <w:highlight w:val="none"/>
        </w:rPr>
        <w:t>元(￥</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1"/>
          <w:sz w:val="24"/>
          <w:szCs w:val="24"/>
          <w:highlight w:val="none"/>
        </w:rPr>
        <w:t>元）的投标总报价，工期</w:t>
      </w:r>
      <w:r>
        <w:rPr>
          <w:rFonts w:ascii="宋体" w:hAnsi="宋体" w:eastAsia="宋体" w:cs="宋体"/>
          <w:color w:val="auto"/>
          <w:spacing w:val="-119"/>
          <w:sz w:val="24"/>
          <w:szCs w:val="24"/>
          <w:highlight w:val="none"/>
        </w:rPr>
        <w:t xml:space="preserve"> </w:t>
      </w:r>
      <w:r>
        <w:rPr>
          <w:rFonts w:ascii="宋体" w:hAnsi="宋体" w:eastAsia="宋体" w:cs="宋体"/>
          <w:color w:val="auto"/>
          <w:spacing w:val="19"/>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1"/>
          <w:sz w:val="24"/>
          <w:szCs w:val="24"/>
          <w:highlight w:val="none"/>
        </w:rPr>
        <w:t>个月（日历天</w:t>
      </w:r>
      <w:r>
        <w:rPr>
          <w:rFonts w:ascii="宋体" w:hAnsi="宋体" w:eastAsia="宋体" w:cs="宋体"/>
          <w:color w:val="auto"/>
          <w:spacing w:val="17"/>
          <w:sz w:val="24"/>
          <w:szCs w:val="24"/>
          <w:highlight w:val="none"/>
        </w:rPr>
        <w:t>），</w:t>
      </w:r>
      <w:r>
        <w:rPr>
          <w:rFonts w:ascii="宋体" w:hAnsi="宋体" w:eastAsia="宋体" w:cs="宋体"/>
          <w:color w:val="auto"/>
          <w:spacing w:val="-1"/>
          <w:sz w:val="24"/>
          <w:szCs w:val="24"/>
          <w:highlight w:val="none"/>
        </w:rPr>
        <w:t>按合同约定实施和完成承</w:t>
      </w:r>
      <w:r>
        <w:rPr>
          <w:rFonts w:ascii="宋体" w:hAnsi="宋体" w:eastAsia="宋体" w:cs="宋体"/>
          <w:color w:val="auto"/>
          <w:spacing w:val="-2"/>
          <w:sz w:val="24"/>
          <w:szCs w:val="24"/>
          <w:highlight w:val="none"/>
        </w:rPr>
        <w:t>包工程，修补工</w:t>
      </w:r>
      <w:r>
        <w:rPr>
          <w:rFonts w:ascii="宋体" w:hAnsi="宋体" w:eastAsia="宋体" w:cs="宋体"/>
          <w:color w:val="auto"/>
          <w:sz w:val="24"/>
          <w:szCs w:val="24"/>
          <w:highlight w:val="none"/>
        </w:rPr>
        <w:t xml:space="preserve"> 程中的任何缺陷，工程质量达到</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，项目负责人</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452DC2C1">
      <w:pPr>
        <w:spacing w:before="181" w:line="219" w:lineRule="auto"/>
        <w:ind w:left="485"/>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2"/>
          <w:sz w:val="24"/>
          <w:szCs w:val="24"/>
          <w:highlight w:val="none"/>
        </w:rPr>
        <w:t>．我方承诺在投标有效期内不补充、修改、替代或者</w:t>
      </w:r>
      <w:r>
        <w:rPr>
          <w:rFonts w:ascii="宋体" w:hAnsi="宋体" w:eastAsia="宋体" w:cs="宋体"/>
          <w:color w:val="auto"/>
          <w:spacing w:val="-3"/>
          <w:sz w:val="24"/>
          <w:szCs w:val="24"/>
          <w:highlight w:val="none"/>
        </w:rPr>
        <w:t>撤回本投标文件。</w:t>
      </w:r>
    </w:p>
    <w:p w14:paraId="6924DAD7">
      <w:pPr>
        <w:spacing w:before="182" w:line="291" w:lineRule="auto"/>
        <w:ind w:left="135" w:firstLine="353"/>
        <w:rPr>
          <w:rFonts w:ascii="宋体" w:hAnsi="宋体" w:eastAsia="宋体" w:cs="宋体"/>
          <w:color w:val="auto"/>
          <w:sz w:val="24"/>
          <w:szCs w:val="24"/>
          <w:highlight w:val="none"/>
        </w:rPr>
      </w:pPr>
      <w:r>
        <w:rPr>
          <w:rFonts w:ascii="Times New Roman" w:hAnsi="Times New Roman" w:eastAsia="Times New Roman" w:cs="Times New Roman"/>
          <w:color w:val="auto"/>
          <w:spacing w:val="-14"/>
          <w:sz w:val="24"/>
          <w:szCs w:val="24"/>
          <w:highlight w:val="none"/>
        </w:rPr>
        <w:t>3</w:t>
      </w:r>
      <w:r>
        <w:rPr>
          <w:rFonts w:ascii="宋体" w:hAnsi="宋体" w:eastAsia="宋体" w:cs="宋体"/>
          <w:color w:val="auto"/>
          <w:spacing w:val="-14"/>
          <w:sz w:val="24"/>
          <w:szCs w:val="24"/>
          <w:highlight w:val="none"/>
        </w:rPr>
        <w:t>．</w:t>
      </w:r>
      <w:r>
        <w:rPr>
          <w:rFonts w:ascii="宋体" w:hAnsi="宋体" w:eastAsia="宋体" w:cs="宋体"/>
          <w:color w:val="auto"/>
          <w:spacing w:val="-13"/>
          <w:sz w:val="24"/>
          <w:szCs w:val="24"/>
          <w:highlight w:val="none"/>
        </w:rPr>
        <w:t>随同本投标函递交投标保证金一份，金额为人民币（大写）</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1"/>
          <w:sz w:val="24"/>
          <w:szCs w:val="24"/>
          <w:highlight w:val="none"/>
        </w:rPr>
        <w:t>元</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2"/>
          <w:sz w:val="24"/>
          <w:szCs w:val="24"/>
          <w:highlight w:val="none"/>
        </w:rPr>
        <w:t>)。</w:t>
      </w:r>
    </w:p>
    <w:p w14:paraId="567551B4">
      <w:pPr>
        <w:spacing w:before="178" w:line="220" w:lineRule="auto"/>
        <w:ind w:left="483"/>
        <w:rPr>
          <w:rFonts w:ascii="宋体" w:hAnsi="宋体" w:eastAsia="宋体" w:cs="宋体"/>
          <w:color w:val="auto"/>
          <w:sz w:val="24"/>
          <w:szCs w:val="24"/>
          <w:highlight w:val="none"/>
        </w:rPr>
      </w:pPr>
      <w:r>
        <w:rPr>
          <w:rFonts w:ascii="Times New Roman" w:hAnsi="Times New Roman" w:eastAsia="Times New Roman" w:cs="Times New Roman"/>
          <w:color w:val="auto"/>
          <w:spacing w:val="-10"/>
          <w:sz w:val="24"/>
          <w:szCs w:val="24"/>
          <w:highlight w:val="none"/>
        </w:rPr>
        <w:t>4</w:t>
      </w:r>
      <w:r>
        <w:rPr>
          <w:rFonts w:ascii="Times New Roman" w:hAnsi="Times New Roman" w:eastAsia="Times New Roman" w:cs="Times New Roman"/>
          <w:color w:val="auto"/>
          <w:spacing w:val="-29"/>
          <w:sz w:val="24"/>
          <w:szCs w:val="24"/>
          <w:highlight w:val="none"/>
        </w:rPr>
        <w:t xml:space="preserve"> </w:t>
      </w:r>
      <w:r>
        <w:rPr>
          <w:rFonts w:ascii="宋体" w:hAnsi="宋体" w:eastAsia="宋体" w:cs="宋体"/>
          <w:color w:val="auto"/>
          <w:spacing w:val="-10"/>
          <w:sz w:val="24"/>
          <w:szCs w:val="24"/>
          <w:highlight w:val="none"/>
        </w:rPr>
        <w:t>．如我方中标：</w:t>
      </w:r>
    </w:p>
    <w:p w14:paraId="04A9AA4B">
      <w:pPr>
        <w:spacing w:before="182" w:line="290" w:lineRule="auto"/>
        <w:ind w:left="32" w:firstLine="46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w:t>
      </w:r>
      <w:r>
        <w:rPr>
          <w:rFonts w:ascii="宋体" w:hAnsi="宋体" w:eastAsia="宋体" w:cs="宋体"/>
          <w:color w:val="auto"/>
          <w:spacing w:val="-35"/>
          <w:sz w:val="24"/>
          <w:szCs w:val="24"/>
          <w:highlight w:val="none"/>
        </w:rPr>
        <w:t xml:space="preserve"> </w:t>
      </w:r>
      <w:r>
        <w:rPr>
          <w:rFonts w:ascii="宋体" w:hAnsi="宋体" w:eastAsia="宋体" w:cs="宋体"/>
          <w:color w:val="auto"/>
          <w:spacing w:val="-2"/>
          <w:sz w:val="24"/>
          <w:szCs w:val="24"/>
          <w:highlight w:val="none"/>
        </w:rPr>
        <w:t>我方承诺在收到中标通知书后，在中标通知书规定的期限内与你</w:t>
      </w:r>
      <w:r>
        <w:rPr>
          <w:rFonts w:ascii="宋体" w:hAnsi="宋体" w:eastAsia="宋体" w:cs="宋体"/>
          <w:color w:val="auto"/>
          <w:spacing w:val="-3"/>
          <w:sz w:val="24"/>
          <w:szCs w:val="24"/>
          <w:highlight w:val="none"/>
        </w:rPr>
        <w:t>方签订合</w:t>
      </w:r>
      <w:r>
        <w:rPr>
          <w:rFonts w:ascii="宋体" w:hAnsi="宋体" w:eastAsia="宋体" w:cs="宋体"/>
          <w:color w:val="auto"/>
          <w:sz w:val="24"/>
          <w:szCs w:val="24"/>
          <w:highlight w:val="none"/>
        </w:rPr>
        <w:t xml:space="preserve"> </w:t>
      </w:r>
      <w:r>
        <w:rPr>
          <w:rFonts w:ascii="宋体" w:hAnsi="宋体" w:eastAsia="宋体" w:cs="宋体"/>
          <w:color w:val="auto"/>
          <w:spacing w:val="-17"/>
          <w:sz w:val="24"/>
          <w:szCs w:val="24"/>
          <w:highlight w:val="none"/>
        </w:rPr>
        <w:t>同。</w:t>
      </w:r>
    </w:p>
    <w:p w14:paraId="676669E9">
      <w:pPr>
        <w:spacing w:before="179" w:line="219"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）随同本投标函递交的投标函附录属于合同文件的组成部分。</w:t>
      </w:r>
    </w:p>
    <w:p w14:paraId="136F9C40">
      <w:pPr>
        <w:spacing w:before="181" w:line="220"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）我方承诺按照招标文件规定向你方递交履约担保。</w:t>
      </w:r>
    </w:p>
    <w:p w14:paraId="4445A7ED">
      <w:pPr>
        <w:spacing w:before="181" w:line="220"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）我方承诺在合同约定的期限内完成并移交全部合同工程。</w:t>
      </w:r>
    </w:p>
    <w:p w14:paraId="5E7E5177">
      <w:pPr>
        <w:spacing w:before="182" w:line="289" w:lineRule="auto"/>
        <w:ind w:left="8" w:right="1" w:firstLine="483"/>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5</w:t>
      </w:r>
      <w:r>
        <w:rPr>
          <w:rFonts w:ascii="Times New Roman" w:hAnsi="Times New Roman" w:eastAsia="Times New Roman" w:cs="Times New Roman"/>
          <w:color w:val="auto"/>
          <w:spacing w:val="-11"/>
          <w:sz w:val="24"/>
          <w:szCs w:val="24"/>
          <w:highlight w:val="none"/>
        </w:rPr>
        <w:t xml:space="preserve"> </w:t>
      </w:r>
      <w:r>
        <w:rPr>
          <w:rFonts w:ascii="宋体" w:hAnsi="宋体" w:eastAsia="宋体" w:cs="宋体"/>
          <w:color w:val="auto"/>
          <w:spacing w:val="-1"/>
          <w:sz w:val="24"/>
          <w:szCs w:val="24"/>
          <w:highlight w:val="none"/>
        </w:rPr>
        <w:t>．我方在此声明，所递交的投标文件及有关资料内容完整、真实和准确，且不</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存在第</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章投标人须知第</w:t>
      </w:r>
      <w:r>
        <w:rPr>
          <w:rFonts w:ascii="Times New Roman" w:hAnsi="Times New Roman" w:eastAsia="Times New Roman" w:cs="Times New Roman"/>
          <w:color w:val="auto"/>
          <w:spacing w:val="-2"/>
          <w:sz w:val="24"/>
          <w:szCs w:val="24"/>
          <w:highlight w:val="none"/>
        </w:rPr>
        <w:t>1.4.3</w:t>
      </w:r>
      <w:r>
        <w:rPr>
          <w:rFonts w:ascii="宋体" w:hAnsi="宋体" w:eastAsia="宋体" w:cs="宋体"/>
          <w:color w:val="auto"/>
          <w:spacing w:val="-2"/>
          <w:sz w:val="24"/>
          <w:szCs w:val="24"/>
          <w:highlight w:val="none"/>
        </w:rPr>
        <w:t>项规定的任何一种情形。</w:t>
      </w:r>
    </w:p>
    <w:p w14:paraId="524DF066">
      <w:pPr>
        <w:spacing w:before="181" w:line="220" w:lineRule="auto"/>
        <w:ind w:left="49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6.  </w:t>
      </w:r>
      <w:r>
        <w:rPr>
          <w:rFonts w:ascii="Times New Roman" w:hAnsi="Times New Roman" w:eastAsia="Times New Roman" w:cs="Times New Roman"/>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（其它补充说明）。</w:t>
      </w:r>
    </w:p>
    <w:p w14:paraId="28BC9AB0">
      <w:pPr>
        <w:pStyle w:val="8"/>
        <w:spacing w:line="256" w:lineRule="auto"/>
        <w:rPr>
          <w:color w:val="auto"/>
          <w:highlight w:val="none"/>
        </w:rPr>
      </w:pPr>
    </w:p>
    <w:p w14:paraId="0514DC96">
      <w:pPr>
        <w:pStyle w:val="8"/>
        <w:spacing w:line="257" w:lineRule="auto"/>
        <w:rPr>
          <w:color w:val="auto"/>
          <w:highlight w:val="none"/>
        </w:rPr>
      </w:pPr>
    </w:p>
    <w:p w14:paraId="0622B6A9">
      <w:pPr>
        <w:spacing w:before="79" w:line="219" w:lineRule="auto"/>
        <w:ind w:left="303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 标</w:t>
      </w:r>
      <w:r>
        <w:rPr>
          <w:rFonts w:ascii="宋体" w:hAnsi="宋体" w:eastAsia="宋体" w:cs="宋体"/>
          <w:color w:val="auto"/>
          <w:spacing w:val="11"/>
          <w:sz w:val="24"/>
          <w:szCs w:val="24"/>
          <w:highlight w:val="none"/>
        </w:rPr>
        <w:t xml:space="preserve"> </w:t>
      </w:r>
      <w:r>
        <w:rPr>
          <w:rFonts w:ascii="宋体" w:hAnsi="宋体" w:eastAsia="宋体" w:cs="宋体"/>
          <w:color w:val="auto"/>
          <w:spacing w:val="-3"/>
          <w:sz w:val="24"/>
          <w:szCs w:val="24"/>
          <w:highlight w:val="none"/>
        </w:rPr>
        <w:t>人</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3"/>
          <w:sz w:val="24"/>
          <w:szCs w:val="24"/>
          <w:highlight w:val="none"/>
        </w:rPr>
        <w:t>盖单位公章）</w:t>
      </w:r>
    </w:p>
    <w:p w14:paraId="05BF0EA9">
      <w:pPr>
        <w:spacing w:before="182" w:line="219" w:lineRule="auto"/>
        <w:ind w:left="3059"/>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法定代表人或委托代理人</w:t>
      </w:r>
      <w:r>
        <w:rPr>
          <w:rFonts w:ascii="宋体" w:hAnsi="宋体" w:eastAsia="宋体" w:cs="宋体"/>
          <w:color w:val="auto"/>
          <w:spacing w:val="5"/>
          <w:sz w:val="24"/>
          <w:szCs w:val="24"/>
          <w:highlight w:val="none"/>
        </w:rPr>
        <w:t>：</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5"/>
          <w:sz w:val="24"/>
          <w:szCs w:val="24"/>
          <w:highlight w:val="none"/>
          <w:u w:val="single" w:color="auto"/>
        </w:rPr>
        <w:t>（</w:t>
      </w:r>
      <w:r>
        <w:rPr>
          <w:rFonts w:ascii="宋体" w:hAnsi="宋体" w:eastAsia="宋体" w:cs="宋体"/>
          <w:color w:val="auto"/>
          <w:sz w:val="24"/>
          <w:szCs w:val="24"/>
          <w:highlight w:val="none"/>
          <w:u w:val="single" w:color="auto"/>
        </w:rPr>
        <w:t xml:space="preserve">签字或盖章）     </w:t>
      </w:r>
    </w:p>
    <w:p w14:paraId="7D227581">
      <w:pPr>
        <w:spacing w:before="183" w:line="229" w:lineRule="auto"/>
        <w:ind w:left="3033"/>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地</w:t>
      </w:r>
      <w:r>
        <w:rPr>
          <w:rFonts w:ascii="宋体" w:hAnsi="宋体" w:eastAsia="宋体" w:cs="宋体"/>
          <w:color w:val="auto"/>
          <w:spacing w:val="2"/>
          <w:sz w:val="24"/>
          <w:szCs w:val="24"/>
          <w:highlight w:val="none"/>
        </w:rPr>
        <w:t xml:space="preserve">    </w:t>
      </w:r>
      <w:r>
        <w:rPr>
          <w:rFonts w:ascii="宋体" w:hAnsi="宋体" w:eastAsia="宋体" w:cs="宋体"/>
          <w:color w:val="auto"/>
          <w:spacing w:val="-4"/>
          <w:sz w:val="24"/>
          <w:szCs w:val="24"/>
          <w:highlight w:val="none"/>
        </w:rPr>
        <w:t>址：</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5"/>
          <w:sz w:val="24"/>
          <w:szCs w:val="24"/>
          <w:highlight w:val="none"/>
          <w:u w:val="single" w:color="auto"/>
        </w:rPr>
        <w:t xml:space="preserve">         </w:t>
      </w:r>
    </w:p>
    <w:p w14:paraId="755CA5F5">
      <w:pPr>
        <w:spacing w:before="168" w:line="220" w:lineRule="auto"/>
        <w:ind w:left="3061"/>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电子信箱：</w:t>
      </w:r>
      <w:r>
        <w:rPr>
          <w:rFonts w:ascii="宋体" w:hAnsi="宋体" w:eastAsia="宋体" w:cs="宋体"/>
          <w:color w:val="auto"/>
          <w:sz w:val="24"/>
          <w:szCs w:val="24"/>
          <w:highlight w:val="none"/>
          <w:u w:val="single" w:color="auto"/>
        </w:rPr>
        <w:t xml:space="preserve">                </w:t>
      </w:r>
    </w:p>
    <w:p w14:paraId="35516BD7">
      <w:pPr>
        <w:spacing w:before="181" w:line="222" w:lineRule="auto"/>
        <w:ind w:left="3061"/>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电</w:t>
      </w:r>
      <w:r>
        <w:rPr>
          <w:rFonts w:ascii="宋体" w:hAnsi="宋体" w:eastAsia="宋体" w:cs="宋体"/>
          <w:color w:val="auto"/>
          <w:spacing w:val="2"/>
          <w:sz w:val="24"/>
          <w:szCs w:val="24"/>
          <w:highlight w:val="none"/>
        </w:rPr>
        <w:t xml:space="preserve">    </w:t>
      </w:r>
      <w:r>
        <w:rPr>
          <w:rFonts w:ascii="宋体" w:hAnsi="宋体" w:eastAsia="宋体" w:cs="宋体"/>
          <w:color w:val="auto"/>
          <w:spacing w:val="-16"/>
          <w:sz w:val="24"/>
          <w:szCs w:val="24"/>
          <w:highlight w:val="none"/>
        </w:rPr>
        <w:t>话：</w:t>
      </w:r>
      <w:r>
        <w:rPr>
          <w:rFonts w:ascii="宋体" w:hAnsi="宋体" w:eastAsia="宋体" w:cs="宋体"/>
          <w:color w:val="auto"/>
          <w:sz w:val="24"/>
          <w:szCs w:val="24"/>
          <w:highlight w:val="none"/>
          <w:u w:val="single" w:color="auto"/>
        </w:rPr>
        <w:t xml:space="preserve">                </w:t>
      </w:r>
    </w:p>
    <w:p w14:paraId="192E811F">
      <w:pPr>
        <w:spacing w:before="179" w:line="219" w:lineRule="auto"/>
        <w:ind w:left="3031"/>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传</w:t>
      </w:r>
      <w:r>
        <w:rPr>
          <w:rFonts w:ascii="宋体" w:hAnsi="宋体" w:eastAsia="宋体" w:cs="宋体"/>
          <w:color w:val="auto"/>
          <w:spacing w:val="3"/>
          <w:sz w:val="24"/>
          <w:szCs w:val="24"/>
          <w:highlight w:val="none"/>
        </w:rPr>
        <w:t xml:space="preserve">    </w:t>
      </w:r>
      <w:r>
        <w:rPr>
          <w:rFonts w:ascii="宋体" w:hAnsi="宋体" w:eastAsia="宋体" w:cs="宋体"/>
          <w:color w:val="auto"/>
          <w:spacing w:val="-7"/>
          <w:sz w:val="24"/>
          <w:szCs w:val="24"/>
          <w:highlight w:val="none"/>
        </w:rPr>
        <w:t>真：</w:t>
      </w:r>
      <w:r>
        <w:rPr>
          <w:rFonts w:ascii="宋体" w:hAnsi="宋体" w:eastAsia="宋体" w:cs="宋体"/>
          <w:color w:val="auto"/>
          <w:sz w:val="24"/>
          <w:szCs w:val="24"/>
          <w:highlight w:val="none"/>
          <w:u w:val="single" w:color="auto"/>
        </w:rPr>
        <w:t xml:space="preserve">                </w:t>
      </w:r>
    </w:p>
    <w:p w14:paraId="3FF88470">
      <w:pPr>
        <w:spacing w:before="181" w:line="220" w:lineRule="auto"/>
        <w:ind w:left="3051"/>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邮政编码：</w:t>
      </w:r>
      <w:r>
        <w:rPr>
          <w:rFonts w:ascii="宋体" w:hAnsi="宋体" w:eastAsia="宋体" w:cs="宋体"/>
          <w:color w:val="auto"/>
          <w:sz w:val="24"/>
          <w:szCs w:val="24"/>
          <w:highlight w:val="none"/>
          <w:u w:val="single" w:color="auto"/>
        </w:rPr>
        <w:t xml:space="preserve">                </w:t>
      </w:r>
    </w:p>
    <w:p w14:paraId="13294602">
      <w:pPr>
        <w:tabs>
          <w:tab w:val="left" w:pos="7227"/>
        </w:tabs>
        <w:spacing w:before="181" w:line="220" w:lineRule="auto"/>
        <w:ind w:left="650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26"/>
          <w:sz w:val="24"/>
          <w:szCs w:val="24"/>
          <w:highlight w:val="none"/>
        </w:rPr>
        <w:t>日</w:t>
      </w:r>
    </w:p>
    <w:p w14:paraId="3F7FFDFB">
      <w:pPr>
        <w:spacing w:line="220" w:lineRule="auto"/>
        <w:rPr>
          <w:rFonts w:ascii="宋体" w:hAnsi="宋体" w:eastAsia="宋体" w:cs="宋体"/>
          <w:color w:val="auto"/>
          <w:sz w:val="24"/>
          <w:szCs w:val="24"/>
          <w:highlight w:val="none"/>
        </w:rPr>
        <w:sectPr>
          <w:headerReference r:id="rId108" w:type="default"/>
          <w:footerReference r:id="rId109" w:type="default"/>
          <w:pgSz w:w="11905" w:h="16840"/>
          <w:pgMar w:top="400" w:right="1527" w:bottom="1255" w:left="1587" w:header="0" w:footer="1093" w:gutter="0"/>
          <w:pgNumType w:fmt="decimal"/>
          <w:cols w:space="720" w:num="1"/>
        </w:sectPr>
      </w:pPr>
    </w:p>
    <w:p w14:paraId="6763637E">
      <w:pPr>
        <w:pStyle w:val="8"/>
        <w:spacing w:line="280" w:lineRule="auto"/>
        <w:rPr>
          <w:color w:val="auto"/>
          <w:highlight w:val="none"/>
        </w:rPr>
      </w:pPr>
    </w:p>
    <w:p w14:paraId="341EFCC3">
      <w:pPr>
        <w:pStyle w:val="8"/>
        <w:spacing w:line="280" w:lineRule="auto"/>
        <w:rPr>
          <w:color w:val="auto"/>
          <w:highlight w:val="none"/>
        </w:rPr>
      </w:pPr>
    </w:p>
    <w:p w14:paraId="7E2A4BE8">
      <w:pPr>
        <w:pStyle w:val="8"/>
        <w:spacing w:line="281" w:lineRule="auto"/>
        <w:rPr>
          <w:color w:val="auto"/>
          <w:highlight w:val="none"/>
        </w:rPr>
      </w:pPr>
    </w:p>
    <w:p w14:paraId="0EB15473">
      <w:pPr>
        <w:pStyle w:val="8"/>
        <w:spacing w:line="281" w:lineRule="auto"/>
        <w:rPr>
          <w:color w:val="auto"/>
          <w:highlight w:val="none"/>
        </w:rPr>
      </w:pPr>
    </w:p>
    <w:p w14:paraId="273B8A86">
      <w:pPr>
        <w:pStyle w:val="8"/>
        <w:spacing w:line="281" w:lineRule="auto"/>
        <w:rPr>
          <w:color w:val="auto"/>
          <w:highlight w:val="none"/>
        </w:rPr>
      </w:pPr>
    </w:p>
    <w:p w14:paraId="5330F325">
      <w:pPr>
        <w:spacing w:before="78" w:line="219" w:lineRule="auto"/>
        <w:ind w:left="15"/>
        <w:outlineLvl w:val="1"/>
        <w:rPr>
          <w:rFonts w:ascii="宋体" w:hAnsi="宋体" w:eastAsia="宋体" w:cs="宋体"/>
          <w:color w:val="auto"/>
          <w:sz w:val="24"/>
          <w:szCs w:val="24"/>
          <w:highlight w:val="none"/>
        </w:rPr>
      </w:pPr>
      <w:bookmarkStart w:id="192" w:name="bookmark599"/>
      <w:bookmarkEnd w:id="192"/>
      <w:bookmarkStart w:id="193" w:name="_Toc18492"/>
      <w:r>
        <w:rPr>
          <w:rFonts w:ascii="宋体" w:hAnsi="宋体" w:eastAsia="宋体" w:cs="宋体"/>
          <w:b/>
          <w:bCs/>
          <w:color w:val="auto"/>
          <w:spacing w:val="-5"/>
          <w:sz w:val="24"/>
          <w:szCs w:val="24"/>
          <w:highlight w:val="none"/>
        </w:rPr>
        <w:t>（二）投标函附录</w:t>
      </w:r>
      <w:bookmarkEnd w:id="193"/>
    </w:p>
    <w:p w14:paraId="447DACB2">
      <w:pPr>
        <w:spacing w:line="146" w:lineRule="exact"/>
        <w:rPr>
          <w:color w:val="auto"/>
          <w:highlight w:val="none"/>
        </w:rPr>
      </w:pPr>
    </w:p>
    <w:tbl>
      <w:tblPr>
        <w:tblStyle w:val="16"/>
        <w:tblW w:w="900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7"/>
        <w:gridCol w:w="2437"/>
        <w:gridCol w:w="1697"/>
        <w:gridCol w:w="2689"/>
        <w:gridCol w:w="1248"/>
      </w:tblGrid>
      <w:tr w14:paraId="7658A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937" w:type="dxa"/>
            <w:tcBorders>
              <w:top w:val="single" w:color="000000" w:sz="6" w:space="0"/>
              <w:left w:val="single" w:color="000000" w:sz="6" w:space="0"/>
            </w:tcBorders>
            <w:vAlign w:val="top"/>
          </w:tcPr>
          <w:p w14:paraId="48018E0D">
            <w:pPr>
              <w:pStyle w:val="17"/>
              <w:spacing w:before="183" w:line="221" w:lineRule="auto"/>
              <w:ind w:left="227"/>
              <w:rPr>
                <w:color w:val="auto"/>
                <w:sz w:val="24"/>
                <w:szCs w:val="24"/>
                <w:highlight w:val="none"/>
              </w:rPr>
            </w:pPr>
            <w:r>
              <w:rPr>
                <w:color w:val="auto"/>
                <w:spacing w:val="-3"/>
                <w:sz w:val="24"/>
                <w:szCs w:val="24"/>
                <w:highlight w:val="none"/>
              </w:rPr>
              <w:t>序号</w:t>
            </w:r>
          </w:p>
        </w:tc>
        <w:tc>
          <w:tcPr>
            <w:tcW w:w="2437" w:type="dxa"/>
            <w:tcBorders>
              <w:top w:val="single" w:color="000000" w:sz="6" w:space="0"/>
            </w:tcBorders>
            <w:vAlign w:val="top"/>
          </w:tcPr>
          <w:p w14:paraId="10CA226E">
            <w:pPr>
              <w:pStyle w:val="17"/>
              <w:spacing w:before="182" w:line="220" w:lineRule="auto"/>
              <w:ind w:left="743"/>
              <w:rPr>
                <w:color w:val="auto"/>
                <w:sz w:val="24"/>
                <w:szCs w:val="24"/>
                <w:highlight w:val="none"/>
              </w:rPr>
            </w:pPr>
            <w:r>
              <w:rPr>
                <w:color w:val="auto"/>
                <w:spacing w:val="-3"/>
                <w:sz w:val="24"/>
                <w:szCs w:val="24"/>
                <w:highlight w:val="none"/>
              </w:rPr>
              <w:t>条款名称</w:t>
            </w:r>
          </w:p>
        </w:tc>
        <w:tc>
          <w:tcPr>
            <w:tcW w:w="1697" w:type="dxa"/>
            <w:tcBorders>
              <w:top w:val="single" w:color="000000" w:sz="6" w:space="0"/>
            </w:tcBorders>
            <w:vAlign w:val="top"/>
          </w:tcPr>
          <w:p w14:paraId="26BC6153">
            <w:pPr>
              <w:pStyle w:val="17"/>
              <w:spacing w:before="182" w:line="220" w:lineRule="auto"/>
              <w:ind w:left="256"/>
              <w:rPr>
                <w:color w:val="auto"/>
                <w:sz w:val="24"/>
                <w:szCs w:val="24"/>
                <w:highlight w:val="none"/>
              </w:rPr>
            </w:pPr>
            <w:r>
              <w:rPr>
                <w:color w:val="auto"/>
                <w:spacing w:val="-2"/>
                <w:sz w:val="24"/>
                <w:szCs w:val="24"/>
                <w:highlight w:val="none"/>
              </w:rPr>
              <w:t>合同条款号</w:t>
            </w:r>
          </w:p>
        </w:tc>
        <w:tc>
          <w:tcPr>
            <w:tcW w:w="2689" w:type="dxa"/>
            <w:tcBorders>
              <w:top w:val="single" w:color="000000" w:sz="6" w:space="0"/>
            </w:tcBorders>
            <w:vAlign w:val="top"/>
          </w:tcPr>
          <w:p w14:paraId="794F4C36">
            <w:pPr>
              <w:pStyle w:val="17"/>
              <w:spacing w:before="182" w:line="220" w:lineRule="auto"/>
              <w:ind w:left="881"/>
              <w:rPr>
                <w:color w:val="auto"/>
                <w:sz w:val="24"/>
                <w:szCs w:val="24"/>
                <w:highlight w:val="none"/>
              </w:rPr>
            </w:pPr>
            <w:r>
              <w:rPr>
                <w:color w:val="auto"/>
                <w:spacing w:val="-3"/>
                <w:sz w:val="24"/>
                <w:szCs w:val="24"/>
                <w:highlight w:val="none"/>
              </w:rPr>
              <w:t>约定内容</w:t>
            </w:r>
          </w:p>
        </w:tc>
        <w:tc>
          <w:tcPr>
            <w:tcW w:w="1248" w:type="dxa"/>
            <w:tcBorders>
              <w:top w:val="single" w:color="000000" w:sz="6" w:space="0"/>
              <w:right w:val="single" w:color="000000" w:sz="6" w:space="0"/>
            </w:tcBorders>
            <w:vAlign w:val="top"/>
          </w:tcPr>
          <w:p w14:paraId="38411C78">
            <w:pPr>
              <w:pStyle w:val="17"/>
              <w:spacing w:before="183" w:line="221" w:lineRule="auto"/>
              <w:ind w:left="396"/>
              <w:rPr>
                <w:color w:val="auto"/>
                <w:sz w:val="24"/>
                <w:szCs w:val="24"/>
                <w:highlight w:val="none"/>
              </w:rPr>
            </w:pPr>
            <w:r>
              <w:rPr>
                <w:color w:val="auto"/>
                <w:spacing w:val="-4"/>
                <w:sz w:val="24"/>
                <w:szCs w:val="24"/>
                <w:highlight w:val="none"/>
              </w:rPr>
              <w:t>备注</w:t>
            </w:r>
          </w:p>
        </w:tc>
      </w:tr>
      <w:tr w14:paraId="6FB1F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937" w:type="dxa"/>
            <w:tcBorders>
              <w:left w:val="single" w:color="000000" w:sz="6" w:space="0"/>
            </w:tcBorders>
            <w:vAlign w:val="top"/>
          </w:tcPr>
          <w:p w14:paraId="77268852">
            <w:pPr>
              <w:spacing w:before="230" w:line="188" w:lineRule="auto"/>
              <w:ind w:left="42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1</w:t>
            </w:r>
          </w:p>
        </w:tc>
        <w:tc>
          <w:tcPr>
            <w:tcW w:w="2437" w:type="dxa"/>
            <w:vAlign w:val="top"/>
          </w:tcPr>
          <w:p w14:paraId="39ACAF92">
            <w:pPr>
              <w:pStyle w:val="17"/>
              <w:spacing w:before="179" w:line="220" w:lineRule="auto"/>
              <w:ind w:left="625"/>
              <w:rPr>
                <w:color w:val="auto"/>
                <w:sz w:val="24"/>
                <w:szCs w:val="24"/>
                <w:highlight w:val="none"/>
              </w:rPr>
            </w:pPr>
            <w:r>
              <w:rPr>
                <w:color w:val="auto"/>
                <w:spacing w:val="-3"/>
                <w:sz w:val="24"/>
                <w:szCs w:val="24"/>
                <w:highlight w:val="none"/>
              </w:rPr>
              <w:t>项目负责人</w:t>
            </w:r>
          </w:p>
        </w:tc>
        <w:tc>
          <w:tcPr>
            <w:tcW w:w="1697" w:type="dxa"/>
            <w:vAlign w:val="top"/>
          </w:tcPr>
          <w:p w14:paraId="4BE11000">
            <w:pPr>
              <w:spacing w:before="229" w:line="188" w:lineRule="auto"/>
              <w:ind w:left="54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4"/>
                <w:sz w:val="24"/>
                <w:szCs w:val="24"/>
                <w:highlight w:val="none"/>
              </w:rPr>
              <w:t>1.1.2.4</w:t>
            </w:r>
          </w:p>
        </w:tc>
        <w:tc>
          <w:tcPr>
            <w:tcW w:w="2689" w:type="dxa"/>
            <w:vAlign w:val="top"/>
          </w:tcPr>
          <w:p w14:paraId="51DFAD22">
            <w:pPr>
              <w:pStyle w:val="17"/>
              <w:spacing w:before="179" w:line="220" w:lineRule="auto"/>
              <w:ind w:left="117"/>
              <w:rPr>
                <w:color w:val="auto"/>
                <w:sz w:val="24"/>
                <w:szCs w:val="24"/>
                <w:highlight w:val="none"/>
              </w:rPr>
            </w:pPr>
            <w:r>
              <w:rPr>
                <w:color w:val="auto"/>
                <w:spacing w:val="-4"/>
                <w:sz w:val="24"/>
                <w:szCs w:val="24"/>
                <w:highlight w:val="none"/>
              </w:rPr>
              <w:t>姓名：</w:t>
            </w:r>
            <w:r>
              <w:rPr>
                <w:color w:val="auto"/>
                <w:sz w:val="24"/>
                <w:szCs w:val="24"/>
                <w:highlight w:val="none"/>
                <w:u w:val="single" w:color="auto"/>
              </w:rPr>
              <w:t xml:space="preserve">          </w:t>
            </w:r>
          </w:p>
        </w:tc>
        <w:tc>
          <w:tcPr>
            <w:tcW w:w="1248" w:type="dxa"/>
            <w:tcBorders>
              <w:right w:val="single" w:color="000000" w:sz="6" w:space="0"/>
            </w:tcBorders>
            <w:vAlign w:val="top"/>
          </w:tcPr>
          <w:p w14:paraId="14157604">
            <w:pPr>
              <w:rPr>
                <w:rFonts w:ascii="Arial"/>
                <w:color w:val="auto"/>
                <w:sz w:val="21"/>
                <w:highlight w:val="none"/>
              </w:rPr>
            </w:pPr>
          </w:p>
        </w:tc>
      </w:tr>
      <w:tr w14:paraId="7D5CE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37" w:type="dxa"/>
            <w:tcBorders>
              <w:left w:val="single" w:color="000000" w:sz="6" w:space="0"/>
            </w:tcBorders>
            <w:vAlign w:val="top"/>
          </w:tcPr>
          <w:p w14:paraId="7D43F8D9">
            <w:pPr>
              <w:spacing w:before="232" w:line="188" w:lineRule="auto"/>
              <w:ind w:left="40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2</w:t>
            </w:r>
          </w:p>
        </w:tc>
        <w:tc>
          <w:tcPr>
            <w:tcW w:w="2437" w:type="dxa"/>
            <w:vAlign w:val="top"/>
          </w:tcPr>
          <w:p w14:paraId="51A65D51">
            <w:pPr>
              <w:pStyle w:val="17"/>
              <w:spacing w:before="182" w:line="220" w:lineRule="auto"/>
              <w:ind w:left="984"/>
              <w:rPr>
                <w:color w:val="auto"/>
                <w:sz w:val="24"/>
                <w:szCs w:val="24"/>
                <w:highlight w:val="none"/>
              </w:rPr>
            </w:pPr>
            <w:r>
              <w:rPr>
                <w:color w:val="auto"/>
                <w:spacing w:val="-4"/>
                <w:sz w:val="24"/>
                <w:szCs w:val="24"/>
                <w:highlight w:val="none"/>
              </w:rPr>
              <w:t>工期</w:t>
            </w:r>
          </w:p>
        </w:tc>
        <w:tc>
          <w:tcPr>
            <w:tcW w:w="1697" w:type="dxa"/>
            <w:vAlign w:val="top"/>
          </w:tcPr>
          <w:p w14:paraId="3D8EE4E3">
            <w:pPr>
              <w:spacing w:before="232" w:line="188" w:lineRule="auto"/>
              <w:ind w:left="54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4"/>
                <w:sz w:val="24"/>
                <w:szCs w:val="24"/>
                <w:highlight w:val="none"/>
              </w:rPr>
              <w:t>1.1.4.3</w:t>
            </w:r>
          </w:p>
        </w:tc>
        <w:tc>
          <w:tcPr>
            <w:tcW w:w="2689" w:type="dxa"/>
            <w:vAlign w:val="top"/>
          </w:tcPr>
          <w:p w14:paraId="6C86BE88">
            <w:pPr>
              <w:pStyle w:val="17"/>
              <w:tabs>
                <w:tab w:val="left" w:pos="865"/>
              </w:tabs>
              <w:spacing w:before="182" w:line="235" w:lineRule="auto"/>
              <w:ind w:left="146"/>
              <w:rPr>
                <w:color w:val="auto"/>
                <w:sz w:val="24"/>
                <w:szCs w:val="24"/>
                <w:highlight w:val="none"/>
              </w:rPr>
            </w:pPr>
            <w:r>
              <w:rPr>
                <w:color w:val="auto"/>
                <w:sz w:val="24"/>
                <w:szCs w:val="24"/>
                <w:highlight w:val="none"/>
                <w:u w:val="single" w:color="auto"/>
              </w:rPr>
              <w:tab/>
            </w:r>
            <w:r>
              <w:rPr>
                <w:color w:val="auto"/>
                <w:spacing w:val="-107"/>
                <w:sz w:val="24"/>
                <w:szCs w:val="24"/>
                <w:highlight w:val="none"/>
              </w:rPr>
              <w:t xml:space="preserve"> </w:t>
            </w:r>
            <w:r>
              <w:rPr>
                <w:color w:val="auto"/>
                <w:spacing w:val="-4"/>
                <w:sz w:val="24"/>
                <w:szCs w:val="24"/>
                <w:highlight w:val="none"/>
              </w:rPr>
              <w:t>个月（日历天）</w:t>
            </w:r>
          </w:p>
        </w:tc>
        <w:tc>
          <w:tcPr>
            <w:tcW w:w="1248" w:type="dxa"/>
            <w:tcBorders>
              <w:right w:val="single" w:color="000000" w:sz="6" w:space="0"/>
            </w:tcBorders>
            <w:vAlign w:val="top"/>
          </w:tcPr>
          <w:p w14:paraId="69F1D948">
            <w:pPr>
              <w:rPr>
                <w:rFonts w:ascii="Arial"/>
                <w:color w:val="auto"/>
                <w:sz w:val="21"/>
                <w:highlight w:val="none"/>
              </w:rPr>
            </w:pPr>
          </w:p>
        </w:tc>
      </w:tr>
      <w:tr w14:paraId="49ABE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937" w:type="dxa"/>
            <w:tcBorders>
              <w:left w:val="single" w:color="000000" w:sz="6" w:space="0"/>
            </w:tcBorders>
            <w:vAlign w:val="top"/>
          </w:tcPr>
          <w:p w14:paraId="7789C612">
            <w:pPr>
              <w:spacing w:line="255" w:lineRule="auto"/>
              <w:rPr>
                <w:rFonts w:ascii="Arial"/>
                <w:color w:val="auto"/>
                <w:sz w:val="21"/>
                <w:highlight w:val="none"/>
              </w:rPr>
            </w:pPr>
          </w:p>
          <w:p w14:paraId="0768DCAF">
            <w:pPr>
              <w:spacing w:before="69" w:line="188" w:lineRule="auto"/>
              <w:ind w:left="40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3</w:t>
            </w:r>
          </w:p>
        </w:tc>
        <w:tc>
          <w:tcPr>
            <w:tcW w:w="2437" w:type="dxa"/>
            <w:vAlign w:val="top"/>
          </w:tcPr>
          <w:p w14:paraId="734BCFEC">
            <w:pPr>
              <w:pStyle w:val="17"/>
              <w:spacing w:before="43" w:line="220" w:lineRule="auto"/>
              <w:ind w:left="621"/>
              <w:rPr>
                <w:color w:val="auto"/>
                <w:sz w:val="24"/>
                <w:szCs w:val="24"/>
                <w:highlight w:val="none"/>
              </w:rPr>
            </w:pPr>
            <w:r>
              <w:rPr>
                <w:color w:val="auto"/>
                <w:spacing w:val="-2"/>
                <w:sz w:val="24"/>
                <w:szCs w:val="24"/>
                <w:highlight w:val="none"/>
              </w:rPr>
              <w:t>缺陷责任期</w:t>
            </w:r>
          </w:p>
          <w:p w14:paraId="3879622E">
            <w:pPr>
              <w:pStyle w:val="17"/>
              <w:spacing w:before="180" w:line="220" w:lineRule="auto"/>
              <w:ind w:left="147"/>
              <w:rPr>
                <w:color w:val="auto"/>
                <w:sz w:val="24"/>
                <w:szCs w:val="24"/>
                <w:highlight w:val="none"/>
              </w:rPr>
            </w:pPr>
            <w:r>
              <w:rPr>
                <w:color w:val="auto"/>
                <w:spacing w:val="-4"/>
                <w:sz w:val="24"/>
                <w:szCs w:val="24"/>
                <w:highlight w:val="none"/>
              </w:rPr>
              <w:t>（工程质量保修期）</w:t>
            </w:r>
          </w:p>
        </w:tc>
        <w:tc>
          <w:tcPr>
            <w:tcW w:w="1697" w:type="dxa"/>
            <w:vAlign w:val="top"/>
          </w:tcPr>
          <w:p w14:paraId="78CDC41A">
            <w:pPr>
              <w:spacing w:line="255" w:lineRule="auto"/>
              <w:rPr>
                <w:rFonts w:ascii="Arial"/>
                <w:color w:val="auto"/>
                <w:sz w:val="21"/>
                <w:highlight w:val="none"/>
              </w:rPr>
            </w:pPr>
          </w:p>
          <w:p w14:paraId="61E108D5">
            <w:pPr>
              <w:spacing w:before="69" w:line="188" w:lineRule="auto"/>
              <w:ind w:left="54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4"/>
                <w:sz w:val="24"/>
                <w:szCs w:val="24"/>
                <w:highlight w:val="none"/>
              </w:rPr>
              <w:t>1.1.4.5</w:t>
            </w:r>
          </w:p>
        </w:tc>
        <w:tc>
          <w:tcPr>
            <w:tcW w:w="2689" w:type="dxa"/>
            <w:vAlign w:val="top"/>
          </w:tcPr>
          <w:p w14:paraId="2FD83A44">
            <w:pPr>
              <w:rPr>
                <w:rFonts w:ascii="Arial"/>
                <w:color w:val="auto"/>
                <w:sz w:val="21"/>
                <w:highlight w:val="none"/>
              </w:rPr>
            </w:pPr>
          </w:p>
        </w:tc>
        <w:tc>
          <w:tcPr>
            <w:tcW w:w="1248" w:type="dxa"/>
            <w:tcBorders>
              <w:right w:val="single" w:color="000000" w:sz="6" w:space="0"/>
            </w:tcBorders>
            <w:vAlign w:val="top"/>
          </w:tcPr>
          <w:p w14:paraId="206C985A">
            <w:pPr>
              <w:rPr>
                <w:rFonts w:ascii="Arial"/>
                <w:color w:val="auto"/>
                <w:sz w:val="21"/>
                <w:highlight w:val="none"/>
              </w:rPr>
            </w:pPr>
          </w:p>
        </w:tc>
      </w:tr>
      <w:tr w14:paraId="441B9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37" w:type="dxa"/>
            <w:tcBorders>
              <w:left w:val="single" w:color="000000" w:sz="6" w:space="0"/>
            </w:tcBorders>
            <w:vAlign w:val="top"/>
          </w:tcPr>
          <w:p w14:paraId="22B6CFA3">
            <w:pPr>
              <w:spacing w:before="236" w:line="188" w:lineRule="auto"/>
              <w:ind w:left="40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4</w:t>
            </w:r>
          </w:p>
        </w:tc>
        <w:tc>
          <w:tcPr>
            <w:tcW w:w="2437" w:type="dxa"/>
            <w:vAlign w:val="top"/>
          </w:tcPr>
          <w:p w14:paraId="2B975E24">
            <w:pPr>
              <w:pStyle w:val="17"/>
              <w:spacing w:before="186" w:line="220" w:lineRule="auto"/>
              <w:ind w:left="984"/>
              <w:rPr>
                <w:color w:val="auto"/>
                <w:sz w:val="24"/>
                <w:szCs w:val="24"/>
                <w:highlight w:val="none"/>
              </w:rPr>
            </w:pPr>
            <w:r>
              <w:rPr>
                <w:color w:val="auto"/>
                <w:spacing w:val="-4"/>
                <w:sz w:val="24"/>
                <w:szCs w:val="24"/>
                <w:highlight w:val="none"/>
              </w:rPr>
              <w:t>分包</w:t>
            </w:r>
          </w:p>
        </w:tc>
        <w:tc>
          <w:tcPr>
            <w:tcW w:w="1697" w:type="dxa"/>
            <w:vAlign w:val="top"/>
          </w:tcPr>
          <w:p w14:paraId="7A5C5259">
            <w:pPr>
              <w:spacing w:before="236" w:line="188" w:lineRule="auto"/>
              <w:ind w:left="69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sz w:val="24"/>
                <w:szCs w:val="24"/>
                <w:highlight w:val="none"/>
              </w:rPr>
              <w:t>4.3</w:t>
            </w:r>
          </w:p>
        </w:tc>
        <w:tc>
          <w:tcPr>
            <w:tcW w:w="2689" w:type="dxa"/>
            <w:vAlign w:val="top"/>
          </w:tcPr>
          <w:p w14:paraId="4D0148E2">
            <w:pPr>
              <w:rPr>
                <w:rFonts w:ascii="Arial"/>
                <w:color w:val="auto"/>
                <w:sz w:val="21"/>
                <w:highlight w:val="none"/>
              </w:rPr>
            </w:pPr>
          </w:p>
        </w:tc>
        <w:tc>
          <w:tcPr>
            <w:tcW w:w="1248" w:type="dxa"/>
            <w:tcBorders>
              <w:right w:val="single" w:color="000000" w:sz="6" w:space="0"/>
            </w:tcBorders>
            <w:vAlign w:val="top"/>
          </w:tcPr>
          <w:p w14:paraId="0FFD1FC4">
            <w:pPr>
              <w:rPr>
                <w:rFonts w:ascii="Arial"/>
                <w:color w:val="auto"/>
                <w:sz w:val="21"/>
                <w:highlight w:val="none"/>
              </w:rPr>
            </w:pPr>
          </w:p>
        </w:tc>
      </w:tr>
      <w:tr w14:paraId="2FD74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37" w:type="dxa"/>
            <w:tcBorders>
              <w:left w:val="single" w:color="000000" w:sz="6" w:space="0"/>
            </w:tcBorders>
            <w:vAlign w:val="top"/>
          </w:tcPr>
          <w:p w14:paraId="5294C1C4">
            <w:pPr>
              <w:spacing w:before="242" w:line="185" w:lineRule="auto"/>
              <w:ind w:left="410"/>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5</w:t>
            </w:r>
          </w:p>
        </w:tc>
        <w:tc>
          <w:tcPr>
            <w:tcW w:w="2437" w:type="dxa"/>
            <w:vAlign w:val="top"/>
          </w:tcPr>
          <w:p w14:paraId="2C109DFD">
            <w:pPr>
              <w:pStyle w:val="17"/>
              <w:spacing w:before="188" w:line="220" w:lineRule="auto"/>
              <w:ind w:left="624"/>
              <w:rPr>
                <w:color w:val="auto"/>
                <w:sz w:val="24"/>
                <w:szCs w:val="24"/>
                <w:highlight w:val="none"/>
              </w:rPr>
            </w:pPr>
            <w:r>
              <w:rPr>
                <w:color w:val="auto"/>
                <w:spacing w:val="-2"/>
                <w:sz w:val="24"/>
                <w:szCs w:val="24"/>
                <w:highlight w:val="none"/>
              </w:rPr>
              <w:t>投标有效期</w:t>
            </w:r>
          </w:p>
        </w:tc>
        <w:tc>
          <w:tcPr>
            <w:tcW w:w="1697" w:type="dxa"/>
            <w:vAlign w:val="top"/>
          </w:tcPr>
          <w:p w14:paraId="58D2755E">
            <w:pPr>
              <w:spacing w:before="234" w:line="192" w:lineRule="auto"/>
              <w:ind w:left="81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w:t>
            </w:r>
          </w:p>
        </w:tc>
        <w:tc>
          <w:tcPr>
            <w:tcW w:w="2689" w:type="dxa"/>
            <w:vAlign w:val="top"/>
          </w:tcPr>
          <w:p w14:paraId="34A718E6">
            <w:pPr>
              <w:rPr>
                <w:rFonts w:ascii="Arial"/>
                <w:color w:val="auto"/>
                <w:sz w:val="21"/>
                <w:highlight w:val="none"/>
              </w:rPr>
            </w:pPr>
          </w:p>
        </w:tc>
        <w:tc>
          <w:tcPr>
            <w:tcW w:w="1248" w:type="dxa"/>
            <w:tcBorders>
              <w:right w:val="single" w:color="000000" w:sz="6" w:space="0"/>
            </w:tcBorders>
            <w:vAlign w:val="top"/>
          </w:tcPr>
          <w:p w14:paraId="60D7FF0D">
            <w:pPr>
              <w:rPr>
                <w:rFonts w:ascii="Arial"/>
                <w:color w:val="auto"/>
                <w:sz w:val="21"/>
                <w:highlight w:val="none"/>
              </w:rPr>
            </w:pPr>
          </w:p>
        </w:tc>
      </w:tr>
      <w:tr w14:paraId="71EE6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937" w:type="dxa"/>
            <w:tcBorders>
              <w:left w:val="single" w:color="000000" w:sz="6" w:space="0"/>
            </w:tcBorders>
            <w:vAlign w:val="top"/>
          </w:tcPr>
          <w:p w14:paraId="26FE1F6D">
            <w:pPr>
              <w:spacing w:line="311" w:lineRule="auto"/>
              <w:rPr>
                <w:rFonts w:ascii="Arial"/>
                <w:color w:val="auto"/>
                <w:sz w:val="21"/>
                <w:highlight w:val="none"/>
              </w:rPr>
            </w:pPr>
          </w:p>
          <w:p w14:paraId="67376135">
            <w:pPr>
              <w:spacing w:before="69" w:line="75" w:lineRule="exact"/>
              <w:ind w:left="24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437" w:type="dxa"/>
            <w:vAlign w:val="top"/>
          </w:tcPr>
          <w:p w14:paraId="11FE9D5E">
            <w:pPr>
              <w:spacing w:line="311" w:lineRule="auto"/>
              <w:rPr>
                <w:rFonts w:ascii="Arial"/>
                <w:color w:val="auto"/>
                <w:sz w:val="21"/>
                <w:highlight w:val="none"/>
              </w:rPr>
            </w:pPr>
          </w:p>
          <w:p w14:paraId="149EFFCF">
            <w:pPr>
              <w:spacing w:before="69" w:line="75" w:lineRule="exact"/>
              <w:ind w:left="99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697" w:type="dxa"/>
            <w:vAlign w:val="top"/>
          </w:tcPr>
          <w:p w14:paraId="7FEF6B91">
            <w:pPr>
              <w:spacing w:line="311" w:lineRule="auto"/>
              <w:rPr>
                <w:rFonts w:ascii="Arial"/>
                <w:color w:val="auto"/>
                <w:sz w:val="21"/>
                <w:highlight w:val="none"/>
              </w:rPr>
            </w:pPr>
          </w:p>
          <w:p w14:paraId="6B15C3EB">
            <w:pPr>
              <w:spacing w:before="69" w:line="75" w:lineRule="exact"/>
              <w:ind w:left="63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689" w:type="dxa"/>
            <w:vAlign w:val="top"/>
          </w:tcPr>
          <w:p w14:paraId="1ABF6ECF">
            <w:pPr>
              <w:spacing w:line="311" w:lineRule="auto"/>
              <w:rPr>
                <w:rFonts w:ascii="Arial"/>
                <w:color w:val="auto"/>
                <w:sz w:val="21"/>
                <w:highlight w:val="none"/>
              </w:rPr>
            </w:pPr>
          </w:p>
          <w:p w14:paraId="0DF3EBE9">
            <w:pPr>
              <w:spacing w:before="69" w:line="75" w:lineRule="exact"/>
              <w:ind w:left="1133"/>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248" w:type="dxa"/>
            <w:tcBorders>
              <w:right w:val="single" w:color="000000" w:sz="6" w:space="0"/>
            </w:tcBorders>
            <w:vAlign w:val="top"/>
          </w:tcPr>
          <w:p w14:paraId="52B2063F">
            <w:pPr>
              <w:rPr>
                <w:rFonts w:ascii="Arial"/>
                <w:color w:val="auto"/>
                <w:sz w:val="21"/>
                <w:highlight w:val="none"/>
              </w:rPr>
            </w:pPr>
          </w:p>
        </w:tc>
      </w:tr>
      <w:tr w14:paraId="70CE6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937" w:type="dxa"/>
            <w:tcBorders>
              <w:left w:val="single" w:color="000000" w:sz="6" w:space="0"/>
              <w:bottom w:val="single" w:color="000000" w:sz="6" w:space="0"/>
            </w:tcBorders>
            <w:vAlign w:val="top"/>
          </w:tcPr>
          <w:p w14:paraId="05416DFB">
            <w:pPr>
              <w:spacing w:line="312" w:lineRule="auto"/>
              <w:rPr>
                <w:rFonts w:ascii="Arial"/>
                <w:color w:val="auto"/>
                <w:sz w:val="21"/>
                <w:highlight w:val="none"/>
              </w:rPr>
            </w:pPr>
          </w:p>
          <w:p w14:paraId="494B19EF">
            <w:pPr>
              <w:spacing w:before="69" w:line="74" w:lineRule="exact"/>
              <w:ind w:left="24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437" w:type="dxa"/>
            <w:tcBorders>
              <w:bottom w:val="single" w:color="000000" w:sz="6" w:space="0"/>
            </w:tcBorders>
            <w:vAlign w:val="top"/>
          </w:tcPr>
          <w:p w14:paraId="561079BD">
            <w:pPr>
              <w:spacing w:line="312" w:lineRule="auto"/>
              <w:rPr>
                <w:rFonts w:ascii="Arial"/>
                <w:color w:val="auto"/>
                <w:sz w:val="21"/>
                <w:highlight w:val="none"/>
              </w:rPr>
            </w:pPr>
          </w:p>
          <w:p w14:paraId="503B07D7">
            <w:pPr>
              <w:spacing w:before="69" w:line="74" w:lineRule="exact"/>
              <w:ind w:left="99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697" w:type="dxa"/>
            <w:tcBorders>
              <w:bottom w:val="single" w:color="000000" w:sz="6" w:space="0"/>
            </w:tcBorders>
            <w:vAlign w:val="top"/>
          </w:tcPr>
          <w:p w14:paraId="2CC032DC">
            <w:pPr>
              <w:spacing w:line="312" w:lineRule="auto"/>
              <w:rPr>
                <w:rFonts w:ascii="Arial"/>
                <w:color w:val="auto"/>
                <w:sz w:val="21"/>
                <w:highlight w:val="none"/>
              </w:rPr>
            </w:pPr>
          </w:p>
          <w:p w14:paraId="3DE799F1">
            <w:pPr>
              <w:spacing w:before="69" w:line="74" w:lineRule="exact"/>
              <w:ind w:left="63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689" w:type="dxa"/>
            <w:tcBorders>
              <w:bottom w:val="single" w:color="000000" w:sz="6" w:space="0"/>
            </w:tcBorders>
            <w:vAlign w:val="top"/>
          </w:tcPr>
          <w:p w14:paraId="6161369E">
            <w:pPr>
              <w:spacing w:line="312" w:lineRule="auto"/>
              <w:rPr>
                <w:rFonts w:ascii="Arial"/>
                <w:color w:val="auto"/>
                <w:sz w:val="21"/>
                <w:highlight w:val="none"/>
              </w:rPr>
            </w:pPr>
          </w:p>
          <w:p w14:paraId="3E56C4FF">
            <w:pPr>
              <w:spacing w:before="69" w:line="74" w:lineRule="exact"/>
              <w:ind w:left="1133"/>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248" w:type="dxa"/>
            <w:tcBorders>
              <w:bottom w:val="single" w:color="000000" w:sz="6" w:space="0"/>
              <w:right w:val="single" w:color="000000" w:sz="6" w:space="0"/>
            </w:tcBorders>
            <w:vAlign w:val="top"/>
          </w:tcPr>
          <w:p w14:paraId="6CC655AF">
            <w:pPr>
              <w:rPr>
                <w:rFonts w:ascii="Arial"/>
                <w:color w:val="auto"/>
                <w:sz w:val="21"/>
                <w:highlight w:val="none"/>
              </w:rPr>
            </w:pPr>
          </w:p>
        </w:tc>
      </w:tr>
    </w:tbl>
    <w:p w14:paraId="56D67DF8">
      <w:pPr>
        <w:pStyle w:val="8"/>
        <w:rPr>
          <w:color w:val="auto"/>
          <w:highlight w:val="none"/>
        </w:rPr>
      </w:pPr>
    </w:p>
    <w:p w14:paraId="228F37D3">
      <w:pPr>
        <w:rPr>
          <w:color w:val="auto"/>
          <w:highlight w:val="none"/>
        </w:rPr>
        <w:sectPr>
          <w:footerReference r:id="rId110" w:type="default"/>
          <w:pgSz w:w="11905" w:h="16840"/>
          <w:pgMar w:top="400" w:right="1292" w:bottom="1255" w:left="1587" w:header="0" w:footer="1093" w:gutter="0"/>
          <w:pgNumType w:fmt="decimal"/>
          <w:cols w:space="720" w:num="1"/>
        </w:sectPr>
      </w:pPr>
    </w:p>
    <w:p w14:paraId="23B1A280">
      <w:pPr>
        <w:pStyle w:val="8"/>
        <w:spacing w:line="247" w:lineRule="auto"/>
        <w:rPr>
          <w:color w:val="auto"/>
          <w:highlight w:val="none"/>
        </w:rPr>
      </w:pPr>
    </w:p>
    <w:p w14:paraId="68728F7B">
      <w:pPr>
        <w:pStyle w:val="8"/>
        <w:spacing w:line="247" w:lineRule="auto"/>
        <w:rPr>
          <w:color w:val="auto"/>
          <w:highlight w:val="none"/>
        </w:rPr>
      </w:pPr>
    </w:p>
    <w:p w14:paraId="6856BF29">
      <w:pPr>
        <w:pStyle w:val="8"/>
        <w:spacing w:line="247" w:lineRule="auto"/>
        <w:rPr>
          <w:color w:val="auto"/>
          <w:highlight w:val="none"/>
        </w:rPr>
      </w:pPr>
    </w:p>
    <w:p w14:paraId="47F23998">
      <w:pPr>
        <w:pStyle w:val="8"/>
        <w:spacing w:line="248" w:lineRule="auto"/>
        <w:rPr>
          <w:color w:val="auto"/>
          <w:highlight w:val="none"/>
        </w:rPr>
      </w:pPr>
    </w:p>
    <w:p w14:paraId="045A6E38">
      <w:pPr>
        <w:spacing w:before="88" w:line="226" w:lineRule="auto"/>
        <w:ind w:left="2852"/>
        <w:outlineLvl w:val="0"/>
        <w:rPr>
          <w:rFonts w:ascii="宋体" w:hAnsi="宋体" w:eastAsia="宋体" w:cs="宋体"/>
          <w:color w:val="auto"/>
          <w:sz w:val="27"/>
          <w:szCs w:val="27"/>
          <w:highlight w:val="none"/>
        </w:rPr>
      </w:pPr>
      <w:bookmarkStart w:id="194" w:name="bookmark354"/>
      <w:bookmarkEnd w:id="194"/>
      <w:bookmarkStart w:id="195" w:name="bookmark600"/>
      <w:bookmarkEnd w:id="195"/>
      <w:bookmarkStart w:id="196" w:name="_Toc7588"/>
      <w:r>
        <w:rPr>
          <w:rFonts w:ascii="宋体" w:hAnsi="宋体" w:eastAsia="宋体" w:cs="宋体"/>
          <w:b/>
          <w:bCs/>
          <w:color w:val="auto"/>
          <w:spacing w:val="6"/>
          <w:sz w:val="27"/>
          <w:szCs w:val="27"/>
          <w:highlight w:val="none"/>
        </w:rPr>
        <w:t>二、法定代表人身份证明</w:t>
      </w:r>
      <w:bookmarkEnd w:id="196"/>
    </w:p>
    <w:p w14:paraId="3C50C1F0">
      <w:pPr>
        <w:pStyle w:val="8"/>
        <w:spacing w:line="329" w:lineRule="auto"/>
        <w:rPr>
          <w:color w:val="auto"/>
          <w:highlight w:val="none"/>
        </w:rPr>
      </w:pPr>
    </w:p>
    <w:p w14:paraId="6C85FB51">
      <w:pPr>
        <w:pStyle w:val="8"/>
        <w:spacing w:line="330" w:lineRule="auto"/>
        <w:rPr>
          <w:color w:val="auto"/>
          <w:highlight w:val="none"/>
        </w:rPr>
      </w:pPr>
    </w:p>
    <w:p w14:paraId="27638773">
      <w:pPr>
        <w:spacing w:before="78" w:line="220" w:lineRule="auto"/>
        <w:ind w:left="48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投标人名称：</w:t>
      </w:r>
      <w:r>
        <w:rPr>
          <w:rFonts w:ascii="宋体" w:hAnsi="宋体" w:eastAsia="宋体" w:cs="宋体"/>
          <w:color w:val="auto"/>
          <w:sz w:val="24"/>
          <w:szCs w:val="24"/>
          <w:highlight w:val="none"/>
          <w:u w:val="single" w:color="auto"/>
        </w:rPr>
        <w:t xml:space="preserve">                                </w:t>
      </w:r>
    </w:p>
    <w:p w14:paraId="10E95418">
      <w:pPr>
        <w:spacing w:before="180" w:line="220" w:lineRule="auto"/>
        <w:ind w:left="48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单位性质：</w:t>
      </w:r>
      <w:r>
        <w:rPr>
          <w:rFonts w:ascii="宋体" w:hAnsi="宋体" w:eastAsia="宋体" w:cs="宋体"/>
          <w:color w:val="auto"/>
          <w:sz w:val="24"/>
          <w:szCs w:val="24"/>
          <w:highlight w:val="none"/>
          <w:u w:val="single" w:color="auto"/>
        </w:rPr>
        <w:t xml:space="preserve">                                  </w:t>
      </w:r>
    </w:p>
    <w:p w14:paraId="76022646">
      <w:pPr>
        <w:spacing w:before="180" w:line="229" w:lineRule="auto"/>
        <w:ind w:left="47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地址：</w:t>
      </w:r>
      <w:r>
        <w:rPr>
          <w:rFonts w:ascii="宋体" w:hAnsi="宋体" w:eastAsia="宋体" w:cs="宋体"/>
          <w:color w:val="auto"/>
          <w:sz w:val="24"/>
          <w:szCs w:val="24"/>
          <w:highlight w:val="none"/>
          <w:u w:val="single" w:color="auto"/>
        </w:rPr>
        <w:t xml:space="preserve">                                     </w:t>
      </w:r>
    </w:p>
    <w:p w14:paraId="78CEAF6F">
      <w:pPr>
        <w:spacing w:before="168" w:line="220"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成立时间：</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8"/>
          <w:sz w:val="24"/>
          <w:szCs w:val="24"/>
          <w:highlight w:val="none"/>
        </w:rPr>
        <w:t xml:space="preserve"> </w:t>
      </w:r>
      <w:r>
        <w:rPr>
          <w:rFonts w:ascii="宋体" w:hAnsi="宋体" w:eastAsia="宋体" w:cs="宋体"/>
          <w:color w:val="auto"/>
          <w:spacing w:val="-2"/>
          <w:sz w:val="24"/>
          <w:szCs w:val="24"/>
          <w:highlight w:val="none"/>
        </w:rPr>
        <w:t>年</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2"/>
          <w:sz w:val="24"/>
          <w:szCs w:val="24"/>
          <w:highlight w:val="none"/>
        </w:rPr>
        <w:t>日</w:t>
      </w:r>
    </w:p>
    <w:p w14:paraId="72E86363">
      <w:pPr>
        <w:spacing w:before="182" w:line="220" w:lineRule="auto"/>
        <w:ind w:left="48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经营期限：</w:t>
      </w:r>
      <w:r>
        <w:rPr>
          <w:rFonts w:ascii="宋体" w:hAnsi="宋体" w:eastAsia="宋体" w:cs="宋体"/>
          <w:color w:val="auto"/>
          <w:sz w:val="24"/>
          <w:szCs w:val="24"/>
          <w:highlight w:val="none"/>
          <w:u w:val="single" w:color="auto"/>
        </w:rPr>
        <w:t xml:space="preserve">                                </w:t>
      </w:r>
    </w:p>
    <w:p w14:paraId="52AEAD5D">
      <w:pPr>
        <w:spacing w:before="181" w:line="361" w:lineRule="auto"/>
        <w:ind w:right="182" w:firstLine="47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姓名：</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1"/>
          <w:sz w:val="24"/>
          <w:szCs w:val="24"/>
          <w:highlight w:val="none"/>
        </w:rPr>
        <w:t>性别：</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
          <w:sz w:val="24"/>
          <w:szCs w:val="24"/>
          <w:highlight w:val="none"/>
        </w:rPr>
        <w:t>年龄：</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1"/>
          <w:sz w:val="24"/>
          <w:szCs w:val="24"/>
          <w:highlight w:val="none"/>
        </w:rPr>
        <w:t>身份证号码</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职务：</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1"/>
          <w:sz w:val="24"/>
          <w:szCs w:val="24"/>
          <w:highlight w:val="none"/>
        </w:rPr>
        <w:t>系</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（投标人名称）</w:t>
      </w:r>
      <w:r>
        <w:rPr>
          <w:rFonts w:ascii="宋体" w:hAnsi="宋体" w:eastAsia="宋体" w:cs="宋体"/>
          <w:color w:val="auto"/>
          <w:spacing w:val="-2"/>
          <w:sz w:val="24"/>
          <w:szCs w:val="24"/>
          <w:highlight w:val="none"/>
        </w:rPr>
        <w:t>的法定代表人。</w:t>
      </w:r>
    </w:p>
    <w:p w14:paraId="0A6D5D61">
      <w:pPr>
        <w:pStyle w:val="8"/>
        <w:spacing w:line="327" w:lineRule="auto"/>
        <w:rPr>
          <w:color w:val="auto"/>
          <w:highlight w:val="none"/>
        </w:rPr>
      </w:pPr>
    </w:p>
    <w:p w14:paraId="4190F3E8">
      <w:pPr>
        <w:spacing w:before="79" w:line="220" w:lineRule="auto"/>
        <w:ind w:left="959"/>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特此证明。</w:t>
      </w:r>
    </w:p>
    <w:p w14:paraId="2E751BE1">
      <w:pPr>
        <w:pStyle w:val="8"/>
        <w:spacing w:line="249" w:lineRule="auto"/>
        <w:rPr>
          <w:color w:val="auto"/>
          <w:highlight w:val="none"/>
        </w:rPr>
      </w:pPr>
    </w:p>
    <w:p w14:paraId="74282FD8">
      <w:pPr>
        <w:pStyle w:val="8"/>
        <w:spacing w:line="249" w:lineRule="auto"/>
        <w:rPr>
          <w:color w:val="auto"/>
          <w:highlight w:val="none"/>
        </w:rPr>
      </w:pPr>
    </w:p>
    <w:p w14:paraId="1FDB66B6">
      <w:pPr>
        <w:pStyle w:val="8"/>
        <w:spacing w:line="250" w:lineRule="auto"/>
        <w:rPr>
          <w:color w:val="auto"/>
          <w:highlight w:val="none"/>
        </w:rPr>
      </w:pPr>
    </w:p>
    <w:p w14:paraId="29758A3B">
      <w:pPr>
        <w:pStyle w:val="8"/>
        <w:spacing w:line="250" w:lineRule="auto"/>
        <w:rPr>
          <w:color w:val="auto"/>
          <w:highlight w:val="none"/>
        </w:rPr>
      </w:pPr>
    </w:p>
    <w:p w14:paraId="2E82A8BE">
      <w:pPr>
        <w:pStyle w:val="8"/>
        <w:spacing w:line="250" w:lineRule="auto"/>
        <w:rPr>
          <w:color w:val="auto"/>
          <w:highlight w:val="none"/>
        </w:rPr>
      </w:pPr>
    </w:p>
    <w:p w14:paraId="4F633825">
      <w:pPr>
        <w:pStyle w:val="8"/>
        <w:spacing w:line="250" w:lineRule="auto"/>
        <w:rPr>
          <w:color w:val="auto"/>
          <w:highlight w:val="none"/>
        </w:rPr>
      </w:pPr>
    </w:p>
    <w:p w14:paraId="41AC8883">
      <w:pPr>
        <w:pStyle w:val="8"/>
        <w:spacing w:line="250" w:lineRule="auto"/>
        <w:rPr>
          <w:color w:val="auto"/>
          <w:highlight w:val="none"/>
        </w:rPr>
      </w:pPr>
    </w:p>
    <w:p w14:paraId="4A855DC7">
      <w:pPr>
        <w:spacing w:before="78" w:line="219" w:lineRule="auto"/>
        <w:ind w:left="396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ascii="宋体" w:hAnsi="宋体" w:eastAsia="宋体" w:cs="宋体"/>
          <w:color w:val="auto"/>
          <w:spacing w:val="-3"/>
          <w:sz w:val="24"/>
          <w:szCs w:val="24"/>
          <w:highlight w:val="none"/>
        </w:rPr>
        <w:t>盖单位公章）</w:t>
      </w:r>
    </w:p>
    <w:p w14:paraId="681EC0A5">
      <w:pPr>
        <w:pStyle w:val="8"/>
        <w:spacing w:line="257" w:lineRule="auto"/>
        <w:rPr>
          <w:color w:val="auto"/>
          <w:highlight w:val="none"/>
        </w:rPr>
      </w:pPr>
    </w:p>
    <w:p w14:paraId="46E59B6E">
      <w:pPr>
        <w:pStyle w:val="8"/>
        <w:spacing w:line="257" w:lineRule="auto"/>
        <w:rPr>
          <w:color w:val="auto"/>
          <w:highlight w:val="none"/>
        </w:rPr>
      </w:pPr>
    </w:p>
    <w:p w14:paraId="2D3E5C69">
      <w:pPr>
        <w:tabs>
          <w:tab w:val="left" w:pos="5869"/>
        </w:tabs>
        <w:spacing w:before="78" w:line="220" w:lineRule="auto"/>
        <w:ind w:left="490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21569E4A">
      <w:pPr>
        <w:spacing w:line="220" w:lineRule="auto"/>
        <w:rPr>
          <w:rFonts w:ascii="宋体" w:hAnsi="宋体" w:eastAsia="宋体" w:cs="宋体"/>
          <w:color w:val="auto"/>
          <w:sz w:val="24"/>
          <w:szCs w:val="24"/>
          <w:highlight w:val="none"/>
        </w:rPr>
        <w:sectPr>
          <w:footerReference r:id="rId111" w:type="default"/>
          <w:pgSz w:w="11905" w:h="16840"/>
          <w:pgMar w:top="400" w:right="1529" w:bottom="1255" w:left="1597" w:header="0" w:footer="1093" w:gutter="0"/>
          <w:pgNumType w:fmt="decimal"/>
          <w:cols w:space="720" w:num="1"/>
        </w:sectPr>
      </w:pPr>
    </w:p>
    <w:p w14:paraId="50721208">
      <w:pPr>
        <w:pStyle w:val="8"/>
        <w:spacing w:line="247" w:lineRule="auto"/>
        <w:rPr>
          <w:color w:val="auto"/>
          <w:highlight w:val="none"/>
        </w:rPr>
      </w:pPr>
    </w:p>
    <w:p w14:paraId="0316EDD2">
      <w:pPr>
        <w:pStyle w:val="8"/>
        <w:spacing w:line="247" w:lineRule="auto"/>
        <w:rPr>
          <w:color w:val="auto"/>
          <w:highlight w:val="none"/>
        </w:rPr>
      </w:pPr>
    </w:p>
    <w:p w14:paraId="78F25BE0">
      <w:pPr>
        <w:pStyle w:val="8"/>
        <w:spacing w:line="247" w:lineRule="auto"/>
        <w:rPr>
          <w:color w:val="auto"/>
          <w:highlight w:val="none"/>
        </w:rPr>
      </w:pPr>
    </w:p>
    <w:p w14:paraId="7E9D2B75">
      <w:pPr>
        <w:pStyle w:val="8"/>
        <w:spacing w:line="248" w:lineRule="auto"/>
        <w:rPr>
          <w:color w:val="auto"/>
          <w:highlight w:val="none"/>
        </w:rPr>
      </w:pPr>
    </w:p>
    <w:p w14:paraId="0B6DCEED">
      <w:pPr>
        <w:spacing w:before="88" w:line="225" w:lineRule="auto"/>
        <w:ind w:left="3414"/>
        <w:outlineLvl w:val="0"/>
        <w:rPr>
          <w:rFonts w:ascii="宋体" w:hAnsi="宋体" w:eastAsia="宋体" w:cs="宋体"/>
          <w:color w:val="auto"/>
          <w:sz w:val="27"/>
          <w:szCs w:val="27"/>
          <w:highlight w:val="none"/>
        </w:rPr>
      </w:pPr>
      <w:bookmarkStart w:id="197" w:name="bookmark601"/>
      <w:bookmarkEnd w:id="197"/>
      <w:bookmarkStart w:id="198" w:name="bookmark355"/>
      <w:bookmarkEnd w:id="198"/>
      <w:bookmarkStart w:id="199" w:name="_Toc25750"/>
      <w:r>
        <w:rPr>
          <w:rFonts w:ascii="宋体" w:hAnsi="宋体" w:eastAsia="宋体" w:cs="宋体"/>
          <w:b/>
          <w:bCs/>
          <w:color w:val="auto"/>
          <w:spacing w:val="5"/>
          <w:sz w:val="27"/>
          <w:szCs w:val="27"/>
          <w:highlight w:val="none"/>
        </w:rPr>
        <w:t>二、授权委托书</w:t>
      </w:r>
      <w:bookmarkEnd w:id="199"/>
    </w:p>
    <w:p w14:paraId="1D0E462A">
      <w:pPr>
        <w:pStyle w:val="8"/>
        <w:spacing w:line="330" w:lineRule="auto"/>
        <w:rPr>
          <w:color w:val="auto"/>
          <w:highlight w:val="none"/>
        </w:rPr>
      </w:pPr>
    </w:p>
    <w:p w14:paraId="670238A8">
      <w:pPr>
        <w:pStyle w:val="8"/>
        <w:spacing w:line="330" w:lineRule="auto"/>
        <w:rPr>
          <w:color w:val="auto"/>
          <w:highlight w:val="none"/>
        </w:rPr>
      </w:pPr>
    </w:p>
    <w:p w14:paraId="7EC88C99">
      <w:pPr>
        <w:spacing w:before="78" w:line="359" w:lineRule="auto"/>
        <w:ind w:right="38" w:firstLine="480"/>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本人</w:t>
      </w:r>
      <w:r>
        <w:rPr>
          <w:rFonts w:ascii="宋体" w:hAnsi="宋体" w:eastAsia="宋体" w:cs="宋体"/>
          <w:color w:val="auto"/>
          <w:spacing w:val="-119"/>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（姓名）系</w:t>
      </w:r>
      <w:r>
        <w:rPr>
          <w:rFonts w:ascii="宋体" w:hAnsi="宋体" w:eastAsia="宋体" w:cs="宋体"/>
          <w:color w:val="auto"/>
          <w:spacing w:val="-96"/>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（投标人名称）的法定代表人，</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现委托</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5"/>
          <w:sz w:val="24"/>
          <w:szCs w:val="24"/>
          <w:highlight w:val="none"/>
        </w:rPr>
        <w:t>（姓名）为我方代理人。代理人根据授权， 在投标有效期</w:t>
      </w:r>
      <w:r>
        <w:rPr>
          <w:rFonts w:ascii="宋体" w:hAnsi="宋体" w:eastAsia="宋体" w:cs="宋体"/>
          <w:color w:val="auto"/>
          <w:spacing w:val="-6"/>
          <w:sz w:val="24"/>
          <w:szCs w:val="24"/>
          <w:highlight w:val="none"/>
        </w:rPr>
        <w:t>满前以</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我方名义签署、澄清、说明、补正、递交、撤回、修改</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5"/>
          <w:sz w:val="24"/>
          <w:szCs w:val="24"/>
          <w:highlight w:val="none"/>
        </w:rPr>
        <w:t>（</w:t>
      </w:r>
      <w:r>
        <w:rPr>
          <w:rFonts w:ascii="宋体" w:hAnsi="宋体" w:eastAsia="宋体" w:cs="宋体"/>
          <w:color w:val="auto"/>
          <w:spacing w:val="-6"/>
          <w:sz w:val="24"/>
          <w:szCs w:val="24"/>
          <w:highlight w:val="none"/>
        </w:rPr>
        <w:t>项目及标</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段名称</w:t>
      </w:r>
      <w:r>
        <w:rPr>
          <w:rFonts w:ascii="宋体" w:hAnsi="宋体" w:eastAsia="宋体" w:cs="宋体"/>
          <w:color w:val="auto"/>
          <w:spacing w:val="-20"/>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0"/>
          <w:sz w:val="24"/>
          <w:szCs w:val="24"/>
          <w:highlight w:val="none"/>
        </w:rPr>
        <w:t>（</w:t>
      </w:r>
      <w:r>
        <w:rPr>
          <w:rFonts w:ascii="宋体" w:hAnsi="宋体" w:eastAsia="宋体" w:cs="宋体"/>
          <w:color w:val="auto"/>
          <w:spacing w:val="-9"/>
          <w:sz w:val="24"/>
          <w:szCs w:val="24"/>
          <w:highlight w:val="none"/>
        </w:rPr>
        <w:t>标段名称）投标文件、出席开标会议、签订合同和处理</w:t>
      </w:r>
      <w:r>
        <w:rPr>
          <w:rFonts w:ascii="宋体" w:hAnsi="宋体" w:eastAsia="宋体" w:cs="宋体"/>
          <w:color w:val="auto"/>
          <w:spacing w:val="-10"/>
          <w:sz w:val="24"/>
          <w:szCs w:val="24"/>
          <w:highlight w:val="none"/>
        </w:rPr>
        <w:t>有关事宜，</w:t>
      </w:r>
      <w:r>
        <w:rPr>
          <w:rFonts w:ascii="宋体" w:hAnsi="宋体" w:eastAsia="宋体" w:cs="宋体"/>
          <w:color w:val="auto"/>
          <w:spacing w:val="1"/>
          <w:sz w:val="24"/>
          <w:szCs w:val="24"/>
          <w:highlight w:val="none"/>
        </w:rPr>
        <w:t xml:space="preserve"> </w:t>
      </w:r>
      <w:r>
        <w:rPr>
          <w:rFonts w:ascii="宋体" w:hAnsi="宋体" w:eastAsia="宋体" w:cs="宋体"/>
          <w:color w:val="auto"/>
          <w:spacing w:val="-4"/>
          <w:sz w:val="24"/>
          <w:szCs w:val="24"/>
          <w:highlight w:val="none"/>
        </w:rPr>
        <w:t>其法律后果由我方承担。</w:t>
      </w:r>
    </w:p>
    <w:p w14:paraId="7AD9E2F2">
      <w:pPr>
        <w:spacing w:line="219" w:lineRule="auto"/>
        <w:ind w:left="478"/>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代理人无转委托权。</w:t>
      </w:r>
    </w:p>
    <w:p w14:paraId="34081870">
      <w:pPr>
        <w:spacing w:before="181" w:line="219" w:lineRule="auto"/>
        <w:ind w:left="49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附：法定代表人身份证明。</w:t>
      </w:r>
    </w:p>
    <w:p w14:paraId="61F3661C">
      <w:pPr>
        <w:pStyle w:val="8"/>
        <w:spacing w:line="308" w:lineRule="auto"/>
        <w:rPr>
          <w:color w:val="auto"/>
          <w:highlight w:val="none"/>
        </w:rPr>
      </w:pPr>
    </w:p>
    <w:p w14:paraId="59478318">
      <w:pPr>
        <w:pStyle w:val="8"/>
        <w:spacing w:line="309" w:lineRule="auto"/>
        <w:rPr>
          <w:color w:val="auto"/>
          <w:highlight w:val="none"/>
        </w:rPr>
      </w:pPr>
    </w:p>
    <w:p w14:paraId="66959F42">
      <w:pPr>
        <w:pStyle w:val="8"/>
        <w:spacing w:line="309" w:lineRule="auto"/>
        <w:rPr>
          <w:color w:val="auto"/>
          <w:highlight w:val="none"/>
        </w:rPr>
      </w:pPr>
    </w:p>
    <w:p w14:paraId="0FCF9E51">
      <w:pPr>
        <w:spacing w:before="78" w:line="219" w:lineRule="auto"/>
        <w:jc w:val="right"/>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投标人</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pacing w:val="-1"/>
          <w:sz w:val="24"/>
          <w:szCs w:val="24"/>
          <w:highlight w:val="none"/>
        </w:rPr>
        <w:t>盖单位公章）</w:t>
      </w:r>
    </w:p>
    <w:p w14:paraId="28E65E98">
      <w:pPr>
        <w:pStyle w:val="8"/>
        <w:spacing w:line="257" w:lineRule="auto"/>
        <w:rPr>
          <w:color w:val="auto"/>
          <w:highlight w:val="none"/>
        </w:rPr>
      </w:pPr>
    </w:p>
    <w:p w14:paraId="3071E4E1">
      <w:pPr>
        <w:pStyle w:val="8"/>
        <w:spacing w:line="257" w:lineRule="auto"/>
        <w:rPr>
          <w:color w:val="auto"/>
          <w:highlight w:val="none"/>
        </w:rPr>
      </w:pPr>
    </w:p>
    <w:p w14:paraId="45003A7D">
      <w:pPr>
        <w:spacing w:before="79" w:line="220" w:lineRule="auto"/>
        <w:ind w:left="336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法定代表人</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ascii="宋体" w:hAnsi="宋体" w:eastAsia="宋体" w:cs="宋体"/>
          <w:color w:val="auto"/>
          <w:spacing w:val="-3"/>
          <w:sz w:val="24"/>
          <w:szCs w:val="24"/>
          <w:highlight w:val="none"/>
        </w:rPr>
        <w:t>签字）</w:t>
      </w:r>
    </w:p>
    <w:p w14:paraId="337BE2A2">
      <w:pPr>
        <w:pStyle w:val="8"/>
        <w:spacing w:line="256" w:lineRule="auto"/>
        <w:rPr>
          <w:color w:val="auto"/>
          <w:highlight w:val="none"/>
        </w:rPr>
      </w:pPr>
    </w:p>
    <w:p w14:paraId="32ECA3B8">
      <w:pPr>
        <w:pStyle w:val="8"/>
        <w:spacing w:line="257" w:lineRule="auto"/>
        <w:rPr>
          <w:color w:val="auto"/>
          <w:highlight w:val="none"/>
        </w:rPr>
      </w:pPr>
    </w:p>
    <w:p w14:paraId="3C4343F2">
      <w:pPr>
        <w:spacing w:before="78" w:line="220" w:lineRule="auto"/>
        <w:ind w:left="336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身份证号码：</w:t>
      </w:r>
      <w:r>
        <w:rPr>
          <w:rFonts w:ascii="宋体" w:hAnsi="宋体" w:eastAsia="宋体" w:cs="宋体"/>
          <w:color w:val="auto"/>
          <w:sz w:val="24"/>
          <w:szCs w:val="24"/>
          <w:highlight w:val="none"/>
          <w:u w:val="single" w:color="auto"/>
        </w:rPr>
        <w:t xml:space="preserve">                                </w:t>
      </w:r>
    </w:p>
    <w:p w14:paraId="2D52DEDD">
      <w:pPr>
        <w:pStyle w:val="8"/>
        <w:spacing w:line="256" w:lineRule="auto"/>
        <w:rPr>
          <w:color w:val="auto"/>
          <w:highlight w:val="none"/>
        </w:rPr>
      </w:pPr>
    </w:p>
    <w:p w14:paraId="2D93FDAD">
      <w:pPr>
        <w:pStyle w:val="8"/>
        <w:spacing w:line="257" w:lineRule="auto"/>
        <w:rPr>
          <w:color w:val="auto"/>
          <w:highlight w:val="none"/>
        </w:rPr>
      </w:pPr>
    </w:p>
    <w:p w14:paraId="010A8818">
      <w:pPr>
        <w:spacing w:before="79" w:line="220" w:lineRule="auto"/>
        <w:ind w:left="335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委托代理人</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签字）</w:t>
      </w:r>
    </w:p>
    <w:p w14:paraId="13E54236">
      <w:pPr>
        <w:pStyle w:val="8"/>
        <w:spacing w:line="256" w:lineRule="auto"/>
        <w:rPr>
          <w:color w:val="auto"/>
          <w:highlight w:val="none"/>
        </w:rPr>
      </w:pPr>
    </w:p>
    <w:p w14:paraId="1287B150">
      <w:pPr>
        <w:pStyle w:val="8"/>
        <w:spacing w:line="257" w:lineRule="auto"/>
        <w:rPr>
          <w:color w:val="auto"/>
          <w:highlight w:val="none"/>
        </w:rPr>
      </w:pPr>
    </w:p>
    <w:p w14:paraId="45EE626A">
      <w:pPr>
        <w:spacing w:before="79" w:line="220" w:lineRule="auto"/>
        <w:ind w:left="336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身份证号码：</w:t>
      </w:r>
      <w:r>
        <w:rPr>
          <w:rFonts w:ascii="宋体" w:hAnsi="宋体" w:eastAsia="宋体" w:cs="宋体"/>
          <w:color w:val="auto"/>
          <w:sz w:val="24"/>
          <w:szCs w:val="24"/>
          <w:highlight w:val="none"/>
          <w:u w:val="single" w:color="auto"/>
        </w:rPr>
        <w:t xml:space="preserve">                                </w:t>
      </w:r>
    </w:p>
    <w:p w14:paraId="73F55BA1">
      <w:pPr>
        <w:pStyle w:val="8"/>
        <w:spacing w:line="256" w:lineRule="auto"/>
        <w:rPr>
          <w:color w:val="auto"/>
          <w:highlight w:val="none"/>
        </w:rPr>
      </w:pPr>
    </w:p>
    <w:p w14:paraId="07DA488E">
      <w:pPr>
        <w:pStyle w:val="8"/>
        <w:spacing w:line="257" w:lineRule="auto"/>
        <w:rPr>
          <w:color w:val="auto"/>
          <w:highlight w:val="none"/>
        </w:rPr>
      </w:pPr>
    </w:p>
    <w:p w14:paraId="4781C240">
      <w:pPr>
        <w:tabs>
          <w:tab w:val="left" w:pos="5749"/>
        </w:tabs>
        <w:spacing w:before="78" w:line="220" w:lineRule="auto"/>
        <w:ind w:left="502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3B5C5879">
      <w:pPr>
        <w:pStyle w:val="8"/>
        <w:spacing w:line="267" w:lineRule="auto"/>
        <w:rPr>
          <w:color w:val="auto"/>
          <w:highlight w:val="none"/>
        </w:rPr>
      </w:pPr>
    </w:p>
    <w:p w14:paraId="56ABA871">
      <w:pPr>
        <w:pStyle w:val="8"/>
        <w:spacing w:line="267" w:lineRule="auto"/>
        <w:rPr>
          <w:color w:val="auto"/>
          <w:highlight w:val="none"/>
        </w:rPr>
      </w:pPr>
    </w:p>
    <w:p w14:paraId="7ED15C51">
      <w:pPr>
        <w:pStyle w:val="8"/>
        <w:spacing w:line="267" w:lineRule="auto"/>
        <w:rPr>
          <w:color w:val="auto"/>
          <w:highlight w:val="none"/>
        </w:rPr>
      </w:pPr>
    </w:p>
    <w:p w14:paraId="6B9A284C">
      <w:pPr>
        <w:pStyle w:val="8"/>
        <w:spacing w:line="267" w:lineRule="auto"/>
        <w:rPr>
          <w:color w:val="auto"/>
          <w:highlight w:val="none"/>
        </w:rPr>
      </w:pPr>
    </w:p>
    <w:p w14:paraId="43CE273F">
      <w:pPr>
        <w:pStyle w:val="8"/>
        <w:spacing w:line="268" w:lineRule="auto"/>
        <w:rPr>
          <w:color w:val="auto"/>
          <w:highlight w:val="none"/>
        </w:rPr>
      </w:pPr>
    </w:p>
    <w:p w14:paraId="2F21EA3E">
      <w:pPr>
        <w:spacing w:before="79" w:line="219" w:lineRule="auto"/>
        <w:ind w:left="239"/>
        <w:rPr>
          <w:rFonts w:ascii="宋体" w:hAnsi="宋体" w:eastAsia="宋体" w:cs="宋体"/>
          <w:strike/>
          <w:dstrike w:val="0"/>
          <w:color w:val="auto"/>
          <w:sz w:val="24"/>
          <w:szCs w:val="24"/>
          <w:highlight w:val="none"/>
        </w:rPr>
      </w:pPr>
      <w:r>
        <w:rPr>
          <w:rFonts w:ascii="宋体" w:hAnsi="宋体" w:eastAsia="宋体" w:cs="宋体"/>
          <w:color w:val="auto"/>
          <w:spacing w:val="-2"/>
          <w:sz w:val="24"/>
          <w:szCs w:val="24"/>
          <w:highlight w:val="none"/>
        </w:rPr>
        <w:t>注：</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、电子招投标原则上不再需要提供授权委托书。</w:t>
      </w:r>
    </w:p>
    <w:p w14:paraId="11B5D14F">
      <w:pPr>
        <w:spacing w:before="182" w:line="362" w:lineRule="auto"/>
        <w:ind w:left="1" w:right="113" w:firstLine="712"/>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、法定代表人和委托代理人均应在本授权委托书上签字，不得使用印章、签</w:t>
      </w:r>
      <w:r>
        <w:rPr>
          <w:rFonts w:ascii="宋体" w:hAnsi="宋体" w:eastAsia="宋体" w:cs="宋体"/>
          <w:color w:val="auto"/>
          <w:spacing w:val="12"/>
          <w:sz w:val="24"/>
          <w:szCs w:val="24"/>
          <w:highlight w:val="none"/>
        </w:rPr>
        <w:t xml:space="preserve"> </w:t>
      </w:r>
      <w:r>
        <w:rPr>
          <w:rFonts w:ascii="宋体" w:hAnsi="宋体" w:eastAsia="宋体" w:cs="宋体"/>
          <w:color w:val="auto"/>
          <w:spacing w:val="-4"/>
          <w:sz w:val="24"/>
          <w:szCs w:val="24"/>
          <w:highlight w:val="none"/>
        </w:rPr>
        <w:t>名章或其他电子制版签名。</w:t>
      </w:r>
    </w:p>
    <w:p w14:paraId="51744D2E">
      <w:pPr>
        <w:spacing w:line="362" w:lineRule="auto"/>
        <w:rPr>
          <w:rFonts w:ascii="宋体" w:hAnsi="宋体" w:eastAsia="宋体" w:cs="宋体"/>
          <w:color w:val="auto"/>
          <w:sz w:val="24"/>
          <w:szCs w:val="24"/>
          <w:highlight w:val="none"/>
        </w:rPr>
        <w:sectPr>
          <w:footerReference r:id="rId112" w:type="default"/>
          <w:pgSz w:w="11905" w:h="16840"/>
          <w:pgMar w:top="400" w:right="1424" w:bottom="1255" w:left="1597" w:header="0" w:footer="1093" w:gutter="0"/>
          <w:pgNumType w:fmt="decimal"/>
          <w:cols w:space="720" w:num="1"/>
        </w:sectPr>
      </w:pPr>
    </w:p>
    <w:p w14:paraId="015D346C">
      <w:pPr>
        <w:pStyle w:val="8"/>
        <w:spacing w:line="247" w:lineRule="auto"/>
        <w:rPr>
          <w:color w:val="auto"/>
          <w:highlight w:val="none"/>
        </w:rPr>
      </w:pPr>
    </w:p>
    <w:p w14:paraId="68195CEE">
      <w:pPr>
        <w:pStyle w:val="8"/>
        <w:spacing w:line="247" w:lineRule="auto"/>
        <w:rPr>
          <w:color w:val="auto"/>
          <w:highlight w:val="none"/>
        </w:rPr>
      </w:pPr>
    </w:p>
    <w:p w14:paraId="11BDBD3B">
      <w:pPr>
        <w:pStyle w:val="8"/>
        <w:spacing w:line="247" w:lineRule="auto"/>
        <w:rPr>
          <w:color w:val="auto"/>
          <w:highlight w:val="none"/>
        </w:rPr>
      </w:pPr>
    </w:p>
    <w:p w14:paraId="72E38057">
      <w:pPr>
        <w:pStyle w:val="8"/>
        <w:spacing w:line="248" w:lineRule="auto"/>
        <w:rPr>
          <w:color w:val="auto"/>
          <w:highlight w:val="none"/>
        </w:rPr>
      </w:pPr>
    </w:p>
    <w:p w14:paraId="2F4D39A1">
      <w:pPr>
        <w:spacing w:before="88" w:line="225" w:lineRule="auto"/>
        <w:ind w:left="3271"/>
        <w:outlineLvl w:val="0"/>
        <w:rPr>
          <w:rFonts w:ascii="宋体" w:hAnsi="宋体" w:eastAsia="宋体" w:cs="宋体"/>
          <w:strike/>
          <w:dstrike w:val="0"/>
          <w:color w:val="auto"/>
          <w:sz w:val="27"/>
          <w:szCs w:val="27"/>
          <w:highlight w:val="none"/>
        </w:rPr>
      </w:pPr>
      <w:bookmarkStart w:id="200" w:name="bookmark602"/>
      <w:bookmarkEnd w:id="200"/>
      <w:bookmarkStart w:id="201" w:name="bookmark356"/>
      <w:bookmarkEnd w:id="201"/>
      <w:bookmarkStart w:id="202" w:name="_Toc7790"/>
      <w:r>
        <w:rPr>
          <w:rFonts w:ascii="宋体" w:hAnsi="宋体" w:eastAsia="宋体" w:cs="宋体"/>
          <w:b/>
          <w:bCs/>
          <w:strike/>
          <w:dstrike w:val="0"/>
          <w:color w:val="auto"/>
          <w:spacing w:val="6"/>
          <w:sz w:val="27"/>
          <w:szCs w:val="27"/>
          <w:highlight w:val="none"/>
        </w:rPr>
        <w:t>三、联合体协议书</w:t>
      </w:r>
      <w:bookmarkEnd w:id="202"/>
    </w:p>
    <w:p w14:paraId="583DCD5C">
      <w:pPr>
        <w:pStyle w:val="8"/>
        <w:spacing w:line="330" w:lineRule="auto"/>
        <w:rPr>
          <w:strike/>
          <w:dstrike w:val="0"/>
          <w:color w:val="auto"/>
          <w:highlight w:val="none"/>
        </w:rPr>
      </w:pPr>
    </w:p>
    <w:p w14:paraId="01629CF1">
      <w:pPr>
        <w:pStyle w:val="8"/>
        <w:spacing w:line="330" w:lineRule="auto"/>
        <w:rPr>
          <w:strike/>
          <w:dstrike w:val="0"/>
          <w:color w:val="auto"/>
          <w:highlight w:val="none"/>
        </w:rPr>
      </w:pPr>
    </w:p>
    <w:p w14:paraId="05CB76CF">
      <w:pPr>
        <w:tabs>
          <w:tab w:val="left" w:pos="2151"/>
        </w:tabs>
        <w:spacing w:before="78" w:line="359" w:lineRule="auto"/>
        <w:ind w:right="93" w:firstLine="47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2"/>
          <w:sz w:val="24"/>
          <w:szCs w:val="24"/>
          <w:highlight w:val="none"/>
        </w:rPr>
        <w:t>（所有成员单位名称）自愿组成</w:t>
      </w:r>
      <w:r>
        <w:rPr>
          <w:rFonts w:ascii="宋体" w:hAnsi="宋体" w:eastAsia="宋体" w:cs="宋体"/>
          <w:strike/>
          <w:dstrike w:val="0"/>
          <w:color w:val="auto"/>
          <w:spacing w:val="-119"/>
          <w:sz w:val="24"/>
          <w:szCs w:val="24"/>
          <w:highlight w:val="none"/>
        </w:rPr>
        <w:t xml:space="preserve">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2"/>
          <w:sz w:val="24"/>
          <w:szCs w:val="24"/>
          <w:highlight w:val="none"/>
        </w:rPr>
        <w:t>（联合体名称</w:t>
      </w:r>
      <w:r>
        <w:rPr>
          <w:rFonts w:ascii="宋体" w:hAnsi="宋体" w:eastAsia="宋体" w:cs="宋体"/>
          <w:strike/>
          <w:dstrike w:val="0"/>
          <w:color w:val="auto"/>
          <w:spacing w:val="-20"/>
          <w:sz w:val="24"/>
          <w:szCs w:val="24"/>
          <w:highlight w:val="none"/>
        </w:rPr>
        <w:t>），</w:t>
      </w:r>
      <w:r>
        <w:rPr>
          <w:rFonts w:ascii="宋体" w:hAnsi="宋体" w:eastAsia="宋体" w:cs="宋体"/>
          <w:strike/>
          <w:dstrike w:val="0"/>
          <w:color w:val="auto"/>
          <w:spacing w:val="-2"/>
          <w:sz w:val="24"/>
          <w:szCs w:val="24"/>
          <w:highlight w:val="none"/>
        </w:rPr>
        <w:t>共</w:t>
      </w:r>
      <w:r>
        <w:rPr>
          <w:rFonts w:ascii="宋体" w:hAnsi="宋体" w:eastAsia="宋体" w:cs="宋体"/>
          <w:strike/>
          <w:dstrike w:val="0"/>
          <w:color w:val="auto"/>
          <w:sz w:val="24"/>
          <w:szCs w:val="24"/>
          <w:highlight w:val="none"/>
        </w:rPr>
        <w:t xml:space="preserve"> 同参加</w:t>
      </w:r>
      <w:r>
        <w:rPr>
          <w:rFonts w:ascii="宋体" w:hAnsi="宋体" w:eastAsia="宋体" w:cs="宋体"/>
          <w:strike/>
          <w:dstrike w:val="0"/>
          <w:color w:val="auto"/>
          <w:spacing w:val="-117"/>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z w:val="24"/>
          <w:szCs w:val="24"/>
          <w:highlight w:val="none"/>
        </w:rPr>
        <w:t>（项目名称</w:t>
      </w:r>
      <w:r>
        <w:rPr>
          <w:rFonts w:ascii="宋体" w:hAnsi="宋体" w:eastAsia="宋体" w:cs="宋体"/>
          <w:strike/>
          <w:dstrike w:val="0"/>
          <w:color w:val="auto"/>
          <w:spacing w:val="3"/>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3"/>
          <w:sz w:val="24"/>
          <w:szCs w:val="24"/>
          <w:highlight w:val="none"/>
        </w:rPr>
        <w:t>（</w:t>
      </w:r>
      <w:r>
        <w:rPr>
          <w:rFonts w:ascii="宋体" w:hAnsi="宋体" w:eastAsia="宋体" w:cs="宋体"/>
          <w:strike/>
          <w:dstrike w:val="0"/>
          <w:color w:val="auto"/>
          <w:sz w:val="24"/>
          <w:szCs w:val="24"/>
          <w:highlight w:val="none"/>
        </w:rPr>
        <w:t xml:space="preserve">标段名称）投标。现就联合体投标 </w:t>
      </w:r>
      <w:r>
        <w:rPr>
          <w:rFonts w:ascii="宋体" w:hAnsi="宋体" w:eastAsia="宋体" w:cs="宋体"/>
          <w:strike/>
          <w:dstrike w:val="0"/>
          <w:color w:val="auto"/>
          <w:spacing w:val="-5"/>
          <w:sz w:val="24"/>
          <w:szCs w:val="24"/>
          <w:highlight w:val="none"/>
        </w:rPr>
        <w:t>事宜订立如下协议。</w:t>
      </w:r>
    </w:p>
    <w:p w14:paraId="4BE5B32F">
      <w:pPr>
        <w:spacing w:before="1" w:line="218" w:lineRule="auto"/>
        <w:ind w:left="49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1.  </w:t>
      </w:r>
      <w:r>
        <w:rPr>
          <w:rFonts w:ascii="Times New Roman" w:hAnsi="Times New Roman" w:eastAsia="Times New Roman" w:cs="Times New Roman"/>
          <w:strike/>
          <w:dstrike w:val="0"/>
          <w:color w:val="auto"/>
          <w:spacing w:val="-1"/>
          <w:sz w:val="24"/>
          <w:szCs w:val="24"/>
          <w:highlight w:val="none"/>
          <w:u w:val="single" w:color="auto"/>
        </w:rPr>
        <w:t xml:space="preserve">                        </w:t>
      </w:r>
      <w:r>
        <w:rPr>
          <w:rFonts w:ascii="宋体" w:hAnsi="宋体" w:eastAsia="宋体" w:cs="宋体"/>
          <w:strike/>
          <w:dstrike w:val="0"/>
          <w:color w:val="auto"/>
          <w:spacing w:val="-1"/>
          <w:sz w:val="24"/>
          <w:szCs w:val="24"/>
          <w:highlight w:val="none"/>
        </w:rPr>
        <w:t>（某成员单位名称）为</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2"/>
          <w:sz w:val="24"/>
          <w:szCs w:val="24"/>
          <w:highlight w:val="none"/>
        </w:rPr>
        <w:t>（联合体名称）牵头人。</w:t>
      </w:r>
    </w:p>
    <w:p w14:paraId="640993C8">
      <w:pPr>
        <w:spacing w:before="180" w:line="313" w:lineRule="auto"/>
        <w:ind w:right="85" w:firstLine="476"/>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2</w:t>
      </w:r>
      <w:r>
        <w:rPr>
          <w:rFonts w:ascii="Times New Roman" w:hAnsi="Times New Roman" w:eastAsia="Times New Roman" w:cs="Times New Roman"/>
          <w:strike/>
          <w:dstrike w:val="0"/>
          <w:color w:val="auto"/>
          <w:spacing w:val="-27"/>
          <w:sz w:val="24"/>
          <w:szCs w:val="24"/>
          <w:highlight w:val="none"/>
        </w:rPr>
        <w:t xml:space="preserve"> </w:t>
      </w:r>
      <w:r>
        <w:rPr>
          <w:rFonts w:ascii="宋体" w:hAnsi="宋体" w:eastAsia="宋体" w:cs="宋体"/>
          <w:strike/>
          <w:dstrike w:val="0"/>
          <w:color w:val="auto"/>
          <w:sz w:val="24"/>
          <w:szCs w:val="24"/>
          <w:highlight w:val="none"/>
        </w:rPr>
        <w:t>．联合体牵头人合法代表联合体各成员负责本标段</w:t>
      </w:r>
      <w:r>
        <w:rPr>
          <w:rFonts w:ascii="宋体" w:hAnsi="宋体" w:eastAsia="宋体" w:cs="宋体"/>
          <w:strike/>
          <w:dstrike w:val="0"/>
          <w:color w:val="auto"/>
          <w:spacing w:val="-1"/>
          <w:sz w:val="24"/>
          <w:szCs w:val="24"/>
          <w:highlight w:val="none"/>
        </w:rPr>
        <w:t>施工招标投标文件递交和合</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6"/>
          <w:sz w:val="24"/>
          <w:szCs w:val="24"/>
          <w:highlight w:val="none"/>
        </w:rPr>
        <w:t>同谈判活动，并代表联合体提交和接受相关的资料、信息及指示， 处理与之有关的一</w:t>
      </w:r>
      <w:r>
        <w:rPr>
          <w:rFonts w:ascii="宋体" w:hAnsi="宋体" w:eastAsia="宋体" w:cs="宋体"/>
          <w:strike/>
          <w:dstrike w:val="0"/>
          <w:color w:val="auto"/>
          <w:spacing w:val="4"/>
          <w:sz w:val="24"/>
          <w:szCs w:val="24"/>
          <w:highlight w:val="none"/>
        </w:rPr>
        <w:t xml:space="preserve"> </w:t>
      </w:r>
      <w:r>
        <w:rPr>
          <w:rFonts w:ascii="宋体" w:hAnsi="宋体" w:eastAsia="宋体" w:cs="宋体"/>
          <w:strike/>
          <w:dstrike w:val="0"/>
          <w:color w:val="auto"/>
          <w:spacing w:val="-2"/>
          <w:sz w:val="24"/>
          <w:szCs w:val="24"/>
          <w:highlight w:val="none"/>
        </w:rPr>
        <w:t>切事务，并负责合同实施阶段的主办、组织和协调工作。</w:t>
      </w:r>
    </w:p>
    <w:p w14:paraId="3F7FBBF6">
      <w:pPr>
        <w:spacing w:before="182" w:line="289" w:lineRule="auto"/>
        <w:ind w:right="85" w:firstLine="480"/>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3</w:t>
      </w:r>
      <w:r>
        <w:rPr>
          <w:rFonts w:ascii="Times New Roman" w:hAnsi="Times New Roman" w:eastAsia="Times New Roman" w:cs="Times New Roman"/>
          <w:strike/>
          <w:dstrike w:val="0"/>
          <w:color w:val="auto"/>
          <w:spacing w:val="-9"/>
          <w:sz w:val="24"/>
          <w:szCs w:val="24"/>
          <w:highlight w:val="none"/>
        </w:rPr>
        <w:t xml:space="preserve"> </w:t>
      </w:r>
      <w:r>
        <w:rPr>
          <w:rFonts w:ascii="宋体" w:hAnsi="宋体" w:eastAsia="宋体" w:cs="宋体"/>
          <w:strike/>
          <w:dstrike w:val="0"/>
          <w:color w:val="auto"/>
          <w:spacing w:val="-1"/>
          <w:sz w:val="24"/>
          <w:szCs w:val="24"/>
          <w:highlight w:val="none"/>
        </w:rPr>
        <w:t>．联合体将严格按照招标文件的各项要求，编制投标文件，履行合同，并对外</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6"/>
          <w:sz w:val="24"/>
          <w:szCs w:val="24"/>
          <w:highlight w:val="none"/>
        </w:rPr>
        <w:t>承担连带责任。</w:t>
      </w:r>
    </w:p>
    <w:p w14:paraId="6028F368">
      <w:pPr>
        <w:spacing w:before="180" w:line="220" w:lineRule="auto"/>
        <w:ind w:left="47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4</w:t>
      </w:r>
      <w:r>
        <w:rPr>
          <w:rFonts w:ascii="Times New Roman" w:hAnsi="Times New Roman" w:eastAsia="Times New Roman" w:cs="Times New Roman"/>
          <w:strike/>
          <w:dstrike w:val="0"/>
          <w:color w:val="auto"/>
          <w:spacing w:val="-27"/>
          <w:sz w:val="24"/>
          <w:szCs w:val="24"/>
          <w:highlight w:val="none"/>
        </w:rPr>
        <w:t xml:space="preserve"> </w:t>
      </w:r>
      <w:r>
        <w:rPr>
          <w:rFonts w:ascii="宋体" w:hAnsi="宋体" w:eastAsia="宋体" w:cs="宋体"/>
          <w:strike/>
          <w:dstrike w:val="0"/>
          <w:color w:val="auto"/>
          <w:spacing w:val="-1"/>
          <w:sz w:val="24"/>
          <w:szCs w:val="24"/>
          <w:highlight w:val="none"/>
        </w:rPr>
        <w:t>．联合体内部各成员单位的职责分工如下：</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1"/>
          <w:sz w:val="24"/>
          <w:szCs w:val="24"/>
          <w:highlight w:val="none"/>
        </w:rPr>
        <w:t>。</w:t>
      </w:r>
    </w:p>
    <w:p w14:paraId="508F07CA">
      <w:pPr>
        <w:spacing w:before="183" w:line="219" w:lineRule="auto"/>
        <w:ind w:left="48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5</w:t>
      </w:r>
      <w:r>
        <w:rPr>
          <w:rFonts w:ascii="Times New Roman" w:hAnsi="Times New Roman" w:eastAsia="Times New Roman" w:cs="Times New Roman"/>
          <w:strike/>
          <w:dstrike w:val="0"/>
          <w:color w:val="auto"/>
          <w:spacing w:val="-25"/>
          <w:sz w:val="24"/>
          <w:szCs w:val="24"/>
          <w:highlight w:val="none"/>
        </w:rPr>
        <w:t xml:space="preserve"> </w:t>
      </w:r>
      <w:r>
        <w:rPr>
          <w:rFonts w:ascii="宋体" w:hAnsi="宋体" w:eastAsia="宋体" w:cs="宋体"/>
          <w:strike/>
          <w:dstrike w:val="0"/>
          <w:color w:val="auto"/>
          <w:spacing w:val="-3"/>
          <w:sz w:val="24"/>
          <w:szCs w:val="24"/>
          <w:highlight w:val="none"/>
        </w:rPr>
        <w:t>．本协议书自签署之日起生效，合同履行完毕后自动失效。</w:t>
      </w:r>
    </w:p>
    <w:p w14:paraId="04071DFD">
      <w:pPr>
        <w:spacing w:before="182" w:line="219" w:lineRule="auto"/>
        <w:ind w:left="48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6</w:t>
      </w:r>
      <w:r>
        <w:rPr>
          <w:rFonts w:ascii="Times New Roman" w:hAnsi="Times New Roman" w:eastAsia="Times New Roman" w:cs="Times New Roman"/>
          <w:strike/>
          <w:dstrike w:val="0"/>
          <w:color w:val="auto"/>
          <w:spacing w:val="-15"/>
          <w:sz w:val="24"/>
          <w:szCs w:val="24"/>
          <w:highlight w:val="none"/>
        </w:rPr>
        <w:t xml:space="preserve"> </w:t>
      </w:r>
      <w:r>
        <w:rPr>
          <w:rFonts w:ascii="宋体" w:hAnsi="宋体" w:eastAsia="宋体" w:cs="宋体"/>
          <w:strike/>
          <w:dstrike w:val="0"/>
          <w:color w:val="auto"/>
          <w:spacing w:val="-3"/>
          <w:sz w:val="24"/>
          <w:szCs w:val="24"/>
          <w:highlight w:val="none"/>
        </w:rPr>
        <w:t>．本协议书一式</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3"/>
          <w:sz w:val="24"/>
          <w:szCs w:val="24"/>
          <w:highlight w:val="none"/>
        </w:rPr>
        <w:t>份，联合体成员和招标人各执一份。</w:t>
      </w:r>
    </w:p>
    <w:p w14:paraId="0244DE03">
      <w:pPr>
        <w:pStyle w:val="8"/>
        <w:spacing w:line="308" w:lineRule="auto"/>
        <w:rPr>
          <w:strike/>
          <w:dstrike w:val="0"/>
          <w:color w:val="auto"/>
          <w:highlight w:val="none"/>
        </w:rPr>
      </w:pPr>
    </w:p>
    <w:p w14:paraId="0A3C5769">
      <w:pPr>
        <w:pStyle w:val="8"/>
        <w:spacing w:line="309" w:lineRule="auto"/>
        <w:rPr>
          <w:strike/>
          <w:dstrike w:val="0"/>
          <w:color w:val="auto"/>
          <w:highlight w:val="none"/>
        </w:rPr>
      </w:pPr>
    </w:p>
    <w:p w14:paraId="7D6018C0">
      <w:pPr>
        <w:pStyle w:val="8"/>
        <w:spacing w:line="309" w:lineRule="auto"/>
        <w:rPr>
          <w:strike/>
          <w:dstrike w:val="0"/>
          <w:color w:val="auto"/>
          <w:highlight w:val="none"/>
        </w:rPr>
      </w:pPr>
    </w:p>
    <w:p w14:paraId="7FB08ECE">
      <w:pPr>
        <w:spacing w:before="78" w:line="219" w:lineRule="auto"/>
        <w:ind w:left="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牵头人名称：</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
          <w:sz w:val="24"/>
          <w:szCs w:val="24"/>
          <w:highlight w:val="none"/>
        </w:rPr>
        <w:t>（盖单位公章）</w:t>
      </w:r>
    </w:p>
    <w:p w14:paraId="63CC94DB">
      <w:pPr>
        <w:spacing w:before="182" w:line="219" w:lineRule="auto"/>
        <w:ind w:left="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法定代表人或其委托代理人</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pacing w:val="-2"/>
          <w:sz w:val="24"/>
          <w:szCs w:val="24"/>
          <w:highlight w:val="none"/>
        </w:rPr>
        <w:t>签字或盖章）</w:t>
      </w:r>
    </w:p>
    <w:p w14:paraId="7417A4B1">
      <w:pPr>
        <w:pStyle w:val="8"/>
        <w:spacing w:line="257" w:lineRule="auto"/>
        <w:rPr>
          <w:strike/>
          <w:dstrike w:val="0"/>
          <w:color w:val="auto"/>
          <w:highlight w:val="none"/>
        </w:rPr>
      </w:pPr>
    </w:p>
    <w:p w14:paraId="21623554">
      <w:pPr>
        <w:pStyle w:val="8"/>
        <w:spacing w:line="257" w:lineRule="auto"/>
        <w:rPr>
          <w:strike/>
          <w:dstrike w:val="0"/>
          <w:color w:val="auto"/>
          <w:highlight w:val="none"/>
        </w:rPr>
      </w:pPr>
    </w:p>
    <w:p w14:paraId="32FAFE32">
      <w:pPr>
        <w:spacing w:before="79" w:line="219" w:lineRule="auto"/>
        <w:ind w:left="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成员一名称</w:t>
      </w:r>
      <w:r>
        <w:rPr>
          <w:rFonts w:ascii="宋体" w:hAnsi="宋体" w:eastAsia="宋体" w:cs="宋体"/>
          <w:strike/>
          <w:dstrike w:val="0"/>
          <w:color w:val="auto"/>
          <w:spacing w:val="3"/>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3"/>
          <w:sz w:val="24"/>
          <w:szCs w:val="24"/>
          <w:highlight w:val="none"/>
        </w:rPr>
        <w:t>（</w:t>
      </w:r>
      <w:r>
        <w:rPr>
          <w:rFonts w:ascii="宋体" w:hAnsi="宋体" w:eastAsia="宋体" w:cs="宋体"/>
          <w:strike/>
          <w:dstrike w:val="0"/>
          <w:color w:val="auto"/>
          <w:spacing w:val="-3"/>
          <w:sz w:val="24"/>
          <w:szCs w:val="24"/>
          <w:highlight w:val="none"/>
        </w:rPr>
        <w:t>盖单位公章）</w:t>
      </w:r>
    </w:p>
    <w:p w14:paraId="3EE6F7B3">
      <w:pPr>
        <w:spacing w:before="182" w:line="219" w:lineRule="auto"/>
        <w:ind w:left="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法定代表人或其委托代理人</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pacing w:val="-2"/>
          <w:sz w:val="24"/>
          <w:szCs w:val="24"/>
          <w:highlight w:val="none"/>
        </w:rPr>
        <w:t>签字或盖章）</w:t>
      </w:r>
    </w:p>
    <w:p w14:paraId="65100AF9">
      <w:pPr>
        <w:pStyle w:val="8"/>
        <w:spacing w:line="257" w:lineRule="auto"/>
        <w:rPr>
          <w:strike/>
          <w:dstrike w:val="0"/>
          <w:color w:val="auto"/>
          <w:highlight w:val="none"/>
        </w:rPr>
      </w:pPr>
    </w:p>
    <w:p w14:paraId="3F14A24E">
      <w:pPr>
        <w:pStyle w:val="8"/>
        <w:spacing w:line="257" w:lineRule="auto"/>
        <w:rPr>
          <w:strike/>
          <w:dstrike w:val="0"/>
          <w:color w:val="auto"/>
          <w:highlight w:val="none"/>
        </w:rPr>
      </w:pPr>
    </w:p>
    <w:p w14:paraId="33ECE778">
      <w:pPr>
        <w:spacing w:before="79" w:line="219" w:lineRule="auto"/>
        <w:ind w:left="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成员二名称：</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
          <w:sz w:val="24"/>
          <w:szCs w:val="24"/>
          <w:highlight w:val="none"/>
        </w:rPr>
        <w:t>（盖单位公章）</w:t>
      </w:r>
    </w:p>
    <w:p w14:paraId="2D82C9D9">
      <w:pPr>
        <w:spacing w:before="182" w:line="219" w:lineRule="auto"/>
        <w:ind w:left="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法定代表人或其委托代理人</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pacing w:val="-2"/>
          <w:sz w:val="24"/>
          <w:szCs w:val="24"/>
          <w:highlight w:val="none"/>
        </w:rPr>
        <w:t>签字或盖章）</w:t>
      </w:r>
    </w:p>
    <w:p w14:paraId="6EDF3ABC">
      <w:pPr>
        <w:pStyle w:val="8"/>
        <w:spacing w:line="276" w:lineRule="auto"/>
        <w:rPr>
          <w:strike/>
          <w:dstrike w:val="0"/>
          <w:color w:val="auto"/>
          <w:highlight w:val="none"/>
        </w:rPr>
      </w:pPr>
    </w:p>
    <w:p w14:paraId="7DD7E052">
      <w:pPr>
        <w:spacing w:before="70" w:line="75" w:lineRule="exact"/>
        <w:ind w:left="18"/>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pacing w:val="-7"/>
          <w:position w:val="1"/>
          <w:sz w:val="24"/>
          <w:szCs w:val="24"/>
          <w:highlight w:val="none"/>
        </w:rPr>
        <w:t>……</w:t>
      </w:r>
    </w:p>
    <w:p w14:paraId="0ED2E131">
      <w:pPr>
        <w:pStyle w:val="8"/>
        <w:spacing w:line="253" w:lineRule="auto"/>
        <w:rPr>
          <w:strike/>
          <w:dstrike w:val="0"/>
          <w:color w:val="auto"/>
          <w:highlight w:val="none"/>
        </w:rPr>
      </w:pPr>
    </w:p>
    <w:p w14:paraId="37C31FF4">
      <w:pPr>
        <w:pStyle w:val="8"/>
        <w:spacing w:line="253" w:lineRule="auto"/>
        <w:rPr>
          <w:strike/>
          <w:dstrike w:val="0"/>
          <w:color w:val="auto"/>
          <w:highlight w:val="none"/>
        </w:rPr>
      </w:pPr>
    </w:p>
    <w:p w14:paraId="0049C374">
      <w:pPr>
        <w:tabs>
          <w:tab w:val="left" w:pos="7099"/>
        </w:tabs>
        <w:spacing w:before="78" w:line="220" w:lineRule="auto"/>
        <w:ind w:left="6259"/>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9"/>
          <w:sz w:val="24"/>
          <w:szCs w:val="24"/>
          <w:highlight w:val="none"/>
        </w:rPr>
        <w:t>年</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9"/>
          <w:sz w:val="24"/>
          <w:szCs w:val="24"/>
          <w:highlight w:val="none"/>
        </w:rPr>
        <w:t>月</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9"/>
          <w:sz w:val="24"/>
          <w:szCs w:val="24"/>
          <w:highlight w:val="none"/>
        </w:rPr>
        <w:t>日</w:t>
      </w:r>
    </w:p>
    <w:p w14:paraId="1038D6A2">
      <w:pPr>
        <w:pStyle w:val="8"/>
        <w:spacing w:line="256" w:lineRule="auto"/>
        <w:rPr>
          <w:strike/>
          <w:dstrike w:val="0"/>
          <w:color w:val="auto"/>
          <w:highlight w:val="none"/>
        </w:rPr>
      </w:pPr>
    </w:p>
    <w:p w14:paraId="6AFDA5A2">
      <w:pPr>
        <w:pStyle w:val="8"/>
        <w:spacing w:line="257" w:lineRule="auto"/>
        <w:rPr>
          <w:strike/>
          <w:dstrike w:val="0"/>
          <w:color w:val="auto"/>
          <w:highlight w:val="none"/>
        </w:rPr>
      </w:pPr>
    </w:p>
    <w:p w14:paraId="0B6BAAC8">
      <w:pPr>
        <w:spacing w:before="79" w:line="219" w:lineRule="auto"/>
        <w:jc w:val="right"/>
        <w:rPr>
          <w:rFonts w:ascii="宋体" w:hAnsi="宋体" w:eastAsia="宋体" w:cs="宋体"/>
          <w:color w:val="auto"/>
          <w:sz w:val="24"/>
          <w:szCs w:val="24"/>
          <w:highlight w:val="none"/>
        </w:rPr>
      </w:pPr>
      <w:r>
        <w:rPr>
          <w:rFonts w:ascii="宋体" w:hAnsi="宋体" w:eastAsia="宋体" w:cs="宋体"/>
          <w:strike/>
          <w:dstrike w:val="0"/>
          <w:color w:val="auto"/>
          <w:spacing w:val="-1"/>
          <w:sz w:val="24"/>
          <w:szCs w:val="24"/>
          <w:highlight w:val="none"/>
        </w:rPr>
        <w:t>注：本协议书由委托代理人签字或盖章时，应附法定代表人签字的授权委托书。</w:t>
      </w:r>
    </w:p>
    <w:p w14:paraId="33D16655">
      <w:pPr>
        <w:spacing w:line="219" w:lineRule="auto"/>
        <w:rPr>
          <w:rFonts w:ascii="宋体" w:hAnsi="宋体" w:eastAsia="宋体" w:cs="宋体"/>
          <w:color w:val="auto"/>
          <w:sz w:val="24"/>
          <w:szCs w:val="24"/>
          <w:highlight w:val="none"/>
        </w:rPr>
        <w:sectPr>
          <w:footerReference r:id="rId113" w:type="default"/>
          <w:pgSz w:w="11905" w:h="16840"/>
          <w:pgMar w:top="400" w:right="1444" w:bottom="1255" w:left="1596" w:header="0" w:footer="1093" w:gutter="0"/>
          <w:pgNumType w:fmt="decimal"/>
          <w:cols w:space="720" w:num="1"/>
        </w:sectPr>
      </w:pPr>
    </w:p>
    <w:p w14:paraId="2D00FD0B">
      <w:pPr>
        <w:pStyle w:val="8"/>
        <w:spacing w:line="247" w:lineRule="auto"/>
        <w:rPr>
          <w:color w:val="auto"/>
          <w:highlight w:val="none"/>
        </w:rPr>
      </w:pPr>
    </w:p>
    <w:p w14:paraId="01D6BC0A">
      <w:pPr>
        <w:pStyle w:val="8"/>
        <w:spacing w:line="247" w:lineRule="auto"/>
        <w:rPr>
          <w:color w:val="auto"/>
          <w:highlight w:val="none"/>
        </w:rPr>
      </w:pPr>
    </w:p>
    <w:p w14:paraId="3B242A57">
      <w:pPr>
        <w:pStyle w:val="8"/>
        <w:spacing w:line="247" w:lineRule="auto"/>
        <w:rPr>
          <w:color w:val="auto"/>
          <w:highlight w:val="none"/>
        </w:rPr>
      </w:pPr>
    </w:p>
    <w:p w14:paraId="72EE8EFE">
      <w:pPr>
        <w:pStyle w:val="8"/>
        <w:spacing w:line="247" w:lineRule="auto"/>
        <w:rPr>
          <w:color w:val="auto"/>
          <w:highlight w:val="none"/>
        </w:rPr>
      </w:pPr>
    </w:p>
    <w:p w14:paraId="319D6C60">
      <w:pPr>
        <w:spacing w:before="88" w:line="227" w:lineRule="auto"/>
        <w:ind w:left="3446"/>
        <w:outlineLvl w:val="0"/>
        <w:rPr>
          <w:rFonts w:ascii="宋体" w:hAnsi="宋体" w:eastAsia="宋体" w:cs="宋体"/>
          <w:color w:val="auto"/>
          <w:sz w:val="27"/>
          <w:szCs w:val="27"/>
          <w:highlight w:val="none"/>
        </w:rPr>
      </w:pPr>
      <w:bookmarkStart w:id="203" w:name="bookmark603"/>
      <w:bookmarkEnd w:id="203"/>
      <w:bookmarkStart w:id="204" w:name="bookmark357"/>
      <w:bookmarkEnd w:id="204"/>
      <w:bookmarkStart w:id="205" w:name="_Toc22605"/>
      <w:r>
        <w:rPr>
          <w:rFonts w:ascii="宋体" w:hAnsi="宋体" w:eastAsia="宋体" w:cs="宋体"/>
          <w:b/>
          <w:bCs/>
          <w:color w:val="auto"/>
          <w:spacing w:val="2"/>
          <w:sz w:val="27"/>
          <w:szCs w:val="27"/>
          <w:highlight w:val="none"/>
        </w:rPr>
        <w:t>四、投标保证金</w:t>
      </w:r>
      <w:bookmarkEnd w:id="205"/>
    </w:p>
    <w:p w14:paraId="0F4385A2">
      <w:pPr>
        <w:pStyle w:val="8"/>
        <w:spacing w:line="247" w:lineRule="auto"/>
        <w:rPr>
          <w:color w:val="auto"/>
          <w:highlight w:val="none"/>
        </w:rPr>
      </w:pPr>
    </w:p>
    <w:p w14:paraId="7AD01376">
      <w:pPr>
        <w:tabs>
          <w:tab w:val="left" w:pos="2160"/>
        </w:tabs>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（招标人名称</w:t>
      </w:r>
      <w:r>
        <w:rPr>
          <w:rFonts w:ascii="宋体" w:hAnsi="宋体" w:eastAsia="宋体" w:cs="宋体"/>
          <w:color w:val="auto"/>
          <w:spacing w:val="-4"/>
          <w:sz w:val="24"/>
          <w:szCs w:val="24"/>
          <w:highlight w:val="none"/>
        </w:rPr>
        <w:t>）：</w:t>
      </w:r>
    </w:p>
    <w:p w14:paraId="0FD4E4D2">
      <w:pPr>
        <w:pStyle w:val="8"/>
        <w:spacing w:line="256" w:lineRule="auto"/>
        <w:rPr>
          <w:color w:val="auto"/>
          <w:highlight w:val="none"/>
        </w:rPr>
      </w:pPr>
    </w:p>
    <w:p w14:paraId="27AF130B">
      <w:pPr>
        <w:pStyle w:val="8"/>
        <w:spacing w:line="257" w:lineRule="auto"/>
        <w:rPr>
          <w:color w:val="auto"/>
          <w:highlight w:val="none"/>
        </w:rPr>
      </w:pPr>
    </w:p>
    <w:p w14:paraId="3E2467E0">
      <w:pPr>
        <w:spacing w:before="78" w:line="359" w:lineRule="auto"/>
        <w:ind w:left="8" w:firstLine="483"/>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鉴于</w:t>
      </w:r>
      <w:r>
        <w:rPr>
          <w:rFonts w:ascii="宋体" w:hAnsi="宋体" w:eastAsia="宋体" w:cs="宋体"/>
          <w:color w:val="auto"/>
          <w:spacing w:val="-119"/>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（投标人名称，以下称“投标</w:t>
      </w:r>
      <w:r>
        <w:rPr>
          <w:rFonts w:ascii="宋体" w:hAnsi="宋体" w:eastAsia="宋体" w:cs="宋体"/>
          <w:color w:val="auto"/>
          <w:spacing w:val="-3"/>
          <w:sz w:val="24"/>
          <w:szCs w:val="24"/>
          <w:highlight w:val="none"/>
        </w:rPr>
        <w:t>人”）已于</w:t>
      </w:r>
      <w:r>
        <w:rPr>
          <w:rFonts w:ascii="宋体" w:hAnsi="宋体" w:eastAsia="宋体" w:cs="宋体"/>
          <w:color w:val="auto"/>
          <w:spacing w:val="-10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3"/>
          <w:sz w:val="24"/>
          <w:szCs w:val="24"/>
          <w:highlight w:val="none"/>
        </w:rPr>
        <w:t>年</w:t>
      </w:r>
      <w:r>
        <w:rPr>
          <w:rFonts w:ascii="宋体" w:hAnsi="宋体" w:eastAsia="宋体" w:cs="宋体"/>
          <w:color w:val="auto"/>
          <w:spacing w:val="-118"/>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3"/>
          <w:sz w:val="24"/>
          <w:szCs w:val="24"/>
          <w:highlight w:val="none"/>
        </w:rPr>
        <w:t>月</w:t>
      </w:r>
      <w:r>
        <w:rPr>
          <w:rFonts w:ascii="宋体" w:hAnsi="宋体" w:eastAsia="宋体" w:cs="宋体"/>
          <w:color w:val="auto"/>
          <w:spacing w:val="-119"/>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3"/>
          <w:sz w:val="24"/>
          <w:szCs w:val="24"/>
          <w:highlight w:val="none"/>
        </w:rPr>
        <w:t>日</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参加</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
          <w:sz w:val="24"/>
          <w:szCs w:val="24"/>
          <w:highlight w:val="none"/>
        </w:rPr>
        <w:t>（项目名称）</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
          <w:sz w:val="24"/>
          <w:szCs w:val="24"/>
          <w:highlight w:val="none"/>
        </w:rPr>
        <w:t>（标段名称）的投标，</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
          <w:sz w:val="24"/>
          <w:szCs w:val="24"/>
          <w:highlight w:val="none"/>
        </w:rPr>
        <w:t>（担保</w:t>
      </w:r>
      <w:r>
        <w:rPr>
          <w:rFonts w:ascii="宋体" w:hAnsi="宋体" w:eastAsia="宋体" w:cs="宋体"/>
          <w:color w:val="auto"/>
          <w:spacing w:val="2"/>
          <w:sz w:val="24"/>
          <w:szCs w:val="24"/>
          <w:highlight w:val="none"/>
        </w:rPr>
        <w:t xml:space="preserve"> </w:t>
      </w:r>
      <w:r>
        <w:rPr>
          <w:rFonts w:ascii="宋体" w:hAnsi="宋体" w:eastAsia="宋体" w:cs="宋体"/>
          <w:color w:val="auto"/>
          <w:spacing w:val="-7"/>
          <w:sz w:val="24"/>
          <w:szCs w:val="24"/>
          <w:highlight w:val="none"/>
        </w:rPr>
        <w:t>人名称，以下简称“我方”）无条件地、不可撤</w:t>
      </w:r>
      <w:r>
        <w:rPr>
          <w:rFonts w:ascii="宋体" w:hAnsi="宋体" w:eastAsia="宋体" w:cs="宋体"/>
          <w:color w:val="auto"/>
          <w:spacing w:val="-8"/>
          <w:sz w:val="24"/>
          <w:szCs w:val="24"/>
          <w:highlight w:val="none"/>
        </w:rPr>
        <w:t>销地保证：</w:t>
      </w:r>
      <w:r>
        <w:rPr>
          <w:rFonts w:ascii="宋体" w:hAnsi="宋体" w:eastAsia="宋体" w:cs="宋体"/>
          <w:color w:val="auto"/>
          <w:spacing w:val="51"/>
          <w:sz w:val="24"/>
          <w:szCs w:val="24"/>
          <w:highlight w:val="none"/>
        </w:rPr>
        <w:t xml:space="preserve"> </w:t>
      </w:r>
      <w:r>
        <w:rPr>
          <w:rFonts w:ascii="宋体" w:hAnsi="宋体" w:eastAsia="宋体" w:cs="宋体"/>
          <w:color w:val="auto"/>
          <w:spacing w:val="-8"/>
          <w:sz w:val="24"/>
          <w:szCs w:val="24"/>
          <w:highlight w:val="none"/>
        </w:rPr>
        <w:t>投标人在规定的投标文件</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有效期内补充、修改、替代或撤回其投标文件的， 或者投标人在收到中标通知书后无</w:t>
      </w:r>
      <w:r>
        <w:rPr>
          <w:rFonts w:ascii="宋体" w:hAnsi="宋体" w:eastAsia="宋体" w:cs="宋体"/>
          <w:color w:val="auto"/>
          <w:spacing w:val="6"/>
          <w:sz w:val="24"/>
          <w:szCs w:val="24"/>
          <w:highlight w:val="none"/>
        </w:rPr>
        <w:t xml:space="preserve"> </w:t>
      </w:r>
      <w:r>
        <w:rPr>
          <w:rFonts w:ascii="宋体" w:hAnsi="宋体" w:eastAsia="宋体" w:cs="宋体"/>
          <w:color w:val="auto"/>
          <w:spacing w:val="-7"/>
          <w:sz w:val="24"/>
          <w:szCs w:val="24"/>
          <w:highlight w:val="none"/>
        </w:rPr>
        <w:t>正当理由拒签合同或拒交规定履约担保的，我方承担保证责任。收</w:t>
      </w:r>
      <w:r>
        <w:rPr>
          <w:rFonts w:ascii="宋体" w:hAnsi="宋体" w:eastAsia="宋体" w:cs="宋体"/>
          <w:color w:val="auto"/>
          <w:spacing w:val="-8"/>
          <w:sz w:val="24"/>
          <w:szCs w:val="24"/>
          <w:highlight w:val="none"/>
        </w:rPr>
        <w:t>到你方书面通知后，</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在</w:t>
      </w:r>
      <w:r>
        <w:rPr>
          <w:rFonts w:ascii="Times New Roman" w:hAnsi="Times New Roman" w:eastAsia="Times New Roman" w:cs="Times New Roman"/>
          <w:color w:val="auto"/>
          <w:spacing w:val="5"/>
          <w:sz w:val="24"/>
          <w:szCs w:val="24"/>
          <w:highlight w:val="none"/>
        </w:rPr>
        <w:t>7</w:t>
      </w:r>
      <w:r>
        <w:rPr>
          <w:rFonts w:ascii="宋体" w:hAnsi="宋体" w:eastAsia="宋体" w:cs="宋体"/>
          <w:color w:val="auto"/>
          <w:spacing w:val="5"/>
          <w:sz w:val="24"/>
          <w:szCs w:val="24"/>
          <w:highlight w:val="none"/>
        </w:rPr>
        <w:t>日内无条件向你方支付人民币（大写）</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5"/>
          <w:sz w:val="24"/>
          <w:szCs w:val="24"/>
          <w:highlight w:val="none"/>
        </w:rPr>
        <w:t>元(￥</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6"/>
          <w:sz w:val="24"/>
          <w:szCs w:val="24"/>
          <w:highlight w:val="none"/>
        </w:rPr>
        <w:t xml:space="preserve"> </w:t>
      </w:r>
      <w:r>
        <w:rPr>
          <w:rFonts w:ascii="宋体" w:hAnsi="宋体" w:eastAsia="宋体" w:cs="宋体"/>
          <w:color w:val="auto"/>
          <w:spacing w:val="5"/>
          <w:sz w:val="24"/>
          <w:szCs w:val="24"/>
          <w:highlight w:val="none"/>
        </w:rPr>
        <w:t>)。</w:t>
      </w:r>
    </w:p>
    <w:p w14:paraId="6BB3DA56">
      <w:pPr>
        <w:spacing w:line="361" w:lineRule="auto"/>
        <w:ind w:left="15" w:right="67" w:firstLine="47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本担保在投标有效期内保持有效。要求我方承担保证责任的书面通知应在投标有</w:t>
      </w:r>
      <w:r>
        <w:rPr>
          <w:rFonts w:ascii="宋体" w:hAnsi="宋体" w:eastAsia="宋体" w:cs="宋体"/>
          <w:color w:val="auto"/>
          <w:spacing w:val="1"/>
          <w:sz w:val="24"/>
          <w:szCs w:val="24"/>
          <w:highlight w:val="none"/>
        </w:rPr>
        <w:t xml:space="preserve"> </w:t>
      </w:r>
      <w:r>
        <w:rPr>
          <w:rFonts w:ascii="宋体" w:hAnsi="宋体" w:eastAsia="宋体" w:cs="宋体"/>
          <w:color w:val="auto"/>
          <w:spacing w:val="-6"/>
          <w:sz w:val="24"/>
          <w:szCs w:val="24"/>
          <w:highlight w:val="none"/>
        </w:rPr>
        <w:t>效期内送达我方。</w:t>
      </w:r>
    </w:p>
    <w:p w14:paraId="3DBD502D">
      <w:pPr>
        <w:pStyle w:val="8"/>
        <w:spacing w:line="287" w:lineRule="auto"/>
        <w:rPr>
          <w:color w:val="auto"/>
          <w:highlight w:val="none"/>
        </w:rPr>
      </w:pPr>
    </w:p>
    <w:p w14:paraId="2929B098">
      <w:pPr>
        <w:pStyle w:val="8"/>
        <w:spacing w:line="288" w:lineRule="auto"/>
        <w:rPr>
          <w:color w:val="auto"/>
          <w:highlight w:val="none"/>
        </w:rPr>
      </w:pPr>
    </w:p>
    <w:p w14:paraId="26B73D95">
      <w:pPr>
        <w:pStyle w:val="8"/>
        <w:spacing w:line="288" w:lineRule="auto"/>
        <w:rPr>
          <w:color w:val="auto"/>
          <w:highlight w:val="none"/>
        </w:rPr>
      </w:pPr>
    </w:p>
    <w:p w14:paraId="0425CFFB">
      <w:pPr>
        <w:pStyle w:val="8"/>
        <w:spacing w:line="288" w:lineRule="auto"/>
        <w:rPr>
          <w:color w:val="auto"/>
          <w:highlight w:val="none"/>
        </w:rPr>
      </w:pPr>
    </w:p>
    <w:p w14:paraId="32165369">
      <w:pPr>
        <w:spacing w:before="78" w:line="219" w:lineRule="auto"/>
        <w:ind w:left="253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担</w:t>
      </w:r>
      <w:r>
        <w:rPr>
          <w:rFonts w:ascii="宋体" w:hAnsi="宋体" w:eastAsia="宋体" w:cs="宋体"/>
          <w:color w:val="auto"/>
          <w:spacing w:val="114"/>
          <w:sz w:val="24"/>
          <w:szCs w:val="24"/>
          <w:highlight w:val="none"/>
        </w:rPr>
        <w:t xml:space="preserve"> </w:t>
      </w:r>
      <w:r>
        <w:rPr>
          <w:rFonts w:ascii="宋体" w:hAnsi="宋体" w:eastAsia="宋体" w:cs="宋体"/>
          <w:color w:val="auto"/>
          <w:spacing w:val="-5"/>
          <w:sz w:val="24"/>
          <w:szCs w:val="24"/>
          <w:highlight w:val="none"/>
        </w:rPr>
        <w:t>保</w:t>
      </w:r>
      <w:r>
        <w:rPr>
          <w:rFonts w:ascii="宋体" w:hAnsi="宋体" w:eastAsia="宋体" w:cs="宋体"/>
          <w:color w:val="auto"/>
          <w:spacing w:val="114"/>
          <w:sz w:val="24"/>
          <w:szCs w:val="24"/>
          <w:highlight w:val="none"/>
        </w:rPr>
        <w:t xml:space="preserve"> </w:t>
      </w:r>
      <w:r>
        <w:rPr>
          <w:rFonts w:ascii="宋体" w:hAnsi="宋体" w:eastAsia="宋体" w:cs="宋体"/>
          <w:color w:val="auto"/>
          <w:spacing w:val="-5"/>
          <w:sz w:val="24"/>
          <w:szCs w:val="24"/>
          <w:highlight w:val="none"/>
        </w:rPr>
        <w:t>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5"/>
          <w:sz w:val="24"/>
          <w:szCs w:val="24"/>
          <w:highlight w:val="none"/>
        </w:rPr>
        <w:t>盖单位公章）</w:t>
      </w:r>
    </w:p>
    <w:p w14:paraId="194712D1">
      <w:pPr>
        <w:spacing w:before="182" w:line="220" w:lineRule="auto"/>
        <w:ind w:left="24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法定代表人或其委托代理人</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签字）</w:t>
      </w:r>
    </w:p>
    <w:p w14:paraId="3AE7664E">
      <w:pPr>
        <w:spacing w:before="181" w:line="229" w:lineRule="auto"/>
        <w:ind w:left="2529"/>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地</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址：</w:t>
      </w:r>
      <w:r>
        <w:rPr>
          <w:rFonts w:ascii="宋体" w:hAnsi="宋体" w:eastAsia="宋体" w:cs="宋体"/>
          <w:color w:val="auto"/>
          <w:sz w:val="24"/>
          <w:szCs w:val="24"/>
          <w:highlight w:val="none"/>
          <w:u w:val="single" w:color="auto"/>
        </w:rPr>
        <w:t xml:space="preserve">                                     </w:t>
      </w:r>
    </w:p>
    <w:p w14:paraId="18C7B67E">
      <w:pPr>
        <w:spacing w:before="170" w:line="220" w:lineRule="auto"/>
        <w:ind w:left="2547"/>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邮政编码：</w:t>
      </w:r>
      <w:r>
        <w:rPr>
          <w:rFonts w:ascii="宋体" w:hAnsi="宋体" w:eastAsia="宋体" w:cs="宋体"/>
          <w:color w:val="auto"/>
          <w:sz w:val="24"/>
          <w:szCs w:val="24"/>
          <w:highlight w:val="none"/>
          <w:u w:val="single" w:color="auto"/>
        </w:rPr>
        <w:t xml:space="preserve">                 </w:t>
      </w:r>
    </w:p>
    <w:p w14:paraId="31995288">
      <w:pPr>
        <w:spacing w:before="181" w:line="222" w:lineRule="auto"/>
        <w:ind w:left="2557"/>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电</w:t>
      </w:r>
      <w:r>
        <w:rPr>
          <w:rFonts w:ascii="宋体" w:hAnsi="宋体" w:eastAsia="宋体" w:cs="宋体"/>
          <w:color w:val="auto"/>
          <w:spacing w:val="19"/>
          <w:sz w:val="24"/>
          <w:szCs w:val="24"/>
          <w:highlight w:val="none"/>
        </w:rPr>
        <w:t xml:space="preserve">     </w:t>
      </w:r>
      <w:r>
        <w:rPr>
          <w:rFonts w:ascii="宋体" w:hAnsi="宋体" w:eastAsia="宋体" w:cs="宋体"/>
          <w:color w:val="auto"/>
          <w:spacing w:val="-16"/>
          <w:sz w:val="24"/>
          <w:szCs w:val="24"/>
          <w:highlight w:val="none"/>
        </w:rPr>
        <w:t>话：</w:t>
      </w:r>
      <w:r>
        <w:rPr>
          <w:rFonts w:ascii="宋体" w:hAnsi="宋体" w:eastAsia="宋体" w:cs="宋体"/>
          <w:color w:val="auto"/>
          <w:sz w:val="24"/>
          <w:szCs w:val="24"/>
          <w:highlight w:val="none"/>
          <w:u w:val="single" w:color="auto"/>
        </w:rPr>
        <w:t xml:space="preserve">                 </w:t>
      </w:r>
    </w:p>
    <w:p w14:paraId="1E80E4FB">
      <w:pPr>
        <w:pStyle w:val="8"/>
        <w:spacing w:line="255" w:lineRule="auto"/>
        <w:rPr>
          <w:color w:val="auto"/>
          <w:highlight w:val="none"/>
        </w:rPr>
      </w:pPr>
    </w:p>
    <w:p w14:paraId="20386242">
      <w:pPr>
        <w:pStyle w:val="8"/>
        <w:spacing w:line="255" w:lineRule="auto"/>
        <w:rPr>
          <w:color w:val="auto"/>
          <w:highlight w:val="none"/>
        </w:rPr>
      </w:pPr>
    </w:p>
    <w:p w14:paraId="4C876EEC">
      <w:pPr>
        <w:tabs>
          <w:tab w:val="left" w:pos="7107"/>
        </w:tabs>
        <w:spacing w:before="79" w:line="220" w:lineRule="auto"/>
        <w:ind w:left="638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6C4ABA7B">
      <w:pPr>
        <w:pStyle w:val="8"/>
        <w:spacing w:line="308" w:lineRule="auto"/>
        <w:rPr>
          <w:color w:val="auto"/>
          <w:highlight w:val="none"/>
        </w:rPr>
      </w:pPr>
    </w:p>
    <w:p w14:paraId="6AE718D3">
      <w:pPr>
        <w:pStyle w:val="8"/>
        <w:spacing w:line="308" w:lineRule="auto"/>
        <w:rPr>
          <w:color w:val="auto"/>
          <w:highlight w:val="none"/>
        </w:rPr>
      </w:pPr>
    </w:p>
    <w:p w14:paraId="02E0ED61">
      <w:pPr>
        <w:pStyle w:val="8"/>
        <w:spacing w:line="309" w:lineRule="auto"/>
        <w:rPr>
          <w:color w:val="auto"/>
          <w:highlight w:val="none"/>
        </w:rPr>
      </w:pPr>
    </w:p>
    <w:p w14:paraId="4BAFDF84">
      <w:pPr>
        <w:spacing w:before="78" w:line="359" w:lineRule="auto"/>
        <w:ind w:left="13" w:right="76" w:firstLine="476"/>
        <w:rPr>
          <w:rFonts w:ascii="宋体" w:hAnsi="宋体" w:eastAsia="宋体" w:cs="宋体"/>
          <w:color w:val="auto"/>
          <w:sz w:val="24"/>
          <w:szCs w:val="24"/>
          <w:highlight w:val="none"/>
        </w:rPr>
      </w:pPr>
      <w:r>
        <w:rPr>
          <w:rFonts w:ascii="宋体" w:hAnsi="宋体" w:eastAsia="宋体" w:cs="宋体"/>
          <w:color w:val="auto"/>
          <w:sz w:val="24"/>
          <w:szCs w:val="24"/>
          <w:highlight w:val="none"/>
        </w:rPr>
        <w:t>注</w:t>
      </w:r>
      <w:r>
        <w:rPr>
          <w:rFonts w:ascii="Times New Roman" w:hAnsi="Times New Roman" w:eastAsia="Times New Roman" w:cs="Times New Roman"/>
          <w:color w:val="auto"/>
          <w:sz w:val="24"/>
          <w:szCs w:val="24"/>
          <w:highlight w:val="none"/>
        </w:rPr>
        <w:t>1</w:t>
      </w:r>
      <w:r>
        <w:rPr>
          <w:rFonts w:ascii="宋体" w:hAnsi="宋体" w:eastAsia="宋体" w:cs="宋体"/>
          <w:color w:val="auto"/>
          <w:sz w:val="24"/>
          <w:szCs w:val="24"/>
          <w:highlight w:val="none"/>
        </w:rPr>
        <w:t>：投标保证金通过电子招标投标交易平台在线缴纳的，应注意与相应标段进</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行关联，并在投标文件中附已成功关联的截图或凭证。</w:t>
      </w:r>
    </w:p>
    <w:p w14:paraId="51CDA47C">
      <w:pPr>
        <w:spacing w:before="1" w:line="359" w:lineRule="auto"/>
        <w:ind w:left="10" w:right="78"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注</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：投标保证金采取电汇、转账形式的，附上述票据或证明的复制件；采取担</w:t>
      </w:r>
      <w:r>
        <w:rPr>
          <w:rFonts w:ascii="宋体" w:hAnsi="宋体" w:eastAsia="宋体" w:cs="宋体"/>
          <w:color w:val="auto"/>
          <w:spacing w:val="6"/>
          <w:sz w:val="24"/>
          <w:szCs w:val="24"/>
          <w:highlight w:val="none"/>
        </w:rPr>
        <w:t xml:space="preserve"> </w:t>
      </w:r>
      <w:r>
        <w:rPr>
          <w:rFonts w:ascii="宋体" w:hAnsi="宋体" w:eastAsia="宋体" w:cs="宋体"/>
          <w:color w:val="auto"/>
          <w:spacing w:val="-4"/>
          <w:sz w:val="24"/>
          <w:szCs w:val="24"/>
          <w:highlight w:val="none"/>
        </w:rPr>
        <w:t>保的，应采用上述格式。</w:t>
      </w:r>
    </w:p>
    <w:p w14:paraId="682B7C4C">
      <w:pPr>
        <w:spacing w:before="1" w:line="218" w:lineRule="auto"/>
        <w:ind w:left="48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注</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：委托代理人签字的应附授权委托书。</w:t>
      </w:r>
    </w:p>
    <w:p w14:paraId="08609EB1">
      <w:pPr>
        <w:spacing w:line="218" w:lineRule="auto"/>
        <w:rPr>
          <w:rFonts w:ascii="宋体" w:hAnsi="宋体" w:eastAsia="宋体" w:cs="宋体"/>
          <w:color w:val="auto"/>
          <w:sz w:val="24"/>
          <w:szCs w:val="24"/>
          <w:highlight w:val="none"/>
        </w:rPr>
        <w:sectPr>
          <w:footerReference r:id="rId114" w:type="default"/>
          <w:pgSz w:w="11905" w:h="16840"/>
          <w:pgMar w:top="400" w:right="1461" w:bottom="1255" w:left="1587" w:header="0" w:footer="1093" w:gutter="0"/>
          <w:pgNumType w:fmt="decimal"/>
          <w:cols w:space="720" w:num="1"/>
        </w:sectPr>
      </w:pPr>
    </w:p>
    <w:p w14:paraId="258BBBED">
      <w:pPr>
        <w:pStyle w:val="8"/>
        <w:spacing w:line="247" w:lineRule="auto"/>
        <w:rPr>
          <w:color w:val="auto"/>
          <w:highlight w:val="none"/>
        </w:rPr>
      </w:pPr>
    </w:p>
    <w:p w14:paraId="5DDF220D">
      <w:pPr>
        <w:pStyle w:val="8"/>
        <w:spacing w:line="247" w:lineRule="auto"/>
        <w:rPr>
          <w:color w:val="auto"/>
          <w:highlight w:val="none"/>
        </w:rPr>
      </w:pPr>
    </w:p>
    <w:p w14:paraId="03ADB5AF">
      <w:pPr>
        <w:pStyle w:val="8"/>
        <w:spacing w:line="247" w:lineRule="auto"/>
        <w:rPr>
          <w:color w:val="auto"/>
          <w:highlight w:val="none"/>
        </w:rPr>
      </w:pPr>
    </w:p>
    <w:p w14:paraId="27FC186F">
      <w:pPr>
        <w:pStyle w:val="8"/>
        <w:spacing w:line="247" w:lineRule="auto"/>
        <w:rPr>
          <w:color w:val="auto"/>
          <w:highlight w:val="none"/>
        </w:rPr>
      </w:pPr>
    </w:p>
    <w:p w14:paraId="66FCD446">
      <w:pPr>
        <w:spacing w:before="88" w:line="225" w:lineRule="auto"/>
        <w:ind w:left="2805"/>
        <w:outlineLvl w:val="0"/>
        <w:rPr>
          <w:rFonts w:ascii="宋体" w:hAnsi="宋体" w:eastAsia="宋体" w:cs="宋体"/>
          <w:color w:val="auto"/>
          <w:sz w:val="27"/>
          <w:szCs w:val="27"/>
          <w:highlight w:val="none"/>
        </w:rPr>
      </w:pPr>
      <w:bookmarkStart w:id="206" w:name="bookmark358"/>
      <w:bookmarkEnd w:id="206"/>
      <w:bookmarkStart w:id="207" w:name="_Toc31278"/>
      <w:r>
        <w:rPr>
          <w:rFonts w:ascii="宋体" w:hAnsi="宋体" w:eastAsia="宋体" w:cs="宋体"/>
          <w:b/>
          <w:bCs/>
          <w:color w:val="auto"/>
          <w:spacing w:val="6"/>
          <w:sz w:val="27"/>
          <w:szCs w:val="27"/>
          <w:highlight w:val="none"/>
        </w:rPr>
        <w:t>五、已标价工程量清单</w:t>
      </w:r>
      <w:bookmarkEnd w:id="207"/>
    </w:p>
    <w:p w14:paraId="6612A969">
      <w:pPr>
        <w:spacing w:line="225" w:lineRule="auto"/>
        <w:rPr>
          <w:rFonts w:ascii="宋体" w:hAnsi="宋体" w:eastAsia="宋体" w:cs="宋体"/>
          <w:color w:val="auto"/>
          <w:sz w:val="27"/>
          <w:szCs w:val="27"/>
          <w:highlight w:val="none"/>
        </w:rPr>
        <w:sectPr>
          <w:footerReference r:id="rId115" w:type="default"/>
          <w:pgSz w:w="11905" w:h="16840"/>
          <w:pgMar w:top="400" w:right="1529" w:bottom="1255" w:left="1785" w:header="0" w:footer="1093" w:gutter="0"/>
          <w:pgNumType w:fmt="decimal"/>
          <w:cols w:space="720" w:num="1"/>
        </w:sectPr>
      </w:pPr>
    </w:p>
    <w:p w14:paraId="41CE8BE0">
      <w:pPr>
        <w:pStyle w:val="8"/>
        <w:spacing w:line="259" w:lineRule="auto"/>
        <w:rPr>
          <w:color w:val="auto"/>
          <w:highlight w:val="none"/>
        </w:rPr>
      </w:pPr>
    </w:p>
    <w:p w14:paraId="4C126753">
      <w:pPr>
        <w:pStyle w:val="8"/>
        <w:spacing w:line="259" w:lineRule="auto"/>
        <w:rPr>
          <w:color w:val="auto"/>
          <w:highlight w:val="none"/>
        </w:rPr>
      </w:pPr>
    </w:p>
    <w:p w14:paraId="7BFA7AF3">
      <w:pPr>
        <w:pStyle w:val="8"/>
        <w:spacing w:line="259" w:lineRule="auto"/>
        <w:rPr>
          <w:color w:val="auto"/>
          <w:highlight w:val="none"/>
        </w:rPr>
      </w:pPr>
    </w:p>
    <w:p w14:paraId="1969715A">
      <w:pPr>
        <w:pStyle w:val="8"/>
        <w:spacing w:line="259" w:lineRule="auto"/>
        <w:rPr>
          <w:color w:val="auto"/>
          <w:highlight w:val="none"/>
        </w:rPr>
      </w:pPr>
    </w:p>
    <w:p w14:paraId="6A1266CB">
      <w:pPr>
        <w:pStyle w:val="8"/>
        <w:spacing w:line="259" w:lineRule="auto"/>
        <w:rPr>
          <w:color w:val="auto"/>
          <w:highlight w:val="none"/>
        </w:rPr>
      </w:pPr>
    </w:p>
    <w:p w14:paraId="1A036095">
      <w:pPr>
        <w:pStyle w:val="8"/>
        <w:spacing w:line="260" w:lineRule="auto"/>
        <w:rPr>
          <w:color w:val="auto"/>
          <w:highlight w:val="none"/>
        </w:rPr>
      </w:pPr>
    </w:p>
    <w:p w14:paraId="1365D062">
      <w:pPr>
        <w:pStyle w:val="8"/>
        <w:spacing w:line="260" w:lineRule="auto"/>
        <w:rPr>
          <w:color w:val="auto"/>
          <w:highlight w:val="none"/>
        </w:rPr>
      </w:pPr>
    </w:p>
    <w:p w14:paraId="09BBC197">
      <w:pPr>
        <w:tabs>
          <w:tab w:val="left" w:pos="3712"/>
        </w:tabs>
        <w:spacing w:before="78" w:line="220" w:lineRule="auto"/>
        <w:ind w:left="309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3"/>
          <w:sz w:val="24"/>
          <w:szCs w:val="24"/>
          <w:highlight w:val="none"/>
          <w:u w:val="single" w:color="auto"/>
        </w:rPr>
        <w:t>（项目名称及标段名称）</w:t>
      </w:r>
      <w:r>
        <w:rPr>
          <w:rFonts w:ascii="宋体" w:hAnsi="宋体" w:eastAsia="宋体" w:cs="宋体"/>
          <w:color w:val="auto"/>
          <w:spacing w:val="1"/>
          <w:sz w:val="24"/>
          <w:szCs w:val="24"/>
          <w:highlight w:val="none"/>
          <w:u w:val="single" w:color="auto"/>
        </w:rPr>
        <w:t xml:space="preserve">    </w:t>
      </w:r>
    </w:p>
    <w:p w14:paraId="7C57F7C7">
      <w:pPr>
        <w:pStyle w:val="8"/>
        <w:spacing w:line="260" w:lineRule="auto"/>
        <w:rPr>
          <w:color w:val="auto"/>
          <w:highlight w:val="none"/>
        </w:rPr>
      </w:pPr>
    </w:p>
    <w:p w14:paraId="075F043D">
      <w:pPr>
        <w:pStyle w:val="8"/>
        <w:spacing w:line="260" w:lineRule="auto"/>
        <w:rPr>
          <w:color w:val="auto"/>
          <w:highlight w:val="none"/>
        </w:rPr>
      </w:pPr>
    </w:p>
    <w:p w14:paraId="768BA112">
      <w:pPr>
        <w:pStyle w:val="8"/>
        <w:spacing w:line="260" w:lineRule="auto"/>
        <w:rPr>
          <w:color w:val="auto"/>
          <w:highlight w:val="none"/>
        </w:rPr>
      </w:pPr>
    </w:p>
    <w:p w14:paraId="4D623E9E">
      <w:pPr>
        <w:pStyle w:val="8"/>
        <w:spacing w:line="260" w:lineRule="auto"/>
        <w:rPr>
          <w:color w:val="auto"/>
          <w:highlight w:val="none"/>
        </w:rPr>
      </w:pPr>
    </w:p>
    <w:p w14:paraId="7CFA508E">
      <w:pPr>
        <w:pStyle w:val="8"/>
        <w:spacing w:line="260" w:lineRule="auto"/>
        <w:rPr>
          <w:color w:val="auto"/>
          <w:highlight w:val="none"/>
        </w:rPr>
      </w:pPr>
    </w:p>
    <w:p w14:paraId="087E2AA2">
      <w:pPr>
        <w:spacing w:before="143" w:line="222" w:lineRule="auto"/>
        <w:ind w:left="2917"/>
        <w:outlineLvl w:val="1"/>
        <w:rPr>
          <w:rFonts w:ascii="黑体" w:hAnsi="黑体" w:eastAsia="黑体" w:cs="黑体"/>
          <w:color w:val="auto"/>
          <w:sz w:val="44"/>
          <w:szCs w:val="44"/>
          <w:highlight w:val="none"/>
        </w:rPr>
      </w:pPr>
      <w:bookmarkStart w:id="208" w:name="_Toc21759"/>
      <w:r>
        <w:rPr>
          <w:rFonts w:ascii="黑体" w:hAnsi="黑体" w:eastAsia="黑体" w:cs="黑体"/>
          <w:color w:val="auto"/>
          <w:spacing w:val="-3"/>
          <w:sz w:val="44"/>
          <w:szCs w:val="44"/>
          <w:highlight w:val="none"/>
        </w:rPr>
        <w:t>工程量清单报价表</w:t>
      </w:r>
      <w:bookmarkEnd w:id="208"/>
    </w:p>
    <w:p w14:paraId="376E1B99">
      <w:pPr>
        <w:pStyle w:val="8"/>
        <w:spacing w:line="249" w:lineRule="auto"/>
        <w:rPr>
          <w:color w:val="auto"/>
          <w:highlight w:val="none"/>
        </w:rPr>
      </w:pPr>
    </w:p>
    <w:p w14:paraId="79497566">
      <w:pPr>
        <w:pStyle w:val="8"/>
        <w:spacing w:line="249" w:lineRule="auto"/>
        <w:rPr>
          <w:color w:val="auto"/>
          <w:highlight w:val="none"/>
        </w:rPr>
      </w:pPr>
    </w:p>
    <w:p w14:paraId="0A8C8068">
      <w:pPr>
        <w:pStyle w:val="8"/>
        <w:spacing w:line="249" w:lineRule="auto"/>
        <w:rPr>
          <w:color w:val="auto"/>
          <w:highlight w:val="none"/>
        </w:rPr>
      </w:pPr>
    </w:p>
    <w:p w14:paraId="7B03345F">
      <w:pPr>
        <w:pStyle w:val="8"/>
        <w:spacing w:line="249" w:lineRule="auto"/>
        <w:rPr>
          <w:color w:val="auto"/>
          <w:highlight w:val="none"/>
        </w:rPr>
      </w:pPr>
    </w:p>
    <w:p w14:paraId="07695869">
      <w:pPr>
        <w:pStyle w:val="8"/>
        <w:spacing w:line="249" w:lineRule="auto"/>
        <w:rPr>
          <w:color w:val="auto"/>
          <w:highlight w:val="none"/>
        </w:rPr>
      </w:pPr>
    </w:p>
    <w:p w14:paraId="22040943">
      <w:pPr>
        <w:pStyle w:val="8"/>
        <w:spacing w:line="249" w:lineRule="auto"/>
        <w:rPr>
          <w:color w:val="auto"/>
          <w:highlight w:val="none"/>
        </w:rPr>
      </w:pPr>
    </w:p>
    <w:p w14:paraId="7DC409CB">
      <w:pPr>
        <w:pStyle w:val="8"/>
        <w:spacing w:line="249" w:lineRule="auto"/>
        <w:rPr>
          <w:color w:val="auto"/>
          <w:highlight w:val="none"/>
        </w:rPr>
      </w:pPr>
    </w:p>
    <w:p w14:paraId="166A3A5E">
      <w:pPr>
        <w:pStyle w:val="8"/>
        <w:spacing w:line="249" w:lineRule="auto"/>
        <w:rPr>
          <w:color w:val="auto"/>
          <w:highlight w:val="none"/>
        </w:rPr>
      </w:pPr>
    </w:p>
    <w:p w14:paraId="2AD9548B">
      <w:pPr>
        <w:pStyle w:val="8"/>
        <w:spacing w:line="249" w:lineRule="auto"/>
        <w:rPr>
          <w:color w:val="auto"/>
          <w:highlight w:val="none"/>
        </w:rPr>
      </w:pPr>
    </w:p>
    <w:p w14:paraId="7FC7A6A7">
      <w:pPr>
        <w:pStyle w:val="8"/>
        <w:spacing w:line="250" w:lineRule="auto"/>
        <w:rPr>
          <w:color w:val="auto"/>
          <w:highlight w:val="none"/>
        </w:rPr>
      </w:pPr>
    </w:p>
    <w:p w14:paraId="11121EEC">
      <w:pPr>
        <w:pStyle w:val="8"/>
        <w:spacing w:line="250" w:lineRule="auto"/>
        <w:rPr>
          <w:color w:val="auto"/>
          <w:highlight w:val="none"/>
        </w:rPr>
      </w:pPr>
    </w:p>
    <w:p w14:paraId="357B1DDF">
      <w:pPr>
        <w:pStyle w:val="8"/>
        <w:spacing w:line="250" w:lineRule="auto"/>
        <w:rPr>
          <w:color w:val="auto"/>
          <w:highlight w:val="none"/>
        </w:rPr>
      </w:pPr>
    </w:p>
    <w:p w14:paraId="6DEE15DA">
      <w:pPr>
        <w:pStyle w:val="8"/>
        <w:spacing w:line="250" w:lineRule="auto"/>
        <w:rPr>
          <w:color w:val="auto"/>
          <w:highlight w:val="none"/>
        </w:rPr>
      </w:pPr>
    </w:p>
    <w:p w14:paraId="75EAF921">
      <w:pPr>
        <w:pStyle w:val="8"/>
        <w:spacing w:line="250" w:lineRule="auto"/>
        <w:rPr>
          <w:color w:val="auto"/>
          <w:highlight w:val="none"/>
        </w:rPr>
      </w:pPr>
    </w:p>
    <w:p w14:paraId="7F5338EB">
      <w:pPr>
        <w:pStyle w:val="8"/>
        <w:spacing w:line="250" w:lineRule="auto"/>
        <w:rPr>
          <w:color w:val="auto"/>
          <w:highlight w:val="none"/>
        </w:rPr>
      </w:pPr>
    </w:p>
    <w:p w14:paraId="4006D7C4">
      <w:pPr>
        <w:pStyle w:val="8"/>
        <w:spacing w:line="250" w:lineRule="auto"/>
        <w:rPr>
          <w:color w:val="auto"/>
          <w:highlight w:val="none"/>
        </w:rPr>
      </w:pPr>
    </w:p>
    <w:p w14:paraId="1D02360D">
      <w:pPr>
        <w:pStyle w:val="8"/>
        <w:spacing w:line="250" w:lineRule="auto"/>
        <w:rPr>
          <w:color w:val="auto"/>
          <w:highlight w:val="none"/>
        </w:rPr>
      </w:pPr>
    </w:p>
    <w:p w14:paraId="391270B2">
      <w:pPr>
        <w:spacing w:before="78" w:line="388" w:lineRule="auto"/>
        <w:ind w:left="6" w:right="1045" w:firstLine="1"/>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投</w:t>
      </w:r>
      <w:r>
        <w:rPr>
          <w:rFonts w:ascii="宋体" w:hAnsi="宋体" w:eastAsia="宋体" w:cs="宋体"/>
          <w:color w:val="auto"/>
          <w:spacing w:val="20"/>
          <w:sz w:val="24"/>
          <w:szCs w:val="24"/>
          <w:highlight w:val="none"/>
        </w:rPr>
        <w:t xml:space="preserve">    </w:t>
      </w:r>
      <w:r>
        <w:rPr>
          <w:rFonts w:ascii="宋体" w:hAnsi="宋体" w:eastAsia="宋体" w:cs="宋体"/>
          <w:color w:val="auto"/>
          <w:spacing w:val="-5"/>
          <w:sz w:val="24"/>
          <w:szCs w:val="24"/>
          <w:highlight w:val="none"/>
        </w:rPr>
        <w:t>标</w:t>
      </w:r>
      <w:r>
        <w:rPr>
          <w:rFonts w:ascii="宋体" w:hAnsi="宋体" w:eastAsia="宋体" w:cs="宋体"/>
          <w:color w:val="auto"/>
          <w:spacing w:val="21"/>
          <w:sz w:val="24"/>
          <w:szCs w:val="24"/>
          <w:highlight w:val="none"/>
        </w:rPr>
        <w:t xml:space="preserve">    </w:t>
      </w:r>
      <w:r>
        <w:rPr>
          <w:rFonts w:ascii="宋体" w:hAnsi="宋体" w:eastAsia="宋体" w:cs="宋体"/>
          <w:color w:val="auto"/>
          <w:spacing w:val="-5"/>
          <w:sz w:val="24"/>
          <w:szCs w:val="24"/>
          <w:highlight w:val="none"/>
        </w:rPr>
        <w:t>人</w:t>
      </w:r>
      <w:r>
        <w:rPr>
          <w:rFonts w:ascii="宋体" w:hAnsi="宋体" w:eastAsia="宋体" w:cs="宋体"/>
          <w:color w:val="auto"/>
          <w:spacing w:val="47"/>
          <w:sz w:val="24"/>
          <w:szCs w:val="24"/>
          <w:highlight w:val="none"/>
        </w:rPr>
        <w:t xml:space="preserve"> </w:t>
      </w:r>
      <w:r>
        <w:rPr>
          <w:rFonts w:ascii="宋体" w:hAnsi="宋体" w:eastAsia="宋体" w:cs="宋体"/>
          <w:color w:val="auto"/>
          <w:spacing w:val="-6"/>
          <w:sz w:val="24"/>
          <w:szCs w:val="24"/>
          <w:highlight w:val="none"/>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b/>
          <w:bCs/>
          <w:color w:val="auto"/>
          <w:spacing w:val="-6"/>
          <w:sz w:val="24"/>
          <w:szCs w:val="24"/>
          <w:highlight w:val="none"/>
          <w:u w:val="single" w:color="auto"/>
        </w:rPr>
        <w:t>（</w:t>
      </w:r>
      <w:r>
        <w:rPr>
          <w:rFonts w:ascii="宋体" w:hAnsi="宋体" w:eastAsia="宋体" w:cs="宋体"/>
          <w:b/>
          <w:bCs/>
          <w:color w:val="auto"/>
          <w:spacing w:val="-5"/>
          <w:sz w:val="24"/>
          <w:szCs w:val="24"/>
          <w:highlight w:val="none"/>
          <w:u w:val="single" w:color="auto"/>
        </w:rPr>
        <w:t>全称</w:t>
      </w:r>
      <w:r>
        <w:rPr>
          <w:rFonts w:ascii="宋体" w:hAnsi="宋体" w:eastAsia="宋体" w:cs="宋体"/>
          <w:b/>
          <w:bCs/>
          <w:color w:val="auto"/>
          <w:spacing w:val="-6"/>
          <w:sz w:val="24"/>
          <w:szCs w:val="24"/>
          <w:highlight w:val="none"/>
          <w:u w:val="single" w:color="auto"/>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91"/>
          <w:sz w:val="24"/>
          <w:szCs w:val="24"/>
          <w:highlight w:val="none"/>
        </w:rPr>
        <w:t xml:space="preserve"> </w:t>
      </w:r>
      <w:r>
        <w:rPr>
          <w:rFonts w:ascii="宋体" w:hAnsi="宋体" w:eastAsia="宋体" w:cs="宋体"/>
          <w:color w:val="auto"/>
          <w:spacing w:val="-6"/>
          <w:sz w:val="24"/>
          <w:szCs w:val="24"/>
          <w:highlight w:val="none"/>
        </w:rPr>
        <w:t>（</w:t>
      </w:r>
      <w:r>
        <w:rPr>
          <w:rFonts w:ascii="宋体" w:hAnsi="宋体" w:eastAsia="宋体" w:cs="宋体"/>
          <w:color w:val="auto"/>
          <w:spacing w:val="-5"/>
          <w:sz w:val="24"/>
          <w:szCs w:val="24"/>
          <w:highlight w:val="none"/>
        </w:rPr>
        <w:t>盖单位公章）</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法</w:t>
      </w:r>
      <w:r>
        <w:rPr>
          <w:rFonts w:ascii="宋体" w:hAnsi="宋体" w:eastAsia="宋体" w:cs="宋体"/>
          <w:color w:val="auto"/>
          <w:spacing w:val="-30"/>
          <w:sz w:val="24"/>
          <w:szCs w:val="24"/>
          <w:highlight w:val="none"/>
        </w:rPr>
        <w:t xml:space="preserve"> </w:t>
      </w:r>
      <w:r>
        <w:rPr>
          <w:rFonts w:ascii="宋体" w:hAnsi="宋体" w:eastAsia="宋体" w:cs="宋体"/>
          <w:color w:val="auto"/>
          <w:spacing w:val="-9"/>
          <w:sz w:val="24"/>
          <w:szCs w:val="24"/>
          <w:highlight w:val="none"/>
        </w:rPr>
        <w:t>定</w:t>
      </w:r>
      <w:r>
        <w:rPr>
          <w:rFonts w:ascii="宋体" w:hAnsi="宋体" w:eastAsia="宋体" w:cs="宋体"/>
          <w:color w:val="auto"/>
          <w:spacing w:val="-36"/>
          <w:sz w:val="24"/>
          <w:szCs w:val="24"/>
          <w:highlight w:val="none"/>
        </w:rPr>
        <w:t xml:space="preserve"> </w:t>
      </w:r>
      <w:r>
        <w:rPr>
          <w:rFonts w:ascii="宋体" w:hAnsi="宋体" w:eastAsia="宋体" w:cs="宋体"/>
          <w:color w:val="auto"/>
          <w:spacing w:val="-9"/>
          <w:sz w:val="24"/>
          <w:szCs w:val="24"/>
          <w:highlight w:val="none"/>
        </w:rPr>
        <w:t>代</w:t>
      </w:r>
      <w:r>
        <w:rPr>
          <w:rFonts w:ascii="宋体" w:hAnsi="宋体" w:eastAsia="宋体" w:cs="宋体"/>
          <w:color w:val="auto"/>
          <w:spacing w:val="-36"/>
          <w:sz w:val="24"/>
          <w:szCs w:val="24"/>
          <w:highlight w:val="none"/>
        </w:rPr>
        <w:t xml:space="preserve"> </w:t>
      </w:r>
      <w:r>
        <w:rPr>
          <w:rFonts w:ascii="宋体" w:hAnsi="宋体" w:eastAsia="宋体" w:cs="宋体"/>
          <w:color w:val="auto"/>
          <w:spacing w:val="-9"/>
          <w:sz w:val="24"/>
          <w:szCs w:val="24"/>
          <w:highlight w:val="none"/>
        </w:rPr>
        <w:t>表</w:t>
      </w:r>
      <w:r>
        <w:rPr>
          <w:rFonts w:ascii="宋体" w:hAnsi="宋体" w:eastAsia="宋体" w:cs="宋体"/>
          <w:color w:val="auto"/>
          <w:spacing w:val="-33"/>
          <w:sz w:val="24"/>
          <w:szCs w:val="24"/>
          <w:highlight w:val="none"/>
        </w:rPr>
        <w:t xml:space="preserve"> </w:t>
      </w:r>
      <w:r>
        <w:rPr>
          <w:rFonts w:ascii="宋体" w:hAnsi="宋体" w:eastAsia="宋体" w:cs="宋体"/>
          <w:color w:val="auto"/>
          <w:spacing w:val="-9"/>
          <w:sz w:val="24"/>
          <w:szCs w:val="24"/>
          <w:highlight w:val="none"/>
        </w:rPr>
        <w:t>人</w:t>
      </w:r>
      <w:r>
        <w:rPr>
          <w:rFonts w:ascii="宋体" w:hAnsi="宋体" w:eastAsia="宋体" w:cs="宋体"/>
          <w:color w:val="auto"/>
          <w:spacing w:val="-32"/>
          <w:sz w:val="24"/>
          <w:szCs w:val="24"/>
          <w:highlight w:val="none"/>
        </w:rPr>
        <w:t xml:space="preserve"> </w:t>
      </w:r>
      <w:r>
        <w:rPr>
          <w:rFonts w:ascii="宋体" w:hAnsi="宋体" w:eastAsia="宋体" w:cs="宋体"/>
          <w:color w:val="auto"/>
          <w:spacing w:val="-9"/>
          <w:sz w:val="24"/>
          <w:szCs w:val="24"/>
          <w:highlight w:val="none"/>
        </w:rPr>
        <w:t>或</w:t>
      </w:r>
    </w:p>
    <w:p w14:paraId="58654CAD">
      <w:pPr>
        <w:spacing w:before="1" w:line="218" w:lineRule="auto"/>
        <w:ind w:left="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委</w:t>
      </w:r>
      <w:r>
        <w:rPr>
          <w:rFonts w:ascii="宋体" w:hAnsi="宋体" w:eastAsia="宋体" w:cs="宋体"/>
          <w:color w:val="auto"/>
          <w:spacing w:val="44"/>
          <w:sz w:val="24"/>
          <w:szCs w:val="24"/>
          <w:highlight w:val="none"/>
        </w:rPr>
        <w:t xml:space="preserve"> </w:t>
      </w:r>
      <w:r>
        <w:rPr>
          <w:rFonts w:ascii="宋体" w:hAnsi="宋体" w:eastAsia="宋体" w:cs="宋体"/>
          <w:color w:val="auto"/>
          <w:spacing w:val="-6"/>
          <w:sz w:val="24"/>
          <w:szCs w:val="24"/>
          <w:highlight w:val="none"/>
        </w:rPr>
        <w:t>托</w:t>
      </w:r>
      <w:r>
        <w:rPr>
          <w:rFonts w:ascii="宋体" w:hAnsi="宋体" w:eastAsia="宋体" w:cs="宋体"/>
          <w:color w:val="auto"/>
          <w:spacing w:val="44"/>
          <w:sz w:val="24"/>
          <w:szCs w:val="24"/>
          <w:highlight w:val="none"/>
        </w:rPr>
        <w:t xml:space="preserve"> </w:t>
      </w:r>
      <w:r>
        <w:rPr>
          <w:rFonts w:ascii="宋体" w:hAnsi="宋体" w:eastAsia="宋体" w:cs="宋体"/>
          <w:color w:val="auto"/>
          <w:spacing w:val="-6"/>
          <w:sz w:val="24"/>
          <w:szCs w:val="24"/>
          <w:highlight w:val="none"/>
        </w:rPr>
        <w:t>代</w:t>
      </w:r>
      <w:r>
        <w:rPr>
          <w:rFonts w:ascii="宋体" w:hAnsi="宋体" w:eastAsia="宋体" w:cs="宋体"/>
          <w:color w:val="auto"/>
          <w:spacing w:val="47"/>
          <w:sz w:val="24"/>
          <w:szCs w:val="24"/>
          <w:highlight w:val="none"/>
        </w:rPr>
        <w:t xml:space="preserve"> </w:t>
      </w:r>
      <w:r>
        <w:rPr>
          <w:rFonts w:ascii="宋体" w:hAnsi="宋体" w:eastAsia="宋体" w:cs="宋体"/>
          <w:color w:val="auto"/>
          <w:spacing w:val="-6"/>
          <w:sz w:val="24"/>
          <w:szCs w:val="24"/>
          <w:highlight w:val="none"/>
        </w:rPr>
        <w:t>理</w:t>
      </w:r>
      <w:r>
        <w:rPr>
          <w:rFonts w:ascii="宋体" w:hAnsi="宋体" w:eastAsia="宋体" w:cs="宋体"/>
          <w:color w:val="auto"/>
          <w:spacing w:val="46"/>
          <w:sz w:val="24"/>
          <w:szCs w:val="24"/>
          <w:highlight w:val="none"/>
        </w:rPr>
        <w:t xml:space="preserve"> </w:t>
      </w:r>
      <w:r>
        <w:rPr>
          <w:rFonts w:ascii="宋体" w:hAnsi="宋体" w:eastAsia="宋体" w:cs="宋体"/>
          <w:color w:val="auto"/>
          <w:spacing w:val="-6"/>
          <w:sz w:val="24"/>
          <w:szCs w:val="24"/>
          <w:highlight w:val="none"/>
        </w:rPr>
        <w:t>人</w:t>
      </w:r>
      <w:r>
        <w:rPr>
          <w:rFonts w:ascii="宋体" w:hAnsi="宋体" w:eastAsia="宋体" w:cs="宋体"/>
          <w:color w:val="auto"/>
          <w:spacing w:val="47"/>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5"/>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6"/>
          <w:sz w:val="24"/>
          <w:szCs w:val="24"/>
          <w:highlight w:val="none"/>
        </w:rPr>
        <w:t>签字或盖章）</w:t>
      </w:r>
    </w:p>
    <w:p w14:paraId="5CFBD2E5">
      <w:pPr>
        <w:pStyle w:val="8"/>
        <w:spacing w:line="329" w:lineRule="auto"/>
        <w:rPr>
          <w:color w:val="auto"/>
          <w:highlight w:val="none"/>
        </w:rPr>
      </w:pPr>
    </w:p>
    <w:p w14:paraId="388CD6E9">
      <w:pPr>
        <w:pStyle w:val="8"/>
        <w:spacing w:line="329" w:lineRule="auto"/>
        <w:rPr>
          <w:color w:val="auto"/>
          <w:highlight w:val="none"/>
        </w:rPr>
      </w:pPr>
    </w:p>
    <w:p w14:paraId="1C4C0E50">
      <w:pPr>
        <w:spacing w:before="78" w:line="218" w:lineRule="auto"/>
        <w:ind w:left="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造</w:t>
      </w:r>
      <w:r>
        <w:rPr>
          <w:rFonts w:ascii="宋体" w:hAnsi="宋体" w:eastAsia="宋体" w:cs="宋体"/>
          <w:color w:val="auto"/>
          <w:spacing w:val="46"/>
          <w:sz w:val="24"/>
          <w:szCs w:val="24"/>
          <w:highlight w:val="none"/>
        </w:rPr>
        <w:t xml:space="preserve"> </w:t>
      </w:r>
      <w:r>
        <w:rPr>
          <w:rFonts w:ascii="宋体" w:hAnsi="宋体" w:eastAsia="宋体" w:cs="宋体"/>
          <w:color w:val="auto"/>
          <w:spacing w:val="-5"/>
          <w:sz w:val="24"/>
          <w:szCs w:val="24"/>
          <w:highlight w:val="none"/>
        </w:rPr>
        <w:t>价</w:t>
      </w:r>
      <w:r>
        <w:rPr>
          <w:rFonts w:ascii="宋体" w:hAnsi="宋体" w:eastAsia="宋体" w:cs="宋体"/>
          <w:color w:val="auto"/>
          <w:spacing w:val="48"/>
          <w:sz w:val="24"/>
          <w:szCs w:val="24"/>
          <w:highlight w:val="none"/>
        </w:rPr>
        <w:t xml:space="preserve"> </w:t>
      </w:r>
      <w:r>
        <w:rPr>
          <w:rFonts w:ascii="宋体" w:hAnsi="宋体" w:eastAsia="宋体" w:cs="宋体"/>
          <w:color w:val="auto"/>
          <w:spacing w:val="-5"/>
          <w:sz w:val="24"/>
          <w:szCs w:val="24"/>
          <w:highlight w:val="none"/>
        </w:rPr>
        <w:t>工</w:t>
      </w:r>
      <w:r>
        <w:rPr>
          <w:rFonts w:ascii="宋体" w:hAnsi="宋体" w:eastAsia="宋体" w:cs="宋体"/>
          <w:color w:val="auto"/>
          <w:spacing w:val="43"/>
          <w:sz w:val="24"/>
          <w:szCs w:val="24"/>
          <w:highlight w:val="none"/>
        </w:rPr>
        <w:t xml:space="preserve"> </w:t>
      </w:r>
      <w:r>
        <w:rPr>
          <w:rFonts w:ascii="宋体" w:hAnsi="宋体" w:eastAsia="宋体" w:cs="宋体"/>
          <w:color w:val="auto"/>
          <w:spacing w:val="-5"/>
          <w:sz w:val="24"/>
          <w:szCs w:val="24"/>
          <w:highlight w:val="none"/>
        </w:rPr>
        <w:t>程</w:t>
      </w:r>
      <w:r>
        <w:rPr>
          <w:rFonts w:ascii="宋体" w:hAnsi="宋体" w:eastAsia="宋体" w:cs="宋体"/>
          <w:color w:val="auto"/>
          <w:spacing w:val="48"/>
          <w:sz w:val="24"/>
          <w:szCs w:val="24"/>
          <w:highlight w:val="none"/>
        </w:rPr>
        <w:t xml:space="preserve"> </w:t>
      </w:r>
      <w:r>
        <w:rPr>
          <w:rFonts w:ascii="宋体" w:hAnsi="宋体" w:eastAsia="宋体" w:cs="宋体"/>
          <w:color w:val="auto"/>
          <w:spacing w:val="-5"/>
          <w:sz w:val="24"/>
          <w:szCs w:val="24"/>
          <w:highlight w:val="none"/>
        </w:rPr>
        <w:t>师</w:t>
      </w:r>
      <w:r>
        <w:rPr>
          <w:rFonts w:ascii="宋体" w:hAnsi="宋体" w:eastAsia="宋体" w:cs="宋体"/>
          <w:color w:val="auto"/>
          <w:spacing w:val="47"/>
          <w:sz w:val="24"/>
          <w:szCs w:val="24"/>
          <w:highlight w:val="none"/>
        </w:rPr>
        <w:t xml:space="preserve"> </w:t>
      </w:r>
      <w:r>
        <w:rPr>
          <w:rFonts w:ascii="宋体" w:hAnsi="宋体" w:eastAsia="宋体" w:cs="宋体"/>
          <w:color w:val="auto"/>
          <w:spacing w:val="-5"/>
          <w:sz w:val="24"/>
          <w:szCs w:val="24"/>
          <w:highlight w:val="none"/>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6"/>
          <w:sz w:val="24"/>
          <w:szCs w:val="24"/>
          <w:highlight w:val="none"/>
        </w:rPr>
        <w:t xml:space="preserve"> </w:t>
      </w:r>
      <w:r>
        <w:rPr>
          <w:rFonts w:ascii="宋体" w:hAnsi="宋体" w:eastAsia="宋体" w:cs="宋体"/>
          <w:color w:val="auto"/>
          <w:spacing w:val="-5"/>
          <w:sz w:val="24"/>
          <w:szCs w:val="24"/>
          <w:highlight w:val="none"/>
        </w:rPr>
        <w:t>（签字并盖执业专用章）</w:t>
      </w:r>
    </w:p>
    <w:p w14:paraId="2A6AE62B">
      <w:pPr>
        <w:pStyle w:val="8"/>
        <w:spacing w:line="329" w:lineRule="auto"/>
        <w:rPr>
          <w:color w:val="auto"/>
          <w:highlight w:val="none"/>
        </w:rPr>
      </w:pPr>
    </w:p>
    <w:p w14:paraId="74224568">
      <w:pPr>
        <w:pStyle w:val="8"/>
        <w:spacing w:line="330" w:lineRule="auto"/>
        <w:rPr>
          <w:color w:val="auto"/>
          <w:highlight w:val="none"/>
        </w:rPr>
      </w:pPr>
    </w:p>
    <w:p w14:paraId="1743CD5F">
      <w:pPr>
        <w:spacing w:before="78" w:line="220" w:lineRule="auto"/>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编</w:t>
      </w:r>
      <w:r>
        <w:rPr>
          <w:rFonts w:ascii="宋体" w:hAnsi="宋体" w:eastAsia="宋体" w:cs="宋体"/>
          <w:color w:val="auto"/>
          <w:spacing w:val="4"/>
          <w:sz w:val="24"/>
          <w:szCs w:val="24"/>
          <w:highlight w:val="none"/>
        </w:rPr>
        <w:t xml:space="preserve">   </w:t>
      </w:r>
      <w:r>
        <w:rPr>
          <w:rFonts w:ascii="宋体" w:hAnsi="宋体" w:eastAsia="宋体" w:cs="宋体"/>
          <w:color w:val="auto"/>
          <w:spacing w:val="-21"/>
          <w:sz w:val="24"/>
          <w:szCs w:val="24"/>
          <w:highlight w:val="none"/>
        </w:rPr>
        <w:t>制</w:t>
      </w:r>
      <w:r>
        <w:rPr>
          <w:rFonts w:ascii="宋体" w:hAnsi="宋体" w:eastAsia="宋体" w:cs="宋体"/>
          <w:color w:val="auto"/>
          <w:spacing w:val="11"/>
          <w:sz w:val="24"/>
          <w:szCs w:val="24"/>
          <w:highlight w:val="none"/>
        </w:rPr>
        <w:t xml:space="preserve">  </w:t>
      </w:r>
      <w:r>
        <w:rPr>
          <w:rFonts w:ascii="宋体" w:hAnsi="宋体" w:eastAsia="宋体" w:cs="宋体"/>
          <w:color w:val="auto"/>
          <w:spacing w:val="-21"/>
          <w:sz w:val="24"/>
          <w:szCs w:val="24"/>
          <w:highlight w:val="none"/>
        </w:rPr>
        <w:t>时</w:t>
      </w:r>
      <w:r>
        <w:rPr>
          <w:rFonts w:ascii="宋体" w:hAnsi="宋体" w:eastAsia="宋体" w:cs="宋体"/>
          <w:color w:val="auto"/>
          <w:spacing w:val="14"/>
          <w:sz w:val="24"/>
          <w:szCs w:val="24"/>
          <w:highlight w:val="none"/>
        </w:rPr>
        <w:t xml:space="preserve">  </w:t>
      </w:r>
      <w:r>
        <w:rPr>
          <w:rFonts w:ascii="宋体" w:hAnsi="宋体" w:eastAsia="宋体" w:cs="宋体"/>
          <w:color w:val="auto"/>
          <w:spacing w:val="-21"/>
          <w:sz w:val="24"/>
          <w:szCs w:val="24"/>
          <w:highlight w:val="none"/>
        </w:rPr>
        <w:t>间</w:t>
      </w:r>
      <w:r>
        <w:rPr>
          <w:rFonts w:ascii="宋体" w:hAnsi="宋体" w:eastAsia="宋体" w:cs="宋体"/>
          <w:color w:val="auto"/>
          <w:spacing w:val="75"/>
          <w:sz w:val="24"/>
          <w:szCs w:val="24"/>
          <w:highlight w:val="none"/>
        </w:rPr>
        <w:t xml:space="preserve"> </w:t>
      </w:r>
      <w:r>
        <w:rPr>
          <w:rFonts w:ascii="宋体" w:hAnsi="宋体" w:eastAsia="宋体" w:cs="宋体"/>
          <w:color w:val="auto"/>
          <w:spacing w:val="-21"/>
          <w:sz w:val="24"/>
          <w:szCs w:val="24"/>
          <w:highlight w:val="none"/>
        </w:rPr>
        <w:t>：</w:t>
      </w:r>
      <w:r>
        <w:rPr>
          <w:rFonts w:ascii="宋体" w:hAnsi="宋体" w:eastAsia="宋体" w:cs="宋体"/>
          <w:color w:val="auto"/>
          <w:sz w:val="24"/>
          <w:szCs w:val="24"/>
          <w:highlight w:val="none"/>
          <w:u w:val="single" w:color="auto"/>
        </w:rPr>
        <w:t xml:space="preserve">                                   </w:t>
      </w:r>
    </w:p>
    <w:p w14:paraId="58360644">
      <w:pPr>
        <w:spacing w:line="220" w:lineRule="auto"/>
        <w:rPr>
          <w:rFonts w:ascii="宋体" w:hAnsi="宋体" w:eastAsia="宋体" w:cs="宋体"/>
          <w:color w:val="auto"/>
          <w:sz w:val="24"/>
          <w:szCs w:val="24"/>
          <w:highlight w:val="none"/>
        </w:rPr>
        <w:sectPr>
          <w:footerReference r:id="rId116" w:type="default"/>
          <w:pgSz w:w="11905" w:h="16840"/>
          <w:pgMar w:top="400" w:right="1529" w:bottom="1255" w:left="1322" w:header="0" w:footer="1093" w:gutter="0"/>
          <w:pgNumType w:fmt="decimal"/>
          <w:cols w:space="720" w:num="1"/>
        </w:sectPr>
      </w:pPr>
    </w:p>
    <w:p w14:paraId="2859B22B">
      <w:pPr>
        <w:pStyle w:val="8"/>
        <w:spacing w:line="271" w:lineRule="auto"/>
        <w:rPr>
          <w:color w:val="auto"/>
          <w:highlight w:val="none"/>
        </w:rPr>
      </w:pPr>
    </w:p>
    <w:p w14:paraId="519012A3">
      <w:pPr>
        <w:pStyle w:val="8"/>
        <w:spacing w:line="271" w:lineRule="auto"/>
        <w:rPr>
          <w:color w:val="auto"/>
          <w:highlight w:val="none"/>
        </w:rPr>
      </w:pPr>
    </w:p>
    <w:p w14:paraId="3129B1FC">
      <w:pPr>
        <w:pStyle w:val="8"/>
        <w:spacing w:line="271" w:lineRule="auto"/>
        <w:rPr>
          <w:color w:val="auto"/>
          <w:highlight w:val="none"/>
        </w:rPr>
      </w:pPr>
    </w:p>
    <w:p w14:paraId="26AF137A">
      <w:pPr>
        <w:pStyle w:val="8"/>
        <w:spacing w:line="271" w:lineRule="auto"/>
        <w:rPr>
          <w:color w:val="auto"/>
          <w:highlight w:val="none"/>
        </w:rPr>
      </w:pPr>
    </w:p>
    <w:p w14:paraId="6E63CE51">
      <w:pPr>
        <w:pStyle w:val="8"/>
        <w:spacing w:line="272" w:lineRule="auto"/>
        <w:rPr>
          <w:color w:val="auto"/>
          <w:highlight w:val="none"/>
        </w:rPr>
      </w:pPr>
    </w:p>
    <w:p w14:paraId="2A6E22EB">
      <w:pPr>
        <w:spacing w:before="166" w:line="222" w:lineRule="auto"/>
        <w:ind w:left="2972"/>
        <w:outlineLvl w:val="1"/>
        <w:rPr>
          <w:rFonts w:ascii="宋体" w:hAnsi="宋体" w:eastAsia="宋体" w:cs="宋体"/>
          <w:color w:val="auto"/>
          <w:sz w:val="51"/>
          <w:szCs w:val="51"/>
          <w:highlight w:val="none"/>
        </w:rPr>
      </w:pPr>
      <w:bookmarkStart w:id="209" w:name="_Toc13922"/>
      <w:r>
        <w:rPr>
          <w:rFonts w:ascii="宋体" w:hAnsi="宋体" w:eastAsia="宋体" w:cs="宋体"/>
          <w:b/>
          <w:bCs/>
          <w:color w:val="auto"/>
          <w:spacing w:val="-19"/>
          <w:sz w:val="51"/>
          <w:szCs w:val="51"/>
          <w:highlight w:val="none"/>
        </w:rPr>
        <w:t>投</w:t>
      </w:r>
      <w:r>
        <w:rPr>
          <w:rFonts w:ascii="宋体" w:hAnsi="宋体" w:eastAsia="宋体" w:cs="宋体"/>
          <w:color w:val="auto"/>
          <w:spacing w:val="31"/>
          <w:sz w:val="51"/>
          <w:szCs w:val="51"/>
          <w:highlight w:val="none"/>
        </w:rPr>
        <w:t xml:space="preserve"> </w:t>
      </w:r>
      <w:r>
        <w:rPr>
          <w:rFonts w:ascii="宋体" w:hAnsi="宋体" w:eastAsia="宋体" w:cs="宋体"/>
          <w:b/>
          <w:bCs/>
          <w:color w:val="auto"/>
          <w:spacing w:val="-19"/>
          <w:sz w:val="51"/>
          <w:szCs w:val="51"/>
          <w:highlight w:val="none"/>
        </w:rPr>
        <w:t>标</w:t>
      </w:r>
      <w:r>
        <w:rPr>
          <w:rFonts w:ascii="宋体" w:hAnsi="宋体" w:eastAsia="宋体" w:cs="宋体"/>
          <w:color w:val="auto"/>
          <w:spacing w:val="43"/>
          <w:sz w:val="51"/>
          <w:szCs w:val="51"/>
          <w:highlight w:val="none"/>
        </w:rPr>
        <w:t xml:space="preserve"> </w:t>
      </w:r>
      <w:r>
        <w:rPr>
          <w:rFonts w:ascii="宋体" w:hAnsi="宋体" w:eastAsia="宋体" w:cs="宋体"/>
          <w:b/>
          <w:bCs/>
          <w:color w:val="auto"/>
          <w:spacing w:val="-19"/>
          <w:sz w:val="51"/>
          <w:szCs w:val="51"/>
          <w:highlight w:val="none"/>
        </w:rPr>
        <w:t>总</w:t>
      </w:r>
      <w:r>
        <w:rPr>
          <w:rFonts w:ascii="宋体" w:hAnsi="宋体" w:eastAsia="宋体" w:cs="宋体"/>
          <w:color w:val="auto"/>
          <w:spacing w:val="31"/>
          <w:sz w:val="51"/>
          <w:szCs w:val="51"/>
          <w:highlight w:val="none"/>
        </w:rPr>
        <w:t xml:space="preserve"> </w:t>
      </w:r>
      <w:r>
        <w:rPr>
          <w:rFonts w:ascii="宋体" w:hAnsi="宋体" w:eastAsia="宋体" w:cs="宋体"/>
          <w:b/>
          <w:bCs/>
          <w:color w:val="auto"/>
          <w:spacing w:val="-19"/>
          <w:sz w:val="51"/>
          <w:szCs w:val="51"/>
          <w:highlight w:val="none"/>
        </w:rPr>
        <w:t>价</w:t>
      </w:r>
      <w:bookmarkEnd w:id="209"/>
    </w:p>
    <w:p w14:paraId="477FC9FA">
      <w:pPr>
        <w:pStyle w:val="8"/>
        <w:spacing w:line="344" w:lineRule="auto"/>
        <w:rPr>
          <w:color w:val="auto"/>
          <w:highlight w:val="none"/>
        </w:rPr>
      </w:pPr>
    </w:p>
    <w:p w14:paraId="3B38801D">
      <w:pPr>
        <w:pStyle w:val="8"/>
        <w:spacing w:line="345" w:lineRule="auto"/>
        <w:rPr>
          <w:color w:val="auto"/>
          <w:highlight w:val="none"/>
        </w:rPr>
      </w:pPr>
    </w:p>
    <w:p w14:paraId="5E0C2B68">
      <w:pPr>
        <w:spacing w:before="78" w:line="220" w:lineRule="auto"/>
        <w:ind w:left="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工  程  名</w:t>
      </w:r>
      <w:r>
        <w:rPr>
          <w:rFonts w:ascii="宋体" w:hAnsi="宋体" w:eastAsia="宋体" w:cs="宋体"/>
          <w:color w:val="auto"/>
          <w:spacing w:val="4"/>
          <w:sz w:val="24"/>
          <w:szCs w:val="24"/>
          <w:highlight w:val="none"/>
        </w:rPr>
        <w:t xml:space="preserve">  </w:t>
      </w:r>
      <w:r>
        <w:rPr>
          <w:rFonts w:ascii="宋体" w:hAnsi="宋体" w:eastAsia="宋体" w:cs="宋体"/>
          <w:color w:val="auto"/>
          <w:spacing w:val="-1"/>
          <w:sz w:val="24"/>
          <w:szCs w:val="24"/>
          <w:highlight w:val="none"/>
        </w:rPr>
        <w:t>称</w:t>
      </w:r>
      <w:r>
        <w:rPr>
          <w:rFonts w:ascii="宋体" w:hAnsi="宋体" w:eastAsia="宋体" w:cs="宋体"/>
          <w:color w:val="auto"/>
          <w:spacing w:val="-2"/>
          <w:sz w:val="24"/>
          <w:szCs w:val="24"/>
          <w:highlight w:val="none"/>
        </w:rPr>
        <w:t>：</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2"/>
          <w:sz w:val="24"/>
          <w:szCs w:val="24"/>
          <w:highlight w:val="none"/>
          <w:u w:val="single" w:color="auto"/>
        </w:rPr>
        <w:t>（</w:t>
      </w:r>
      <w:r>
        <w:rPr>
          <w:rFonts w:ascii="宋体" w:hAnsi="宋体" w:eastAsia="宋体" w:cs="宋体"/>
          <w:color w:val="auto"/>
          <w:spacing w:val="-1"/>
          <w:sz w:val="24"/>
          <w:szCs w:val="24"/>
          <w:highlight w:val="none"/>
          <w:u w:val="single" w:color="auto"/>
        </w:rPr>
        <w:t>项目名称及标段名称）</w:t>
      </w:r>
      <w:r>
        <w:rPr>
          <w:rFonts w:ascii="宋体" w:hAnsi="宋体" w:eastAsia="宋体" w:cs="宋体"/>
          <w:color w:val="auto"/>
          <w:sz w:val="24"/>
          <w:szCs w:val="24"/>
          <w:highlight w:val="none"/>
          <w:u w:val="single" w:color="auto"/>
        </w:rPr>
        <w:t xml:space="preserve">       </w:t>
      </w:r>
    </w:p>
    <w:p w14:paraId="53CA2372">
      <w:pPr>
        <w:pStyle w:val="8"/>
        <w:spacing w:line="256" w:lineRule="auto"/>
        <w:rPr>
          <w:color w:val="auto"/>
          <w:highlight w:val="none"/>
        </w:rPr>
      </w:pPr>
    </w:p>
    <w:p w14:paraId="0CB3903A">
      <w:pPr>
        <w:pStyle w:val="8"/>
        <w:spacing w:line="257" w:lineRule="auto"/>
        <w:rPr>
          <w:color w:val="auto"/>
          <w:highlight w:val="none"/>
        </w:rPr>
      </w:pPr>
    </w:p>
    <w:p w14:paraId="78CD5584">
      <w:pPr>
        <w:spacing w:before="78" w:line="218" w:lineRule="auto"/>
        <w:ind w:left="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投标总价（小写</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p>
    <w:p w14:paraId="0A4EC653">
      <w:pPr>
        <w:pStyle w:val="8"/>
        <w:spacing w:line="258" w:lineRule="auto"/>
        <w:rPr>
          <w:color w:val="auto"/>
          <w:highlight w:val="none"/>
        </w:rPr>
      </w:pPr>
    </w:p>
    <w:p w14:paraId="57433CC8">
      <w:pPr>
        <w:pStyle w:val="8"/>
        <w:spacing w:line="258" w:lineRule="auto"/>
        <w:rPr>
          <w:color w:val="auto"/>
          <w:highlight w:val="none"/>
        </w:rPr>
      </w:pPr>
    </w:p>
    <w:p w14:paraId="05BEBE92">
      <w:pPr>
        <w:spacing w:before="78" w:line="220" w:lineRule="auto"/>
        <w:ind w:left="965"/>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（大写</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p>
    <w:p w14:paraId="3FB47F1F">
      <w:pPr>
        <w:pStyle w:val="8"/>
        <w:spacing w:line="256" w:lineRule="auto"/>
        <w:rPr>
          <w:color w:val="auto"/>
          <w:highlight w:val="none"/>
        </w:rPr>
      </w:pPr>
    </w:p>
    <w:p w14:paraId="2D769B28">
      <w:pPr>
        <w:pStyle w:val="8"/>
        <w:spacing w:line="257" w:lineRule="auto"/>
        <w:rPr>
          <w:color w:val="auto"/>
          <w:highlight w:val="none"/>
        </w:rPr>
      </w:pPr>
    </w:p>
    <w:p w14:paraId="339AFBAC">
      <w:pPr>
        <w:spacing w:before="78" w:line="219" w:lineRule="auto"/>
        <w:ind w:left="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    标</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人：</w:t>
      </w:r>
      <w:r>
        <w:rPr>
          <w:rFonts w:ascii="宋体" w:hAnsi="宋体" w:eastAsia="宋体" w:cs="宋体"/>
          <w:color w:val="auto"/>
          <w:spacing w:val="12"/>
          <w:sz w:val="24"/>
          <w:szCs w:val="24"/>
          <w:highlight w:val="none"/>
          <w:u w:val="single" w:color="auto"/>
        </w:rPr>
        <w:t xml:space="preserve">          </w:t>
      </w:r>
      <w:r>
        <w:rPr>
          <w:rFonts w:ascii="宋体" w:hAnsi="宋体" w:eastAsia="宋体" w:cs="宋体"/>
          <w:color w:val="auto"/>
          <w:spacing w:val="-2"/>
          <w:sz w:val="24"/>
          <w:szCs w:val="24"/>
          <w:highlight w:val="none"/>
          <w:u w:val="single" w:color="auto"/>
        </w:rPr>
        <w:t>（全称）</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（盖单位公章）</w:t>
      </w:r>
    </w:p>
    <w:p w14:paraId="05B10D3D">
      <w:pPr>
        <w:pStyle w:val="8"/>
        <w:spacing w:line="257" w:lineRule="auto"/>
        <w:rPr>
          <w:color w:val="auto"/>
          <w:highlight w:val="none"/>
        </w:rPr>
      </w:pPr>
    </w:p>
    <w:p w14:paraId="272F2F9E">
      <w:pPr>
        <w:pStyle w:val="8"/>
        <w:spacing w:line="257" w:lineRule="auto"/>
        <w:rPr>
          <w:color w:val="auto"/>
          <w:highlight w:val="none"/>
        </w:rPr>
      </w:pPr>
    </w:p>
    <w:p w14:paraId="1B622CF3">
      <w:pPr>
        <w:spacing w:before="79"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2"/>
          <w:sz w:val="24"/>
          <w:szCs w:val="24"/>
          <w:highlight w:val="none"/>
        </w:rPr>
        <w:t>签字或盖章）</w:t>
      </w:r>
    </w:p>
    <w:p w14:paraId="36310E9B">
      <w:pPr>
        <w:pStyle w:val="8"/>
        <w:spacing w:line="257" w:lineRule="auto"/>
        <w:rPr>
          <w:color w:val="auto"/>
          <w:highlight w:val="none"/>
        </w:rPr>
      </w:pPr>
    </w:p>
    <w:p w14:paraId="1AB88706">
      <w:pPr>
        <w:pStyle w:val="8"/>
        <w:spacing w:line="257" w:lineRule="auto"/>
        <w:rPr>
          <w:color w:val="auto"/>
          <w:highlight w:val="none"/>
        </w:rPr>
      </w:pPr>
    </w:p>
    <w:p w14:paraId="05BBC9B4">
      <w:pPr>
        <w:spacing w:before="78" w:line="220"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编</w:t>
      </w:r>
      <w:r>
        <w:rPr>
          <w:rFonts w:ascii="宋体" w:hAnsi="宋体" w:eastAsia="宋体" w:cs="宋体"/>
          <w:color w:val="auto"/>
          <w:spacing w:val="5"/>
          <w:sz w:val="24"/>
          <w:szCs w:val="24"/>
          <w:highlight w:val="none"/>
        </w:rPr>
        <w:t xml:space="preserve">  </w:t>
      </w:r>
      <w:r>
        <w:rPr>
          <w:rFonts w:ascii="宋体" w:hAnsi="宋体" w:eastAsia="宋体" w:cs="宋体"/>
          <w:color w:val="auto"/>
          <w:spacing w:val="-8"/>
          <w:sz w:val="24"/>
          <w:szCs w:val="24"/>
          <w:highlight w:val="none"/>
        </w:rPr>
        <w:t>制</w:t>
      </w:r>
      <w:r>
        <w:rPr>
          <w:rFonts w:ascii="宋体" w:hAnsi="宋体" w:eastAsia="宋体" w:cs="宋体"/>
          <w:color w:val="auto"/>
          <w:spacing w:val="10"/>
          <w:sz w:val="24"/>
          <w:szCs w:val="24"/>
          <w:highlight w:val="none"/>
        </w:rPr>
        <w:t xml:space="preserve">  </w:t>
      </w:r>
      <w:r>
        <w:rPr>
          <w:rFonts w:ascii="宋体" w:hAnsi="宋体" w:eastAsia="宋体" w:cs="宋体"/>
          <w:color w:val="auto"/>
          <w:spacing w:val="-8"/>
          <w:sz w:val="24"/>
          <w:szCs w:val="24"/>
          <w:highlight w:val="none"/>
        </w:rPr>
        <w:t>时</w:t>
      </w:r>
      <w:r>
        <w:rPr>
          <w:rFonts w:ascii="宋体" w:hAnsi="宋体" w:eastAsia="宋体" w:cs="宋体"/>
          <w:color w:val="auto"/>
          <w:spacing w:val="14"/>
          <w:sz w:val="24"/>
          <w:szCs w:val="24"/>
          <w:highlight w:val="none"/>
        </w:rPr>
        <w:t xml:space="preserve">  </w:t>
      </w:r>
      <w:r>
        <w:rPr>
          <w:rFonts w:ascii="宋体" w:hAnsi="宋体" w:eastAsia="宋体" w:cs="宋体"/>
          <w:color w:val="auto"/>
          <w:spacing w:val="-8"/>
          <w:sz w:val="24"/>
          <w:szCs w:val="24"/>
          <w:highlight w:val="none"/>
        </w:rPr>
        <w:t>间：</w:t>
      </w:r>
      <w:r>
        <w:rPr>
          <w:rFonts w:ascii="宋体" w:hAnsi="宋体" w:eastAsia="宋体" w:cs="宋体"/>
          <w:color w:val="auto"/>
          <w:spacing w:val="-8"/>
          <w:sz w:val="24"/>
          <w:szCs w:val="24"/>
          <w:highlight w:val="none"/>
          <w:u w:val="single" w:color="auto"/>
        </w:rPr>
        <w:t xml:space="preserve">                                  </w:t>
      </w:r>
    </w:p>
    <w:p w14:paraId="36A35CE6">
      <w:pPr>
        <w:spacing w:line="220" w:lineRule="auto"/>
        <w:rPr>
          <w:rFonts w:ascii="宋体" w:hAnsi="宋体" w:eastAsia="宋体" w:cs="宋体"/>
          <w:color w:val="auto"/>
          <w:sz w:val="24"/>
          <w:szCs w:val="24"/>
          <w:highlight w:val="none"/>
        </w:rPr>
        <w:sectPr>
          <w:footerReference r:id="rId117" w:type="default"/>
          <w:pgSz w:w="11905" w:h="16840"/>
          <w:pgMar w:top="400" w:right="1529" w:bottom="1255" w:left="1597" w:header="0" w:footer="1093" w:gutter="0"/>
          <w:pgNumType w:fmt="decimal"/>
          <w:cols w:space="720" w:num="1"/>
        </w:sectPr>
      </w:pPr>
    </w:p>
    <w:p w14:paraId="1572775D">
      <w:pPr>
        <w:pStyle w:val="8"/>
        <w:spacing w:line="253" w:lineRule="auto"/>
        <w:rPr>
          <w:color w:val="auto"/>
          <w:highlight w:val="none"/>
        </w:rPr>
      </w:pPr>
    </w:p>
    <w:p w14:paraId="227204CF">
      <w:pPr>
        <w:pStyle w:val="8"/>
        <w:spacing w:line="253" w:lineRule="auto"/>
        <w:rPr>
          <w:color w:val="auto"/>
          <w:highlight w:val="none"/>
        </w:rPr>
      </w:pPr>
    </w:p>
    <w:tbl>
      <w:tblPr>
        <w:tblStyle w:val="14"/>
        <w:tblW w:w="101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5"/>
        <w:gridCol w:w="1200"/>
        <w:gridCol w:w="2160"/>
        <w:gridCol w:w="1860"/>
        <w:gridCol w:w="660"/>
        <w:gridCol w:w="1200"/>
        <w:gridCol w:w="1200"/>
        <w:gridCol w:w="1200"/>
      </w:tblGrid>
      <w:tr w14:paraId="4C594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0125" w:type="dxa"/>
            <w:gridSpan w:val="8"/>
            <w:tcBorders>
              <w:top w:val="nil"/>
              <w:left w:val="nil"/>
              <w:bottom w:val="nil"/>
              <w:right w:val="nil"/>
            </w:tcBorders>
            <w:shd w:val="clear" w:color="auto" w:fill="FFFFFF"/>
            <w:noWrap w:val="0"/>
            <w:vAlign w:val="center"/>
          </w:tcPr>
          <w:p w14:paraId="26C3FCB9">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分部分项工程项目清单计价表</w:t>
            </w:r>
          </w:p>
        </w:tc>
      </w:tr>
      <w:tr w14:paraId="5904E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725" w:type="dxa"/>
            <w:gridSpan w:val="6"/>
            <w:tcBorders>
              <w:top w:val="nil"/>
              <w:left w:val="nil"/>
              <w:bottom w:val="nil"/>
              <w:right w:val="nil"/>
            </w:tcBorders>
            <w:shd w:val="clear" w:color="auto" w:fill="FFFFFF"/>
            <w:noWrap w:val="0"/>
            <w:vAlign w:val="bottom"/>
          </w:tcPr>
          <w:p w14:paraId="738DDE0D">
            <w:pPr>
              <w:keepNext w:val="0"/>
              <w:keepLines w:val="0"/>
              <w:widowControl/>
              <w:suppressLineNumbers w:val="0"/>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工程名称：</w:t>
            </w:r>
          </w:p>
        </w:tc>
        <w:tc>
          <w:tcPr>
            <w:tcW w:w="2400" w:type="dxa"/>
            <w:gridSpan w:val="2"/>
            <w:tcBorders>
              <w:top w:val="nil"/>
              <w:left w:val="nil"/>
              <w:bottom w:val="nil"/>
              <w:right w:val="nil"/>
            </w:tcBorders>
            <w:shd w:val="clear" w:color="auto" w:fill="FFFFFF"/>
            <w:noWrap w:val="0"/>
            <w:vAlign w:val="bottom"/>
          </w:tcPr>
          <w:p w14:paraId="00BC8EF3">
            <w:pPr>
              <w:keepNext w:val="0"/>
              <w:keepLines w:val="0"/>
              <w:widowControl/>
              <w:suppressLineNumbers w:val="0"/>
              <w:jc w:val="righ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第  页 共  页</w:t>
            </w:r>
          </w:p>
        </w:tc>
      </w:tr>
      <w:tr w14:paraId="5E6C6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00E038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序号</w:t>
            </w:r>
          </w:p>
        </w:tc>
        <w:tc>
          <w:tcPr>
            <w:tcW w:w="1200" w:type="dxa"/>
            <w:tcBorders>
              <w:top w:val="single" w:color="000000" w:sz="4" w:space="0"/>
              <w:left w:val="single" w:color="000000" w:sz="4" w:space="0"/>
              <w:bottom w:val="nil"/>
              <w:right w:val="nil"/>
            </w:tcBorders>
            <w:shd w:val="clear" w:color="auto" w:fill="FFFFFF"/>
            <w:noWrap w:val="0"/>
            <w:vAlign w:val="center"/>
          </w:tcPr>
          <w:p w14:paraId="3F01EA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项目编码</w:t>
            </w:r>
          </w:p>
        </w:tc>
        <w:tc>
          <w:tcPr>
            <w:tcW w:w="2160" w:type="dxa"/>
            <w:tcBorders>
              <w:top w:val="single" w:color="000000" w:sz="4" w:space="0"/>
              <w:left w:val="single" w:color="000000" w:sz="4" w:space="0"/>
              <w:bottom w:val="nil"/>
              <w:right w:val="nil"/>
            </w:tcBorders>
            <w:shd w:val="clear" w:color="auto" w:fill="FFFFFF"/>
            <w:noWrap w:val="0"/>
            <w:vAlign w:val="center"/>
          </w:tcPr>
          <w:p w14:paraId="375D26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项目名称</w:t>
            </w:r>
          </w:p>
        </w:tc>
        <w:tc>
          <w:tcPr>
            <w:tcW w:w="1860" w:type="dxa"/>
            <w:tcBorders>
              <w:top w:val="single" w:color="000000" w:sz="4" w:space="0"/>
              <w:left w:val="single" w:color="000000" w:sz="4" w:space="0"/>
              <w:bottom w:val="nil"/>
              <w:right w:val="nil"/>
            </w:tcBorders>
            <w:shd w:val="clear" w:color="auto" w:fill="FFFFFF"/>
            <w:noWrap w:val="0"/>
            <w:vAlign w:val="center"/>
          </w:tcPr>
          <w:p w14:paraId="2FFFF8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项目主要特征</w:t>
            </w:r>
          </w:p>
        </w:tc>
        <w:tc>
          <w:tcPr>
            <w:tcW w:w="660" w:type="dxa"/>
            <w:tcBorders>
              <w:top w:val="single" w:color="000000" w:sz="4" w:space="0"/>
              <w:left w:val="single" w:color="000000" w:sz="4" w:space="0"/>
              <w:bottom w:val="nil"/>
              <w:right w:val="nil"/>
            </w:tcBorders>
            <w:shd w:val="clear" w:color="auto" w:fill="FFFFFF"/>
            <w:noWrap w:val="0"/>
            <w:vAlign w:val="center"/>
          </w:tcPr>
          <w:p w14:paraId="263368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计量</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单位</w:t>
            </w:r>
          </w:p>
        </w:tc>
        <w:tc>
          <w:tcPr>
            <w:tcW w:w="1200" w:type="dxa"/>
            <w:tcBorders>
              <w:top w:val="single" w:color="000000" w:sz="4" w:space="0"/>
              <w:left w:val="single" w:color="000000" w:sz="4" w:space="0"/>
              <w:bottom w:val="nil"/>
              <w:right w:val="nil"/>
            </w:tcBorders>
            <w:shd w:val="clear" w:color="auto" w:fill="FFFFFF"/>
            <w:noWrap w:val="0"/>
            <w:vAlign w:val="center"/>
          </w:tcPr>
          <w:p w14:paraId="5F1FF9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工程量</w:t>
            </w:r>
          </w:p>
        </w:tc>
        <w:tc>
          <w:tcPr>
            <w:tcW w:w="1200" w:type="dxa"/>
            <w:tcBorders>
              <w:top w:val="single" w:color="000000" w:sz="4" w:space="0"/>
              <w:left w:val="single" w:color="000000" w:sz="4" w:space="0"/>
              <w:bottom w:val="nil"/>
              <w:right w:val="nil"/>
            </w:tcBorders>
            <w:shd w:val="clear" w:color="auto" w:fill="FFFFFF"/>
            <w:noWrap w:val="0"/>
            <w:vAlign w:val="center"/>
          </w:tcPr>
          <w:p w14:paraId="3B2F5D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单价</w:t>
            </w: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1369C6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合价</w:t>
            </w:r>
          </w:p>
        </w:tc>
      </w:tr>
      <w:tr w14:paraId="664AD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4E0E207C">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B4B888F">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4CC2665F">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3E60CDAF">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32F680E4">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6D68E5F">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432A3F20">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0CD2FE8D">
            <w:pPr>
              <w:jc w:val="right"/>
              <w:rPr>
                <w:rFonts w:hint="eastAsia" w:ascii="宋体" w:hAnsi="宋体" w:eastAsia="宋体" w:cs="宋体"/>
                <w:i w:val="0"/>
                <w:iCs w:val="0"/>
                <w:color w:val="auto"/>
                <w:sz w:val="18"/>
                <w:szCs w:val="18"/>
                <w:highlight w:val="none"/>
                <w:u w:val="none"/>
              </w:rPr>
            </w:pPr>
          </w:p>
        </w:tc>
      </w:tr>
      <w:tr w14:paraId="3AB6B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177BFD20">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165A8EA">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118E145B">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6DF86A9E">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4CBF7000">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10F4CE9">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156A85D">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6E29532A">
            <w:pPr>
              <w:jc w:val="right"/>
              <w:rPr>
                <w:rFonts w:hint="eastAsia" w:ascii="宋体" w:hAnsi="宋体" w:eastAsia="宋体" w:cs="宋体"/>
                <w:i w:val="0"/>
                <w:iCs w:val="0"/>
                <w:color w:val="auto"/>
                <w:sz w:val="18"/>
                <w:szCs w:val="18"/>
                <w:highlight w:val="none"/>
                <w:u w:val="none"/>
              </w:rPr>
            </w:pPr>
          </w:p>
        </w:tc>
      </w:tr>
      <w:tr w14:paraId="13898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56511EA6">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5A3D4C6B">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04889C39">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2B586EE4">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29DE2D48">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A232AA8">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A1CAFF3">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48F28D3F">
            <w:pPr>
              <w:jc w:val="right"/>
              <w:rPr>
                <w:rFonts w:hint="eastAsia" w:ascii="宋体" w:hAnsi="宋体" w:eastAsia="宋体" w:cs="宋体"/>
                <w:i w:val="0"/>
                <w:iCs w:val="0"/>
                <w:color w:val="auto"/>
                <w:sz w:val="18"/>
                <w:szCs w:val="18"/>
                <w:highlight w:val="none"/>
                <w:u w:val="none"/>
              </w:rPr>
            </w:pPr>
          </w:p>
        </w:tc>
      </w:tr>
      <w:tr w14:paraId="1E10D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360EE207">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54AA049B">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77916299">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7415575D">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7C546BFA">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746D3EC1">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CA7F8A5">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5B5F2998">
            <w:pPr>
              <w:jc w:val="right"/>
              <w:rPr>
                <w:rFonts w:hint="eastAsia" w:ascii="宋体" w:hAnsi="宋体" w:eastAsia="宋体" w:cs="宋体"/>
                <w:i w:val="0"/>
                <w:iCs w:val="0"/>
                <w:color w:val="auto"/>
                <w:sz w:val="18"/>
                <w:szCs w:val="18"/>
                <w:highlight w:val="none"/>
                <w:u w:val="none"/>
              </w:rPr>
            </w:pPr>
          </w:p>
        </w:tc>
      </w:tr>
      <w:tr w14:paraId="36490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22DC8FB8">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9DADDB6">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1236C715">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65A2BD14">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1837C652">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0E196D33">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A435F99">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107CF4FE">
            <w:pPr>
              <w:jc w:val="right"/>
              <w:rPr>
                <w:rFonts w:hint="eastAsia" w:ascii="宋体" w:hAnsi="宋体" w:eastAsia="宋体" w:cs="宋体"/>
                <w:i w:val="0"/>
                <w:iCs w:val="0"/>
                <w:color w:val="auto"/>
                <w:sz w:val="18"/>
                <w:szCs w:val="18"/>
                <w:highlight w:val="none"/>
                <w:u w:val="none"/>
              </w:rPr>
            </w:pPr>
          </w:p>
        </w:tc>
      </w:tr>
      <w:tr w14:paraId="2CB73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230A37BD">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5A33E9B2">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1C7FF4B8">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416D2505">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19772353">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0FD446C">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44DB35E">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2BD8B1B0">
            <w:pPr>
              <w:jc w:val="right"/>
              <w:rPr>
                <w:rFonts w:hint="eastAsia" w:ascii="宋体" w:hAnsi="宋体" w:eastAsia="宋体" w:cs="宋体"/>
                <w:i w:val="0"/>
                <w:iCs w:val="0"/>
                <w:color w:val="auto"/>
                <w:sz w:val="18"/>
                <w:szCs w:val="18"/>
                <w:highlight w:val="none"/>
                <w:u w:val="none"/>
              </w:rPr>
            </w:pPr>
          </w:p>
        </w:tc>
      </w:tr>
      <w:tr w14:paraId="60432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271F6085">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01E62808">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71481C0F">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4A4AC48F">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45A017A3">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38132E4">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63C7DFF">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7CA4933B">
            <w:pPr>
              <w:jc w:val="right"/>
              <w:rPr>
                <w:rFonts w:hint="eastAsia" w:ascii="宋体" w:hAnsi="宋体" w:eastAsia="宋体" w:cs="宋体"/>
                <w:i w:val="0"/>
                <w:iCs w:val="0"/>
                <w:color w:val="auto"/>
                <w:sz w:val="18"/>
                <w:szCs w:val="18"/>
                <w:highlight w:val="none"/>
                <w:u w:val="none"/>
              </w:rPr>
            </w:pPr>
          </w:p>
        </w:tc>
      </w:tr>
      <w:tr w14:paraId="56E53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2AF2C3D8">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59C184F5">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4B0A944E">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1F89AFB4">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65E97760">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7E8B5BC5">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4F8E5333">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72FF79DA">
            <w:pPr>
              <w:jc w:val="right"/>
              <w:rPr>
                <w:rFonts w:hint="eastAsia" w:ascii="宋体" w:hAnsi="宋体" w:eastAsia="宋体" w:cs="宋体"/>
                <w:i w:val="0"/>
                <w:iCs w:val="0"/>
                <w:color w:val="auto"/>
                <w:sz w:val="18"/>
                <w:szCs w:val="18"/>
                <w:highlight w:val="none"/>
                <w:u w:val="none"/>
              </w:rPr>
            </w:pPr>
          </w:p>
        </w:tc>
      </w:tr>
      <w:tr w14:paraId="09269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3760ADC8">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F443790">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76E7DCBC">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3D57F9E3">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7FDA0FAC">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4D29BD9E">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DFA3F2C">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087BBFE9">
            <w:pPr>
              <w:jc w:val="right"/>
              <w:rPr>
                <w:rFonts w:hint="eastAsia" w:ascii="宋体" w:hAnsi="宋体" w:eastAsia="宋体" w:cs="宋体"/>
                <w:i w:val="0"/>
                <w:iCs w:val="0"/>
                <w:color w:val="auto"/>
                <w:sz w:val="18"/>
                <w:szCs w:val="18"/>
                <w:highlight w:val="none"/>
                <w:u w:val="none"/>
              </w:rPr>
            </w:pPr>
          </w:p>
        </w:tc>
      </w:tr>
      <w:tr w14:paraId="0151D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146D057E">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F181CEC">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6269A2B2">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6F1D9A3C">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56A33C91">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A3424ED">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C41D214">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448895C3">
            <w:pPr>
              <w:jc w:val="right"/>
              <w:rPr>
                <w:rFonts w:hint="eastAsia" w:ascii="宋体" w:hAnsi="宋体" w:eastAsia="宋体" w:cs="宋体"/>
                <w:i w:val="0"/>
                <w:iCs w:val="0"/>
                <w:color w:val="auto"/>
                <w:sz w:val="18"/>
                <w:szCs w:val="18"/>
                <w:highlight w:val="none"/>
                <w:u w:val="none"/>
              </w:rPr>
            </w:pPr>
          </w:p>
        </w:tc>
      </w:tr>
      <w:tr w14:paraId="428F3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7AD56393">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4EAE39B">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64A6F95E">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7220FD4C">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230F36D2">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5A6F122">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00E84124">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6932F5BE">
            <w:pPr>
              <w:jc w:val="right"/>
              <w:rPr>
                <w:rFonts w:hint="eastAsia" w:ascii="宋体" w:hAnsi="宋体" w:eastAsia="宋体" w:cs="宋体"/>
                <w:i w:val="0"/>
                <w:iCs w:val="0"/>
                <w:color w:val="auto"/>
                <w:sz w:val="18"/>
                <w:szCs w:val="18"/>
                <w:highlight w:val="none"/>
                <w:u w:val="none"/>
              </w:rPr>
            </w:pPr>
          </w:p>
        </w:tc>
      </w:tr>
      <w:tr w14:paraId="73876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36159A06">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A143E54">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006189C7">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2D4BEF4A">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7A6CD839">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4C74DD1">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67AB22E">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05299DD2">
            <w:pPr>
              <w:jc w:val="right"/>
              <w:rPr>
                <w:rFonts w:hint="eastAsia" w:ascii="宋体" w:hAnsi="宋体" w:eastAsia="宋体" w:cs="宋体"/>
                <w:i w:val="0"/>
                <w:iCs w:val="0"/>
                <w:color w:val="auto"/>
                <w:sz w:val="18"/>
                <w:szCs w:val="18"/>
                <w:highlight w:val="none"/>
                <w:u w:val="none"/>
              </w:rPr>
            </w:pPr>
          </w:p>
        </w:tc>
      </w:tr>
      <w:tr w14:paraId="4E349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444EC499">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C7FC208">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6E410E9B">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6AA33AF0">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53F6E782">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4429AA5">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45AEED5D">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7A358E29">
            <w:pPr>
              <w:jc w:val="right"/>
              <w:rPr>
                <w:rFonts w:hint="eastAsia" w:ascii="宋体" w:hAnsi="宋体" w:eastAsia="宋体" w:cs="宋体"/>
                <w:i w:val="0"/>
                <w:iCs w:val="0"/>
                <w:color w:val="auto"/>
                <w:sz w:val="18"/>
                <w:szCs w:val="18"/>
                <w:highlight w:val="none"/>
                <w:u w:val="none"/>
              </w:rPr>
            </w:pPr>
          </w:p>
        </w:tc>
      </w:tr>
      <w:tr w14:paraId="35DC5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6699E846">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5A867554">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240EB0F8">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73E3FA5E">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1FC4B6DE">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35B0FB1">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0FD4B201">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49B21696">
            <w:pPr>
              <w:jc w:val="right"/>
              <w:rPr>
                <w:rFonts w:hint="eastAsia" w:ascii="宋体" w:hAnsi="宋体" w:eastAsia="宋体" w:cs="宋体"/>
                <w:i w:val="0"/>
                <w:iCs w:val="0"/>
                <w:color w:val="auto"/>
                <w:sz w:val="18"/>
                <w:szCs w:val="18"/>
                <w:highlight w:val="none"/>
                <w:u w:val="none"/>
              </w:rPr>
            </w:pPr>
          </w:p>
        </w:tc>
      </w:tr>
      <w:tr w14:paraId="2A112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3481C089">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F919DE5">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28B1CAC5">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7DB0793E">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3BEFD005">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2DA8D54">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E2F923C">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4621BA3B">
            <w:pPr>
              <w:jc w:val="right"/>
              <w:rPr>
                <w:rFonts w:hint="eastAsia" w:ascii="宋体" w:hAnsi="宋体" w:eastAsia="宋体" w:cs="宋体"/>
                <w:i w:val="0"/>
                <w:iCs w:val="0"/>
                <w:color w:val="auto"/>
                <w:sz w:val="18"/>
                <w:szCs w:val="18"/>
                <w:highlight w:val="none"/>
                <w:u w:val="none"/>
              </w:rPr>
            </w:pPr>
          </w:p>
        </w:tc>
      </w:tr>
      <w:tr w14:paraId="03F1F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323DE168">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7A7D3C7B">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0CB02F4C">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2909A51B">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13E40C1A">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4E057BD7">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0A8467D">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129DBC31">
            <w:pPr>
              <w:jc w:val="right"/>
              <w:rPr>
                <w:rFonts w:hint="eastAsia" w:ascii="宋体" w:hAnsi="宋体" w:eastAsia="宋体" w:cs="宋体"/>
                <w:i w:val="0"/>
                <w:iCs w:val="0"/>
                <w:color w:val="auto"/>
                <w:sz w:val="18"/>
                <w:szCs w:val="18"/>
                <w:highlight w:val="none"/>
                <w:u w:val="none"/>
              </w:rPr>
            </w:pPr>
          </w:p>
        </w:tc>
      </w:tr>
      <w:tr w14:paraId="7F5C5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40068F82">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387E63B">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7602B78C">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22E21114">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0C2EB40F">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0CB5D573">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95AC621">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29C72B69">
            <w:pPr>
              <w:jc w:val="right"/>
              <w:rPr>
                <w:rFonts w:hint="eastAsia" w:ascii="宋体" w:hAnsi="宋体" w:eastAsia="宋体" w:cs="宋体"/>
                <w:i w:val="0"/>
                <w:iCs w:val="0"/>
                <w:color w:val="auto"/>
                <w:sz w:val="18"/>
                <w:szCs w:val="18"/>
                <w:highlight w:val="none"/>
                <w:u w:val="none"/>
              </w:rPr>
            </w:pPr>
          </w:p>
        </w:tc>
      </w:tr>
      <w:tr w14:paraId="35DC6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127B00FA">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FA94D5E">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2A452EE8">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211B06A3">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39B99A90">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AC9DAB9">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B68BEDD">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3E430734">
            <w:pPr>
              <w:jc w:val="right"/>
              <w:rPr>
                <w:rFonts w:hint="eastAsia" w:ascii="宋体" w:hAnsi="宋体" w:eastAsia="宋体" w:cs="宋体"/>
                <w:i w:val="0"/>
                <w:iCs w:val="0"/>
                <w:color w:val="auto"/>
                <w:sz w:val="18"/>
                <w:szCs w:val="18"/>
                <w:highlight w:val="none"/>
                <w:u w:val="none"/>
              </w:rPr>
            </w:pPr>
          </w:p>
        </w:tc>
      </w:tr>
      <w:tr w14:paraId="72915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60E5ADAE">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4EF6E097">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7E6F144D">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56FCA513">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18147C2B">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4A60EE4">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79D6C501">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40DAA058">
            <w:pPr>
              <w:jc w:val="right"/>
              <w:rPr>
                <w:rFonts w:hint="eastAsia" w:ascii="宋体" w:hAnsi="宋体" w:eastAsia="宋体" w:cs="宋体"/>
                <w:i w:val="0"/>
                <w:iCs w:val="0"/>
                <w:color w:val="auto"/>
                <w:sz w:val="18"/>
                <w:szCs w:val="18"/>
                <w:highlight w:val="none"/>
                <w:u w:val="none"/>
              </w:rPr>
            </w:pPr>
          </w:p>
        </w:tc>
      </w:tr>
      <w:tr w14:paraId="63739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0068AF45">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A6D8F41">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044AED94">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34D10E90">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68D9FE4C">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D0D168E">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20B8D8E2">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19634855">
            <w:pPr>
              <w:jc w:val="right"/>
              <w:rPr>
                <w:rFonts w:hint="eastAsia" w:ascii="宋体" w:hAnsi="宋体" w:eastAsia="宋体" w:cs="宋体"/>
                <w:i w:val="0"/>
                <w:iCs w:val="0"/>
                <w:color w:val="auto"/>
                <w:sz w:val="18"/>
                <w:szCs w:val="18"/>
                <w:highlight w:val="none"/>
                <w:u w:val="none"/>
              </w:rPr>
            </w:pPr>
          </w:p>
        </w:tc>
      </w:tr>
      <w:tr w14:paraId="2758E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19C810C9">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55BC5E5">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4583B4D1">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09025470">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22007153">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1D32083A">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2F0F62D">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32D9FAD2">
            <w:pPr>
              <w:jc w:val="right"/>
              <w:rPr>
                <w:rFonts w:hint="eastAsia" w:ascii="宋体" w:hAnsi="宋体" w:eastAsia="宋体" w:cs="宋体"/>
                <w:i w:val="0"/>
                <w:iCs w:val="0"/>
                <w:color w:val="auto"/>
                <w:sz w:val="18"/>
                <w:szCs w:val="18"/>
                <w:highlight w:val="none"/>
                <w:u w:val="none"/>
              </w:rPr>
            </w:pPr>
          </w:p>
        </w:tc>
      </w:tr>
      <w:tr w14:paraId="76ECA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5D288C1D">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02C6040">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5CD24F99">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56120042">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5993A60C">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018CC544">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E089A12">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358C73DB">
            <w:pPr>
              <w:jc w:val="right"/>
              <w:rPr>
                <w:rFonts w:hint="eastAsia" w:ascii="宋体" w:hAnsi="宋体" w:eastAsia="宋体" w:cs="宋体"/>
                <w:i w:val="0"/>
                <w:iCs w:val="0"/>
                <w:color w:val="auto"/>
                <w:sz w:val="18"/>
                <w:szCs w:val="18"/>
                <w:highlight w:val="none"/>
                <w:u w:val="none"/>
              </w:rPr>
            </w:pPr>
          </w:p>
        </w:tc>
      </w:tr>
      <w:tr w14:paraId="04A7A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3D03A91B">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EEA7A0F">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0666D254">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42DB327A">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732D7104">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1809739">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43E46C97">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06F8F5F5">
            <w:pPr>
              <w:jc w:val="right"/>
              <w:rPr>
                <w:rFonts w:hint="eastAsia" w:ascii="宋体" w:hAnsi="宋体" w:eastAsia="宋体" w:cs="宋体"/>
                <w:i w:val="0"/>
                <w:iCs w:val="0"/>
                <w:color w:val="auto"/>
                <w:sz w:val="18"/>
                <w:szCs w:val="18"/>
                <w:highlight w:val="none"/>
                <w:u w:val="none"/>
              </w:rPr>
            </w:pPr>
          </w:p>
        </w:tc>
      </w:tr>
      <w:tr w14:paraId="689FE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45" w:type="dxa"/>
            <w:tcBorders>
              <w:top w:val="single" w:color="000000" w:sz="4" w:space="0"/>
              <w:left w:val="single" w:color="000000" w:sz="4" w:space="0"/>
              <w:bottom w:val="nil"/>
              <w:right w:val="nil"/>
            </w:tcBorders>
            <w:shd w:val="clear" w:color="auto" w:fill="FFFFFF"/>
            <w:noWrap w:val="0"/>
            <w:vAlign w:val="center"/>
          </w:tcPr>
          <w:p w14:paraId="0415ADE6">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72A1873E">
            <w:pPr>
              <w:jc w:val="center"/>
              <w:rPr>
                <w:rFonts w:hint="eastAsia" w:ascii="宋体" w:hAnsi="宋体" w:eastAsia="宋体" w:cs="宋体"/>
                <w:i w:val="0"/>
                <w:iCs w:val="0"/>
                <w:color w:val="auto"/>
                <w:sz w:val="18"/>
                <w:szCs w:val="18"/>
                <w:highlight w:val="none"/>
                <w:u w:val="none"/>
              </w:rPr>
            </w:pPr>
          </w:p>
        </w:tc>
        <w:tc>
          <w:tcPr>
            <w:tcW w:w="2160" w:type="dxa"/>
            <w:tcBorders>
              <w:top w:val="single" w:color="000000" w:sz="4" w:space="0"/>
              <w:left w:val="single" w:color="000000" w:sz="4" w:space="0"/>
              <w:bottom w:val="nil"/>
              <w:right w:val="nil"/>
            </w:tcBorders>
            <w:shd w:val="clear" w:color="auto" w:fill="FFFFFF"/>
            <w:noWrap w:val="0"/>
            <w:vAlign w:val="center"/>
          </w:tcPr>
          <w:p w14:paraId="5632FBF8">
            <w:pPr>
              <w:jc w:val="left"/>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nil"/>
              <w:right w:val="nil"/>
            </w:tcBorders>
            <w:shd w:val="clear" w:color="auto" w:fill="FFFFFF"/>
            <w:noWrap w:val="0"/>
            <w:vAlign w:val="center"/>
          </w:tcPr>
          <w:p w14:paraId="313FF952">
            <w:pPr>
              <w:jc w:val="left"/>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nil"/>
              <w:right w:val="nil"/>
            </w:tcBorders>
            <w:shd w:val="clear" w:color="auto" w:fill="FFFFFF"/>
            <w:noWrap w:val="0"/>
            <w:vAlign w:val="center"/>
          </w:tcPr>
          <w:p w14:paraId="5433A23F">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694EEC8A">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nil"/>
            </w:tcBorders>
            <w:shd w:val="clear" w:color="auto" w:fill="FFFFFF"/>
            <w:noWrap w:val="0"/>
            <w:vAlign w:val="center"/>
          </w:tcPr>
          <w:p w14:paraId="3F3EF032">
            <w:pPr>
              <w:jc w:val="right"/>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nil"/>
              <w:right w:val="single" w:color="000000" w:sz="4" w:space="0"/>
            </w:tcBorders>
            <w:shd w:val="clear" w:color="auto" w:fill="FFFFFF"/>
            <w:noWrap w:val="0"/>
            <w:vAlign w:val="center"/>
          </w:tcPr>
          <w:p w14:paraId="66FCB28B">
            <w:pPr>
              <w:jc w:val="right"/>
              <w:rPr>
                <w:rFonts w:hint="eastAsia" w:ascii="宋体" w:hAnsi="宋体" w:eastAsia="宋体" w:cs="宋体"/>
                <w:i w:val="0"/>
                <w:iCs w:val="0"/>
                <w:color w:val="auto"/>
                <w:sz w:val="18"/>
                <w:szCs w:val="18"/>
                <w:highlight w:val="none"/>
                <w:u w:val="none"/>
              </w:rPr>
            </w:pPr>
          </w:p>
        </w:tc>
      </w:tr>
      <w:tr w14:paraId="01780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45" w:type="dxa"/>
            <w:tcBorders>
              <w:top w:val="single" w:color="000000" w:sz="4" w:space="0"/>
              <w:left w:val="single" w:color="000000" w:sz="4" w:space="0"/>
              <w:bottom w:val="single" w:color="000000" w:sz="4" w:space="0"/>
              <w:right w:val="nil"/>
            </w:tcBorders>
            <w:shd w:val="clear" w:color="auto" w:fill="FFFFFF"/>
            <w:noWrap w:val="0"/>
            <w:vAlign w:val="center"/>
          </w:tcPr>
          <w:p w14:paraId="61FDAA55">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single" w:color="000000" w:sz="4" w:space="0"/>
              <w:right w:val="nil"/>
            </w:tcBorders>
            <w:shd w:val="clear" w:color="auto" w:fill="FFFFFF"/>
            <w:noWrap w:val="0"/>
            <w:vAlign w:val="center"/>
          </w:tcPr>
          <w:p w14:paraId="06D63B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2160" w:type="dxa"/>
            <w:tcBorders>
              <w:top w:val="single" w:color="000000" w:sz="4" w:space="0"/>
              <w:left w:val="single" w:color="000000" w:sz="4" w:space="0"/>
              <w:bottom w:val="single" w:color="000000" w:sz="4" w:space="0"/>
              <w:right w:val="nil"/>
            </w:tcBorders>
            <w:shd w:val="clear" w:color="auto" w:fill="FFFFFF"/>
            <w:noWrap w:val="0"/>
            <w:vAlign w:val="center"/>
          </w:tcPr>
          <w:p w14:paraId="4D5D244F">
            <w:pPr>
              <w:jc w:val="center"/>
              <w:rPr>
                <w:rFonts w:hint="eastAsia" w:ascii="宋体" w:hAnsi="宋体" w:eastAsia="宋体" w:cs="宋体"/>
                <w:i w:val="0"/>
                <w:iCs w:val="0"/>
                <w:color w:val="auto"/>
                <w:sz w:val="18"/>
                <w:szCs w:val="18"/>
                <w:highlight w:val="none"/>
                <w:u w:val="none"/>
              </w:rPr>
            </w:pPr>
          </w:p>
        </w:tc>
        <w:tc>
          <w:tcPr>
            <w:tcW w:w="1860" w:type="dxa"/>
            <w:tcBorders>
              <w:top w:val="single" w:color="000000" w:sz="4" w:space="0"/>
              <w:left w:val="single" w:color="000000" w:sz="4" w:space="0"/>
              <w:bottom w:val="single" w:color="000000" w:sz="4" w:space="0"/>
              <w:right w:val="nil"/>
            </w:tcBorders>
            <w:shd w:val="clear" w:color="auto" w:fill="FFFFFF"/>
            <w:noWrap w:val="0"/>
            <w:vAlign w:val="center"/>
          </w:tcPr>
          <w:p w14:paraId="13FA2409">
            <w:pPr>
              <w:jc w:val="center"/>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single" w:color="000000" w:sz="4" w:space="0"/>
              <w:right w:val="nil"/>
            </w:tcBorders>
            <w:shd w:val="clear" w:color="auto" w:fill="FFFFFF"/>
            <w:noWrap w:val="0"/>
            <w:vAlign w:val="center"/>
          </w:tcPr>
          <w:p w14:paraId="51ECDF32">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single" w:color="000000" w:sz="4" w:space="0"/>
              <w:right w:val="nil"/>
            </w:tcBorders>
            <w:shd w:val="clear" w:color="auto" w:fill="FFFFFF"/>
            <w:noWrap w:val="0"/>
            <w:vAlign w:val="center"/>
          </w:tcPr>
          <w:p w14:paraId="050C1B4A">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single" w:color="000000" w:sz="4" w:space="0"/>
              <w:right w:val="nil"/>
            </w:tcBorders>
            <w:shd w:val="clear" w:color="auto" w:fill="FFFFFF"/>
            <w:noWrap w:val="0"/>
            <w:vAlign w:val="center"/>
          </w:tcPr>
          <w:p w14:paraId="7B2B7A2F">
            <w:pPr>
              <w:jc w:val="center"/>
              <w:rPr>
                <w:rFonts w:hint="eastAsia" w:ascii="宋体" w:hAnsi="宋体" w:eastAsia="宋体" w:cs="宋体"/>
                <w:i w:val="0"/>
                <w:iCs w:val="0"/>
                <w:color w:val="auto"/>
                <w:sz w:val="18"/>
                <w:szCs w:val="18"/>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66488">
            <w:pPr>
              <w:jc w:val="right"/>
              <w:rPr>
                <w:rFonts w:hint="eastAsia" w:ascii="宋体" w:hAnsi="宋体" w:eastAsia="宋体" w:cs="宋体"/>
                <w:i w:val="0"/>
                <w:iCs w:val="0"/>
                <w:color w:val="auto"/>
                <w:sz w:val="18"/>
                <w:szCs w:val="18"/>
                <w:highlight w:val="none"/>
                <w:u w:val="none"/>
              </w:rPr>
            </w:pPr>
          </w:p>
        </w:tc>
      </w:tr>
    </w:tbl>
    <w:p w14:paraId="74A62076">
      <w:pPr>
        <w:pStyle w:val="8"/>
        <w:spacing w:line="253" w:lineRule="auto"/>
        <w:rPr>
          <w:color w:val="auto"/>
          <w:highlight w:val="none"/>
        </w:rPr>
      </w:pPr>
    </w:p>
    <w:p w14:paraId="6C1E90AA">
      <w:pPr>
        <w:pStyle w:val="8"/>
        <w:spacing w:line="253" w:lineRule="auto"/>
        <w:rPr>
          <w:color w:val="auto"/>
          <w:highlight w:val="none"/>
        </w:rPr>
      </w:pPr>
    </w:p>
    <w:p w14:paraId="21F2C78D">
      <w:pPr>
        <w:pStyle w:val="8"/>
        <w:spacing w:line="253" w:lineRule="auto"/>
        <w:rPr>
          <w:color w:val="auto"/>
          <w:highlight w:val="none"/>
        </w:rPr>
        <w:sectPr>
          <w:footerReference r:id="rId118" w:type="default"/>
          <w:pgSz w:w="11905" w:h="16840"/>
          <w:pgMar w:top="400" w:right="1442" w:bottom="1255" w:left="1587" w:header="0" w:footer="1093" w:gutter="0"/>
          <w:pgNumType w:fmt="decimal"/>
          <w:cols w:space="720" w:num="1"/>
        </w:sectPr>
      </w:pPr>
    </w:p>
    <w:tbl>
      <w:tblPr>
        <w:tblStyle w:val="14"/>
        <w:tblW w:w="150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0"/>
        <w:gridCol w:w="1230"/>
        <w:gridCol w:w="1950"/>
        <w:gridCol w:w="600"/>
        <w:gridCol w:w="690"/>
        <w:gridCol w:w="690"/>
        <w:gridCol w:w="690"/>
        <w:gridCol w:w="690"/>
        <w:gridCol w:w="690"/>
        <w:gridCol w:w="690"/>
        <w:gridCol w:w="960"/>
        <w:gridCol w:w="960"/>
        <w:gridCol w:w="960"/>
        <w:gridCol w:w="960"/>
        <w:gridCol w:w="960"/>
        <w:gridCol w:w="1485"/>
      </w:tblGrid>
      <w:tr w14:paraId="63489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5015" w:type="dxa"/>
            <w:gridSpan w:val="16"/>
            <w:tcBorders>
              <w:top w:val="nil"/>
              <w:left w:val="nil"/>
              <w:bottom w:val="nil"/>
              <w:right w:val="nil"/>
            </w:tcBorders>
            <w:shd w:val="clear" w:color="auto" w:fill="FFFFFF"/>
            <w:noWrap w:val="0"/>
            <w:vAlign w:val="center"/>
          </w:tcPr>
          <w:p w14:paraId="1E04BFDD">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综合单价分析表</w:t>
            </w:r>
          </w:p>
        </w:tc>
      </w:tr>
      <w:tr w14:paraId="5FA54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660" w:type="dxa"/>
            <w:gridSpan w:val="7"/>
            <w:tcBorders>
              <w:top w:val="nil"/>
              <w:left w:val="nil"/>
              <w:bottom w:val="single" w:color="auto" w:sz="4" w:space="0"/>
              <w:right w:val="nil"/>
            </w:tcBorders>
            <w:shd w:val="clear" w:color="auto" w:fill="FFFFFF"/>
            <w:noWrap w:val="0"/>
            <w:vAlign w:val="bottom"/>
          </w:tcPr>
          <w:p w14:paraId="09C64ACB">
            <w:pPr>
              <w:keepNext w:val="0"/>
              <w:keepLines w:val="0"/>
              <w:widowControl/>
              <w:suppressLineNumbers w:val="0"/>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工程名称:</w:t>
            </w:r>
          </w:p>
        </w:tc>
        <w:tc>
          <w:tcPr>
            <w:tcW w:w="690" w:type="dxa"/>
            <w:tcBorders>
              <w:top w:val="nil"/>
              <w:left w:val="nil"/>
              <w:bottom w:val="single" w:color="auto" w:sz="4" w:space="0"/>
              <w:right w:val="nil"/>
            </w:tcBorders>
            <w:shd w:val="clear" w:color="auto" w:fill="FFFFFF"/>
            <w:noWrap w:val="0"/>
            <w:vAlign w:val="center"/>
          </w:tcPr>
          <w:p w14:paraId="715FE616">
            <w:pPr>
              <w:jc w:val="center"/>
              <w:rPr>
                <w:rFonts w:hint="eastAsia" w:ascii="宋体" w:hAnsi="宋体" w:eastAsia="宋体" w:cs="宋体"/>
                <w:i w:val="0"/>
                <w:iCs w:val="0"/>
                <w:color w:val="auto"/>
                <w:sz w:val="18"/>
                <w:szCs w:val="18"/>
                <w:highlight w:val="none"/>
                <w:u w:val="none"/>
              </w:rPr>
            </w:pPr>
          </w:p>
        </w:tc>
        <w:tc>
          <w:tcPr>
            <w:tcW w:w="690" w:type="dxa"/>
            <w:tcBorders>
              <w:top w:val="nil"/>
              <w:left w:val="nil"/>
              <w:bottom w:val="single" w:color="auto" w:sz="4" w:space="0"/>
              <w:right w:val="nil"/>
            </w:tcBorders>
            <w:shd w:val="clear" w:color="auto" w:fill="FFFFFF"/>
            <w:noWrap w:val="0"/>
            <w:vAlign w:val="center"/>
          </w:tcPr>
          <w:p w14:paraId="4A224CAC">
            <w:pPr>
              <w:jc w:val="center"/>
              <w:rPr>
                <w:rFonts w:hint="eastAsia" w:ascii="宋体" w:hAnsi="宋体" w:eastAsia="宋体" w:cs="宋体"/>
                <w:i w:val="0"/>
                <w:iCs w:val="0"/>
                <w:color w:val="auto"/>
                <w:sz w:val="18"/>
                <w:szCs w:val="18"/>
                <w:highlight w:val="none"/>
                <w:u w:val="none"/>
              </w:rPr>
            </w:pPr>
          </w:p>
        </w:tc>
        <w:tc>
          <w:tcPr>
            <w:tcW w:w="690" w:type="dxa"/>
            <w:tcBorders>
              <w:top w:val="nil"/>
              <w:left w:val="nil"/>
              <w:bottom w:val="single" w:color="auto" w:sz="4" w:space="0"/>
              <w:right w:val="nil"/>
            </w:tcBorders>
            <w:shd w:val="clear" w:color="auto" w:fill="FFFFFF"/>
            <w:noWrap w:val="0"/>
            <w:vAlign w:val="center"/>
          </w:tcPr>
          <w:p w14:paraId="6514807E">
            <w:pPr>
              <w:jc w:val="center"/>
              <w:rPr>
                <w:rFonts w:hint="eastAsia" w:ascii="宋体" w:hAnsi="宋体" w:eastAsia="宋体" w:cs="宋体"/>
                <w:i w:val="0"/>
                <w:iCs w:val="0"/>
                <w:color w:val="auto"/>
                <w:sz w:val="18"/>
                <w:szCs w:val="18"/>
                <w:highlight w:val="none"/>
                <w:u w:val="none"/>
              </w:rPr>
            </w:pPr>
          </w:p>
        </w:tc>
        <w:tc>
          <w:tcPr>
            <w:tcW w:w="960" w:type="dxa"/>
            <w:tcBorders>
              <w:top w:val="nil"/>
              <w:left w:val="nil"/>
              <w:bottom w:val="single" w:color="auto" w:sz="4" w:space="0"/>
              <w:right w:val="nil"/>
            </w:tcBorders>
            <w:shd w:val="clear" w:color="auto" w:fill="FFFFFF"/>
            <w:noWrap w:val="0"/>
            <w:vAlign w:val="center"/>
          </w:tcPr>
          <w:p w14:paraId="651C9C93">
            <w:pPr>
              <w:jc w:val="center"/>
              <w:rPr>
                <w:rFonts w:hint="eastAsia" w:ascii="宋体" w:hAnsi="宋体" w:eastAsia="宋体" w:cs="宋体"/>
                <w:i w:val="0"/>
                <w:iCs w:val="0"/>
                <w:color w:val="auto"/>
                <w:sz w:val="18"/>
                <w:szCs w:val="18"/>
                <w:highlight w:val="none"/>
                <w:u w:val="none"/>
              </w:rPr>
            </w:pPr>
          </w:p>
        </w:tc>
        <w:tc>
          <w:tcPr>
            <w:tcW w:w="960" w:type="dxa"/>
            <w:tcBorders>
              <w:top w:val="nil"/>
              <w:left w:val="nil"/>
              <w:bottom w:val="single" w:color="auto" w:sz="4" w:space="0"/>
              <w:right w:val="nil"/>
            </w:tcBorders>
            <w:shd w:val="clear" w:color="auto" w:fill="FFFFFF"/>
            <w:noWrap w:val="0"/>
            <w:vAlign w:val="center"/>
          </w:tcPr>
          <w:p w14:paraId="151D582B">
            <w:pPr>
              <w:jc w:val="center"/>
              <w:rPr>
                <w:rFonts w:hint="eastAsia" w:ascii="宋体" w:hAnsi="宋体" w:eastAsia="宋体" w:cs="宋体"/>
                <w:i w:val="0"/>
                <w:iCs w:val="0"/>
                <w:color w:val="auto"/>
                <w:sz w:val="18"/>
                <w:szCs w:val="18"/>
                <w:highlight w:val="none"/>
                <w:u w:val="none"/>
              </w:rPr>
            </w:pPr>
          </w:p>
        </w:tc>
        <w:tc>
          <w:tcPr>
            <w:tcW w:w="960" w:type="dxa"/>
            <w:tcBorders>
              <w:top w:val="nil"/>
              <w:left w:val="nil"/>
              <w:bottom w:val="single" w:color="auto" w:sz="4" w:space="0"/>
              <w:right w:val="nil"/>
            </w:tcBorders>
            <w:shd w:val="clear" w:color="auto" w:fill="FFFFFF"/>
            <w:noWrap w:val="0"/>
            <w:vAlign w:val="center"/>
          </w:tcPr>
          <w:p w14:paraId="753E063B">
            <w:pPr>
              <w:jc w:val="center"/>
              <w:rPr>
                <w:rFonts w:hint="eastAsia" w:ascii="宋体" w:hAnsi="宋体" w:eastAsia="宋体" w:cs="宋体"/>
                <w:i w:val="0"/>
                <w:iCs w:val="0"/>
                <w:color w:val="auto"/>
                <w:sz w:val="18"/>
                <w:szCs w:val="18"/>
                <w:highlight w:val="none"/>
                <w:u w:val="none"/>
              </w:rPr>
            </w:pPr>
          </w:p>
        </w:tc>
        <w:tc>
          <w:tcPr>
            <w:tcW w:w="960" w:type="dxa"/>
            <w:tcBorders>
              <w:top w:val="nil"/>
              <w:left w:val="nil"/>
              <w:bottom w:val="single" w:color="auto" w:sz="4" w:space="0"/>
              <w:right w:val="nil"/>
            </w:tcBorders>
            <w:shd w:val="clear" w:color="auto" w:fill="FFFFFF"/>
            <w:noWrap w:val="0"/>
            <w:vAlign w:val="center"/>
          </w:tcPr>
          <w:p w14:paraId="26ED4D72">
            <w:pPr>
              <w:jc w:val="center"/>
              <w:rPr>
                <w:rFonts w:hint="eastAsia" w:ascii="宋体" w:hAnsi="宋体" w:eastAsia="宋体" w:cs="宋体"/>
                <w:i w:val="0"/>
                <w:iCs w:val="0"/>
                <w:color w:val="auto"/>
                <w:sz w:val="18"/>
                <w:szCs w:val="18"/>
                <w:highlight w:val="none"/>
                <w:u w:val="none"/>
              </w:rPr>
            </w:pPr>
          </w:p>
        </w:tc>
        <w:tc>
          <w:tcPr>
            <w:tcW w:w="960" w:type="dxa"/>
            <w:tcBorders>
              <w:top w:val="nil"/>
              <w:left w:val="nil"/>
              <w:bottom w:val="single" w:color="auto" w:sz="4" w:space="0"/>
              <w:right w:val="nil"/>
            </w:tcBorders>
            <w:shd w:val="clear" w:color="auto" w:fill="FFFFFF"/>
            <w:noWrap w:val="0"/>
            <w:vAlign w:val="center"/>
          </w:tcPr>
          <w:p w14:paraId="09F9226D">
            <w:pPr>
              <w:jc w:val="center"/>
              <w:rPr>
                <w:rFonts w:hint="eastAsia" w:ascii="宋体" w:hAnsi="宋体" w:eastAsia="宋体" w:cs="宋体"/>
                <w:i w:val="0"/>
                <w:iCs w:val="0"/>
                <w:color w:val="auto"/>
                <w:sz w:val="18"/>
                <w:szCs w:val="18"/>
                <w:highlight w:val="none"/>
                <w:u w:val="none"/>
              </w:rPr>
            </w:pPr>
          </w:p>
        </w:tc>
        <w:tc>
          <w:tcPr>
            <w:tcW w:w="1485" w:type="dxa"/>
            <w:tcBorders>
              <w:top w:val="nil"/>
              <w:left w:val="nil"/>
              <w:bottom w:val="single" w:color="auto" w:sz="4" w:space="0"/>
              <w:right w:val="nil"/>
            </w:tcBorders>
            <w:shd w:val="clear" w:color="auto" w:fill="FFFFFF"/>
            <w:noWrap w:val="0"/>
            <w:vAlign w:val="bottom"/>
          </w:tcPr>
          <w:p w14:paraId="7E785325">
            <w:pPr>
              <w:keepNext w:val="0"/>
              <w:keepLines w:val="0"/>
              <w:widowControl/>
              <w:suppressLineNumbers w:val="0"/>
              <w:jc w:val="righ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第  页 共  页</w:t>
            </w:r>
          </w:p>
        </w:tc>
      </w:tr>
      <w:tr w14:paraId="74A9F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4E22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序号</w:t>
            </w:r>
          </w:p>
        </w:tc>
        <w:tc>
          <w:tcPr>
            <w:tcW w:w="123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C5BA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项目编码</w:t>
            </w:r>
          </w:p>
        </w:tc>
        <w:tc>
          <w:tcPr>
            <w:tcW w:w="195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A989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单项名称</w:t>
            </w:r>
          </w:p>
        </w:tc>
        <w:tc>
          <w:tcPr>
            <w:tcW w:w="60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23B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w:t>
            </w:r>
          </w:p>
        </w:tc>
        <w:tc>
          <w:tcPr>
            <w:tcW w:w="4140" w:type="dxa"/>
            <w:gridSpan w:val="6"/>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E2E7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直接费</w:t>
            </w:r>
          </w:p>
        </w:tc>
        <w:tc>
          <w:tcPr>
            <w:tcW w:w="96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11B8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间接费</w:t>
            </w:r>
          </w:p>
        </w:tc>
        <w:tc>
          <w:tcPr>
            <w:tcW w:w="96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3BB5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利润</w:t>
            </w:r>
          </w:p>
        </w:tc>
        <w:tc>
          <w:tcPr>
            <w:tcW w:w="96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8E27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材料</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价差</w:t>
            </w:r>
          </w:p>
        </w:tc>
        <w:tc>
          <w:tcPr>
            <w:tcW w:w="96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AC93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税金</w:t>
            </w:r>
          </w:p>
        </w:tc>
        <w:tc>
          <w:tcPr>
            <w:tcW w:w="960"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914F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综合</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单价</w:t>
            </w:r>
          </w:p>
        </w:tc>
        <w:tc>
          <w:tcPr>
            <w:tcW w:w="1485"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9E87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单价</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组合</w:t>
            </w:r>
          </w:p>
        </w:tc>
      </w:tr>
      <w:tr w14:paraId="0245C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81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FFA2C7">
            <w:pPr>
              <w:jc w:val="center"/>
              <w:rPr>
                <w:rFonts w:hint="eastAsia" w:ascii="宋体" w:hAnsi="宋体" w:eastAsia="宋体" w:cs="宋体"/>
                <w:i w:val="0"/>
                <w:iCs w:val="0"/>
                <w:color w:val="auto"/>
                <w:sz w:val="18"/>
                <w:szCs w:val="18"/>
                <w:highlight w:val="none"/>
                <w:u w:val="none"/>
              </w:rPr>
            </w:pPr>
          </w:p>
        </w:tc>
        <w:tc>
          <w:tcPr>
            <w:tcW w:w="123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895171">
            <w:pPr>
              <w:jc w:val="center"/>
              <w:rPr>
                <w:rFonts w:hint="eastAsia" w:ascii="宋体" w:hAnsi="宋体" w:eastAsia="宋体" w:cs="宋体"/>
                <w:i w:val="0"/>
                <w:iCs w:val="0"/>
                <w:color w:val="auto"/>
                <w:sz w:val="18"/>
                <w:szCs w:val="18"/>
                <w:highlight w:val="none"/>
                <w:u w:val="none"/>
              </w:rPr>
            </w:pPr>
          </w:p>
        </w:tc>
        <w:tc>
          <w:tcPr>
            <w:tcW w:w="195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3B4553">
            <w:pPr>
              <w:jc w:val="center"/>
              <w:rPr>
                <w:rFonts w:hint="eastAsia" w:ascii="宋体" w:hAnsi="宋体" w:eastAsia="宋体" w:cs="宋体"/>
                <w:i w:val="0"/>
                <w:iCs w:val="0"/>
                <w:color w:val="auto"/>
                <w:sz w:val="18"/>
                <w:szCs w:val="18"/>
                <w:highlight w:val="none"/>
                <w:u w:val="none"/>
              </w:rPr>
            </w:pPr>
          </w:p>
        </w:tc>
        <w:tc>
          <w:tcPr>
            <w:tcW w:w="60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67F35E">
            <w:pPr>
              <w:jc w:val="center"/>
              <w:rPr>
                <w:rFonts w:hint="eastAsia" w:ascii="宋体" w:hAnsi="宋体" w:eastAsia="宋体" w:cs="宋体"/>
                <w:i w:val="0"/>
                <w:iCs w:val="0"/>
                <w:color w:val="auto"/>
                <w:sz w:val="18"/>
                <w:szCs w:val="18"/>
                <w:highlight w:val="none"/>
                <w:u w:val="none"/>
              </w:rPr>
            </w:pPr>
          </w:p>
        </w:tc>
        <w:tc>
          <w:tcPr>
            <w:tcW w:w="6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E7CC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人工费</w:t>
            </w:r>
          </w:p>
        </w:tc>
        <w:tc>
          <w:tcPr>
            <w:tcW w:w="6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DF7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材料费</w:t>
            </w:r>
          </w:p>
        </w:tc>
        <w:tc>
          <w:tcPr>
            <w:tcW w:w="6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BB27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机  械</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使用费</w:t>
            </w:r>
          </w:p>
        </w:tc>
        <w:tc>
          <w:tcPr>
            <w:tcW w:w="6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2AF07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直  接</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工程费</w:t>
            </w:r>
          </w:p>
        </w:tc>
        <w:tc>
          <w:tcPr>
            <w:tcW w:w="6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8CA2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措施费</w:t>
            </w:r>
          </w:p>
        </w:tc>
        <w:tc>
          <w:tcPr>
            <w:tcW w:w="6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3463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96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77DE3A">
            <w:pPr>
              <w:jc w:val="center"/>
              <w:rPr>
                <w:rFonts w:hint="eastAsia" w:ascii="宋体" w:hAnsi="宋体" w:eastAsia="宋体" w:cs="宋体"/>
                <w:i w:val="0"/>
                <w:iCs w:val="0"/>
                <w:color w:val="auto"/>
                <w:sz w:val="18"/>
                <w:szCs w:val="18"/>
                <w:highlight w:val="none"/>
                <w:u w:val="none"/>
              </w:rPr>
            </w:pPr>
          </w:p>
        </w:tc>
        <w:tc>
          <w:tcPr>
            <w:tcW w:w="96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6092E6">
            <w:pPr>
              <w:jc w:val="center"/>
              <w:rPr>
                <w:rFonts w:hint="eastAsia" w:ascii="宋体" w:hAnsi="宋体" w:eastAsia="宋体" w:cs="宋体"/>
                <w:i w:val="0"/>
                <w:iCs w:val="0"/>
                <w:color w:val="auto"/>
                <w:sz w:val="18"/>
                <w:szCs w:val="18"/>
                <w:highlight w:val="none"/>
                <w:u w:val="none"/>
              </w:rPr>
            </w:pPr>
          </w:p>
        </w:tc>
        <w:tc>
          <w:tcPr>
            <w:tcW w:w="96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35A9FA">
            <w:pPr>
              <w:jc w:val="center"/>
              <w:rPr>
                <w:rFonts w:hint="eastAsia" w:ascii="宋体" w:hAnsi="宋体" w:eastAsia="宋体" w:cs="宋体"/>
                <w:i w:val="0"/>
                <w:iCs w:val="0"/>
                <w:color w:val="auto"/>
                <w:sz w:val="18"/>
                <w:szCs w:val="18"/>
                <w:highlight w:val="none"/>
                <w:u w:val="none"/>
              </w:rPr>
            </w:pPr>
          </w:p>
        </w:tc>
        <w:tc>
          <w:tcPr>
            <w:tcW w:w="96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46553F">
            <w:pPr>
              <w:jc w:val="center"/>
              <w:rPr>
                <w:rFonts w:hint="eastAsia" w:ascii="宋体" w:hAnsi="宋体" w:eastAsia="宋体" w:cs="宋体"/>
                <w:i w:val="0"/>
                <w:iCs w:val="0"/>
                <w:color w:val="auto"/>
                <w:sz w:val="18"/>
                <w:szCs w:val="18"/>
                <w:highlight w:val="none"/>
                <w:u w:val="none"/>
              </w:rPr>
            </w:pPr>
          </w:p>
        </w:tc>
        <w:tc>
          <w:tcPr>
            <w:tcW w:w="960"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118ADF">
            <w:pPr>
              <w:jc w:val="center"/>
              <w:rPr>
                <w:rFonts w:hint="eastAsia" w:ascii="宋体" w:hAnsi="宋体" w:eastAsia="宋体" w:cs="宋体"/>
                <w:i w:val="0"/>
                <w:iCs w:val="0"/>
                <w:color w:val="auto"/>
                <w:sz w:val="18"/>
                <w:szCs w:val="18"/>
                <w:highlight w:val="none"/>
                <w:u w:val="none"/>
              </w:rPr>
            </w:pPr>
          </w:p>
        </w:tc>
        <w:tc>
          <w:tcPr>
            <w:tcW w:w="1485"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238EBD">
            <w:pPr>
              <w:jc w:val="center"/>
              <w:rPr>
                <w:rFonts w:hint="eastAsia" w:ascii="宋体" w:hAnsi="宋体" w:eastAsia="宋体" w:cs="宋体"/>
                <w:i w:val="0"/>
                <w:iCs w:val="0"/>
                <w:color w:val="auto"/>
                <w:sz w:val="18"/>
                <w:szCs w:val="18"/>
                <w:highlight w:val="none"/>
                <w:u w:val="none"/>
              </w:rPr>
            </w:pPr>
          </w:p>
        </w:tc>
      </w:tr>
      <w:tr w14:paraId="07C08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1FA9B9">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5FC8BF">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385D9A">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94E4917">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E2B56A2">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CB52DE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94B039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B4477F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E44CD1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6F38AB5">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5086B1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2ED608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CE7B46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E53EA4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0AB1DA9">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792B75">
            <w:pPr>
              <w:jc w:val="center"/>
              <w:rPr>
                <w:rFonts w:hint="eastAsia" w:ascii="宋体" w:hAnsi="宋体" w:eastAsia="宋体" w:cs="宋体"/>
                <w:i w:val="0"/>
                <w:iCs w:val="0"/>
                <w:color w:val="auto"/>
                <w:sz w:val="18"/>
                <w:szCs w:val="18"/>
                <w:highlight w:val="none"/>
                <w:u w:val="none"/>
              </w:rPr>
            </w:pPr>
          </w:p>
        </w:tc>
      </w:tr>
      <w:tr w14:paraId="08535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0A3DB7">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970CDF">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4DB19E">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63E925">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5DB6B7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EA3BA52">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8638B0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7A51A3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9A4B58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A8D0D8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DBA9B2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B9FA13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47C563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95BB189">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1FE4C1C">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905F76">
            <w:pPr>
              <w:jc w:val="center"/>
              <w:rPr>
                <w:rFonts w:hint="eastAsia" w:ascii="宋体" w:hAnsi="宋体" w:eastAsia="宋体" w:cs="宋体"/>
                <w:i w:val="0"/>
                <w:iCs w:val="0"/>
                <w:color w:val="auto"/>
                <w:sz w:val="18"/>
                <w:szCs w:val="18"/>
                <w:highlight w:val="none"/>
                <w:u w:val="none"/>
              </w:rPr>
            </w:pPr>
          </w:p>
        </w:tc>
      </w:tr>
      <w:tr w14:paraId="45122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A8B5D5">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AEEA00">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59DE27">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8EDAD4">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888433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876A94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8B0B37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E4D35E1">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23B1A8B">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FDAF048">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1BCDA4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6FDEC8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6D5DD7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6C2D5C2">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C159665">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7EF955">
            <w:pPr>
              <w:jc w:val="center"/>
              <w:rPr>
                <w:rFonts w:hint="eastAsia" w:ascii="宋体" w:hAnsi="宋体" w:eastAsia="宋体" w:cs="宋体"/>
                <w:i w:val="0"/>
                <w:iCs w:val="0"/>
                <w:color w:val="auto"/>
                <w:sz w:val="18"/>
                <w:szCs w:val="18"/>
                <w:highlight w:val="none"/>
                <w:u w:val="none"/>
              </w:rPr>
            </w:pPr>
          </w:p>
        </w:tc>
      </w:tr>
      <w:tr w14:paraId="5CFC9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80E708">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ADB92C">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BA18FD">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7B0BCA">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599337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DBE32C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7D9570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328195D">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7E1C97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EE7A6F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644C2A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9ACA0E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D27E2A2">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67E2FA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F155DD9">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9DE0CF">
            <w:pPr>
              <w:jc w:val="center"/>
              <w:rPr>
                <w:rFonts w:hint="eastAsia" w:ascii="宋体" w:hAnsi="宋体" w:eastAsia="宋体" w:cs="宋体"/>
                <w:i w:val="0"/>
                <w:iCs w:val="0"/>
                <w:color w:val="auto"/>
                <w:sz w:val="18"/>
                <w:szCs w:val="18"/>
                <w:highlight w:val="none"/>
                <w:u w:val="none"/>
              </w:rPr>
            </w:pPr>
          </w:p>
        </w:tc>
      </w:tr>
      <w:tr w14:paraId="6B968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E75845D">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561317">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7BA7C1">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52F103">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9112E7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F39A08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0A1D62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B1AF93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9880C48">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5AEB0C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9DA464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02D84D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0FF2AC9">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FCC0869">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307DADA">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17D576">
            <w:pPr>
              <w:jc w:val="center"/>
              <w:rPr>
                <w:rFonts w:hint="eastAsia" w:ascii="宋体" w:hAnsi="宋体" w:eastAsia="宋体" w:cs="宋体"/>
                <w:i w:val="0"/>
                <w:iCs w:val="0"/>
                <w:color w:val="auto"/>
                <w:sz w:val="18"/>
                <w:szCs w:val="18"/>
                <w:highlight w:val="none"/>
                <w:u w:val="none"/>
              </w:rPr>
            </w:pPr>
          </w:p>
        </w:tc>
      </w:tr>
      <w:tr w14:paraId="2D2F1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C08A53">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31EFF4">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8CFF7B">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CE6C50">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43F50E9">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4E753C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3B7BCE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2DF2DF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9AEB2E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94537E1">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13EE38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E29CA8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129707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23F41E1">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62E3F23">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C83CA5">
            <w:pPr>
              <w:jc w:val="center"/>
              <w:rPr>
                <w:rFonts w:hint="eastAsia" w:ascii="宋体" w:hAnsi="宋体" w:eastAsia="宋体" w:cs="宋体"/>
                <w:i w:val="0"/>
                <w:iCs w:val="0"/>
                <w:color w:val="auto"/>
                <w:sz w:val="18"/>
                <w:szCs w:val="18"/>
                <w:highlight w:val="none"/>
                <w:u w:val="none"/>
              </w:rPr>
            </w:pPr>
          </w:p>
        </w:tc>
      </w:tr>
      <w:tr w14:paraId="10A24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CCF7F7">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C5573B">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E92D99">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00A47B">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9FD2F74">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1383015">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8059809">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23405DB">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6B98FA4">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79C202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2510C6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49D7D1D">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69044E4">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419B79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94B21D6">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1B07A9">
            <w:pPr>
              <w:jc w:val="center"/>
              <w:rPr>
                <w:rFonts w:hint="eastAsia" w:ascii="宋体" w:hAnsi="宋体" w:eastAsia="宋体" w:cs="宋体"/>
                <w:i w:val="0"/>
                <w:iCs w:val="0"/>
                <w:color w:val="auto"/>
                <w:sz w:val="18"/>
                <w:szCs w:val="18"/>
                <w:highlight w:val="none"/>
                <w:u w:val="none"/>
              </w:rPr>
            </w:pPr>
          </w:p>
        </w:tc>
      </w:tr>
      <w:tr w14:paraId="78D48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5E85D2">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21DACB">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8747B2">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DB0A37">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F9C1194">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2F3A75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362CB7D">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4EEB23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581D604">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19FA48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6A7CE4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3FC0BA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F24256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BB65499">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365A2BB">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3FEB7B">
            <w:pPr>
              <w:jc w:val="center"/>
              <w:rPr>
                <w:rFonts w:hint="eastAsia" w:ascii="宋体" w:hAnsi="宋体" w:eastAsia="宋体" w:cs="宋体"/>
                <w:i w:val="0"/>
                <w:iCs w:val="0"/>
                <w:color w:val="auto"/>
                <w:sz w:val="18"/>
                <w:szCs w:val="18"/>
                <w:highlight w:val="none"/>
                <w:u w:val="none"/>
              </w:rPr>
            </w:pPr>
          </w:p>
        </w:tc>
      </w:tr>
      <w:tr w14:paraId="2D5A8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29020F">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21FF6F">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B07CC0">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C7245C">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E255AA2">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2C67F44">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1BEEF1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21E2D82">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752545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97BDC1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A1481B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C946941">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B7D047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E6CA35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F38E6DB">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68C7D2">
            <w:pPr>
              <w:jc w:val="center"/>
              <w:rPr>
                <w:rFonts w:hint="eastAsia" w:ascii="宋体" w:hAnsi="宋体" w:eastAsia="宋体" w:cs="宋体"/>
                <w:i w:val="0"/>
                <w:iCs w:val="0"/>
                <w:color w:val="auto"/>
                <w:sz w:val="18"/>
                <w:szCs w:val="18"/>
                <w:highlight w:val="none"/>
                <w:u w:val="none"/>
              </w:rPr>
            </w:pPr>
          </w:p>
        </w:tc>
      </w:tr>
      <w:tr w14:paraId="5E776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CE7829">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9801A1">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268784">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239EBE">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379BC9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33CA154">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3CB5D9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6FB9A0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F50B01B">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23A1DB9">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CCDED5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AC22E3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2EA237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2DED2D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0186BEC">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76806F">
            <w:pPr>
              <w:jc w:val="center"/>
              <w:rPr>
                <w:rFonts w:hint="eastAsia" w:ascii="宋体" w:hAnsi="宋体" w:eastAsia="宋体" w:cs="宋体"/>
                <w:i w:val="0"/>
                <w:iCs w:val="0"/>
                <w:color w:val="auto"/>
                <w:sz w:val="18"/>
                <w:szCs w:val="18"/>
                <w:highlight w:val="none"/>
                <w:u w:val="none"/>
              </w:rPr>
            </w:pPr>
          </w:p>
        </w:tc>
      </w:tr>
      <w:tr w14:paraId="4D8C4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ED981E">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0AD025">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784A16">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11409F">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BCBF5F4">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B72DA02">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2D23C4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3BFDD3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093700B">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493C34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866D1A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3C7C4DC">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9D0FB35">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9E2AFA8">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4658DA0">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5E9C84">
            <w:pPr>
              <w:jc w:val="center"/>
              <w:rPr>
                <w:rFonts w:hint="eastAsia" w:ascii="宋体" w:hAnsi="宋体" w:eastAsia="宋体" w:cs="宋体"/>
                <w:i w:val="0"/>
                <w:iCs w:val="0"/>
                <w:color w:val="auto"/>
                <w:sz w:val="18"/>
                <w:szCs w:val="18"/>
                <w:highlight w:val="none"/>
                <w:u w:val="none"/>
              </w:rPr>
            </w:pPr>
          </w:p>
        </w:tc>
      </w:tr>
      <w:tr w14:paraId="063CF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33EC7D">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DE96E2">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B25464">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869A97">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C22BEC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16612F8">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320F26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B5A089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E4166C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8138C45">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254408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E02FBC5">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63D46B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BB5B78B">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9879911">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36B9A0">
            <w:pPr>
              <w:jc w:val="center"/>
              <w:rPr>
                <w:rFonts w:hint="eastAsia" w:ascii="宋体" w:hAnsi="宋体" w:eastAsia="宋体" w:cs="宋体"/>
                <w:i w:val="0"/>
                <w:iCs w:val="0"/>
                <w:color w:val="auto"/>
                <w:sz w:val="18"/>
                <w:szCs w:val="18"/>
                <w:highlight w:val="none"/>
                <w:u w:val="none"/>
              </w:rPr>
            </w:pPr>
          </w:p>
        </w:tc>
      </w:tr>
      <w:tr w14:paraId="7EF74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F33005">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122CFC">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EDC342">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099533">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4CCB966">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1EAA70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657679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3659915">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CA20C9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8B57635">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CBEE97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268CEBB">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2DB883B">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4E09E3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D2F7249">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3819EA">
            <w:pPr>
              <w:jc w:val="center"/>
              <w:rPr>
                <w:rFonts w:hint="eastAsia" w:ascii="宋体" w:hAnsi="宋体" w:eastAsia="宋体" w:cs="宋体"/>
                <w:i w:val="0"/>
                <w:iCs w:val="0"/>
                <w:color w:val="auto"/>
                <w:sz w:val="18"/>
                <w:szCs w:val="18"/>
                <w:highlight w:val="none"/>
                <w:u w:val="none"/>
              </w:rPr>
            </w:pPr>
          </w:p>
        </w:tc>
      </w:tr>
      <w:tr w14:paraId="46385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8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14B7D92">
            <w:pPr>
              <w:jc w:val="center"/>
              <w:rPr>
                <w:rFonts w:hint="eastAsia" w:ascii="宋体" w:hAnsi="宋体" w:eastAsia="宋体" w:cs="宋体"/>
                <w:i w:val="0"/>
                <w:iCs w:val="0"/>
                <w:color w:val="auto"/>
                <w:sz w:val="18"/>
                <w:szCs w:val="18"/>
                <w:highlight w:val="none"/>
                <w:u w:val="none"/>
              </w:rPr>
            </w:pPr>
          </w:p>
        </w:tc>
        <w:tc>
          <w:tcPr>
            <w:tcW w:w="123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A93414">
            <w:pPr>
              <w:jc w:val="center"/>
              <w:rPr>
                <w:rFonts w:hint="eastAsia" w:ascii="宋体" w:hAnsi="宋体" w:eastAsia="宋体" w:cs="宋体"/>
                <w:i w:val="0"/>
                <w:iCs w:val="0"/>
                <w:color w:val="auto"/>
                <w:sz w:val="18"/>
                <w:szCs w:val="18"/>
                <w:highlight w:val="none"/>
                <w:u w:val="none"/>
              </w:rPr>
            </w:pPr>
          </w:p>
        </w:tc>
        <w:tc>
          <w:tcPr>
            <w:tcW w:w="19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7FE3B5">
            <w:pPr>
              <w:jc w:val="left"/>
              <w:rPr>
                <w:rFonts w:hint="eastAsia" w:ascii="宋体" w:hAnsi="宋体" w:eastAsia="宋体" w:cs="宋体"/>
                <w:i w:val="0"/>
                <w:iCs w:val="0"/>
                <w:color w:val="auto"/>
                <w:sz w:val="18"/>
                <w:szCs w:val="18"/>
                <w:highlight w:val="none"/>
                <w:u w:val="none"/>
              </w:rPr>
            </w:pPr>
          </w:p>
        </w:tc>
        <w:tc>
          <w:tcPr>
            <w:tcW w:w="6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7AC6DA">
            <w:pPr>
              <w:jc w:val="center"/>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8A4A17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2AE40E2">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90EDBA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B4DBED5">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C52023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49EB610">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6F8510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EBDBDA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E6ECE4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2A26F2BD">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0F07A80D">
            <w:pPr>
              <w:jc w:val="right"/>
              <w:rPr>
                <w:rFonts w:hint="eastAsia" w:ascii="宋体" w:hAnsi="宋体" w:eastAsia="宋体" w:cs="宋体"/>
                <w:i w:val="0"/>
                <w:iCs w:val="0"/>
                <w:color w:val="auto"/>
                <w:sz w:val="18"/>
                <w:szCs w:val="18"/>
                <w:highlight w:val="none"/>
                <w:u w:val="none"/>
              </w:rPr>
            </w:pPr>
          </w:p>
        </w:tc>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CF7703">
            <w:pPr>
              <w:jc w:val="center"/>
              <w:rPr>
                <w:rFonts w:hint="eastAsia" w:ascii="宋体" w:hAnsi="宋体" w:eastAsia="宋体" w:cs="宋体"/>
                <w:i w:val="0"/>
                <w:iCs w:val="0"/>
                <w:color w:val="auto"/>
                <w:sz w:val="18"/>
                <w:szCs w:val="18"/>
                <w:highlight w:val="none"/>
                <w:u w:val="none"/>
              </w:rPr>
            </w:pPr>
          </w:p>
        </w:tc>
      </w:tr>
    </w:tbl>
    <w:p w14:paraId="62EDF40F">
      <w:pPr>
        <w:pStyle w:val="8"/>
        <w:spacing w:line="253" w:lineRule="auto"/>
        <w:rPr>
          <w:color w:val="auto"/>
          <w:highlight w:val="none"/>
        </w:rPr>
        <w:sectPr>
          <w:pgSz w:w="16840" w:h="11905" w:orient="landscape"/>
          <w:pgMar w:top="1587" w:right="400" w:bottom="1442" w:left="1255" w:header="0" w:footer="1093" w:gutter="0"/>
          <w:pgNumType w:fmt="decimal"/>
          <w:cols w:space="720" w:num="1"/>
        </w:sectPr>
      </w:pPr>
    </w:p>
    <w:tbl>
      <w:tblPr>
        <w:tblStyle w:val="14"/>
        <w:tblW w:w="101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50"/>
        <w:gridCol w:w="3420"/>
        <w:gridCol w:w="1875"/>
        <w:gridCol w:w="1875"/>
        <w:gridCol w:w="1605"/>
      </w:tblGrid>
      <w:tr w14:paraId="18278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jc w:val="center"/>
        </w:trPr>
        <w:tc>
          <w:tcPr>
            <w:tcW w:w="10125" w:type="dxa"/>
            <w:gridSpan w:val="5"/>
            <w:tcBorders>
              <w:top w:val="nil"/>
              <w:left w:val="nil"/>
              <w:bottom w:val="nil"/>
              <w:right w:val="nil"/>
            </w:tcBorders>
            <w:shd w:val="clear" w:color="auto" w:fill="FFFFFF"/>
            <w:noWrap w:val="0"/>
            <w:vAlign w:val="center"/>
          </w:tcPr>
          <w:p w14:paraId="53B594F8">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其他项目清单计价汇总表</w:t>
            </w:r>
          </w:p>
        </w:tc>
      </w:tr>
      <w:tr w14:paraId="407E8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4770" w:type="dxa"/>
            <w:gridSpan w:val="2"/>
            <w:tcBorders>
              <w:top w:val="nil"/>
              <w:left w:val="nil"/>
              <w:bottom w:val="nil"/>
              <w:right w:val="nil"/>
            </w:tcBorders>
            <w:shd w:val="clear" w:color="auto" w:fill="FFFFFF"/>
            <w:noWrap w:val="0"/>
            <w:vAlign w:val="bottom"/>
          </w:tcPr>
          <w:p w14:paraId="69AC6261">
            <w:pPr>
              <w:keepNext w:val="0"/>
              <w:keepLines w:val="0"/>
              <w:widowControl/>
              <w:suppressLineNumbers w:val="0"/>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工程名称：</w:t>
            </w:r>
          </w:p>
        </w:tc>
        <w:tc>
          <w:tcPr>
            <w:tcW w:w="1875" w:type="dxa"/>
            <w:tcBorders>
              <w:top w:val="nil"/>
              <w:left w:val="nil"/>
              <w:bottom w:val="nil"/>
              <w:right w:val="nil"/>
            </w:tcBorders>
            <w:shd w:val="clear" w:color="auto" w:fill="FFFFFF"/>
            <w:noWrap w:val="0"/>
            <w:vAlign w:val="center"/>
          </w:tcPr>
          <w:p w14:paraId="061E4E9F">
            <w:pPr>
              <w:jc w:val="center"/>
              <w:rPr>
                <w:rFonts w:hint="eastAsia" w:ascii="宋体" w:hAnsi="宋体" w:eastAsia="宋体" w:cs="宋体"/>
                <w:i w:val="0"/>
                <w:iCs w:val="0"/>
                <w:color w:val="auto"/>
                <w:sz w:val="18"/>
                <w:szCs w:val="18"/>
                <w:highlight w:val="none"/>
                <w:u w:val="none"/>
              </w:rPr>
            </w:pPr>
          </w:p>
        </w:tc>
        <w:tc>
          <w:tcPr>
            <w:tcW w:w="1875" w:type="dxa"/>
            <w:tcBorders>
              <w:top w:val="nil"/>
              <w:left w:val="nil"/>
              <w:bottom w:val="nil"/>
              <w:right w:val="nil"/>
            </w:tcBorders>
            <w:shd w:val="clear" w:color="auto" w:fill="FFFFFF"/>
            <w:noWrap w:val="0"/>
            <w:vAlign w:val="center"/>
          </w:tcPr>
          <w:p w14:paraId="3433028B">
            <w:pPr>
              <w:jc w:val="center"/>
              <w:rPr>
                <w:rFonts w:hint="eastAsia" w:ascii="宋体" w:hAnsi="宋体" w:eastAsia="宋体" w:cs="宋体"/>
                <w:i w:val="0"/>
                <w:iCs w:val="0"/>
                <w:color w:val="auto"/>
                <w:sz w:val="18"/>
                <w:szCs w:val="18"/>
                <w:highlight w:val="none"/>
                <w:u w:val="none"/>
              </w:rPr>
            </w:pPr>
          </w:p>
        </w:tc>
        <w:tc>
          <w:tcPr>
            <w:tcW w:w="1605" w:type="dxa"/>
            <w:tcBorders>
              <w:top w:val="nil"/>
              <w:left w:val="nil"/>
              <w:bottom w:val="nil"/>
              <w:right w:val="nil"/>
            </w:tcBorders>
            <w:shd w:val="clear" w:color="auto" w:fill="FFFFFF"/>
            <w:noWrap w:val="0"/>
            <w:vAlign w:val="bottom"/>
          </w:tcPr>
          <w:p w14:paraId="17BFC961">
            <w:pPr>
              <w:keepNext w:val="0"/>
              <w:keepLines w:val="0"/>
              <w:widowControl/>
              <w:suppressLineNumbers w:val="0"/>
              <w:jc w:val="righ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第  页 共  页</w:t>
            </w:r>
          </w:p>
        </w:tc>
      </w:tr>
      <w:tr w14:paraId="392AC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350" w:type="dxa"/>
            <w:tcBorders>
              <w:top w:val="single" w:color="000000" w:sz="4" w:space="0"/>
              <w:left w:val="single" w:color="000000" w:sz="4" w:space="0"/>
              <w:bottom w:val="nil"/>
              <w:right w:val="nil"/>
            </w:tcBorders>
            <w:shd w:val="clear" w:color="auto" w:fill="FFFFFF"/>
            <w:noWrap w:val="0"/>
            <w:vAlign w:val="center"/>
          </w:tcPr>
          <w:p w14:paraId="198E7B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序号</w:t>
            </w:r>
          </w:p>
        </w:tc>
        <w:tc>
          <w:tcPr>
            <w:tcW w:w="3420" w:type="dxa"/>
            <w:tcBorders>
              <w:top w:val="single" w:color="000000" w:sz="4" w:space="0"/>
              <w:left w:val="single" w:color="000000" w:sz="4" w:space="0"/>
              <w:bottom w:val="nil"/>
              <w:right w:val="nil"/>
            </w:tcBorders>
            <w:shd w:val="clear" w:color="auto" w:fill="FFFFFF"/>
            <w:noWrap w:val="0"/>
            <w:vAlign w:val="center"/>
          </w:tcPr>
          <w:p w14:paraId="75E348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工程名称</w:t>
            </w:r>
          </w:p>
        </w:tc>
        <w:tc>
          <w:tcPr>
            <w:tcW w:w="1875" w:type="dxa"/>
            <w:tcBorders>
              <w:top w:val="single" w:color="000000" w:sz="4" w:space="0"/>
              <w:left w:val="single" w:color="000000" w:sz="4" w:space="0"/>
              <w:bottom w:val="nil"/>
              <w:right w:val="nil"/>
            </w:tcBorders>
            <w:shd w:val="clear" w:color="auto" w:fill="FFFFFF"/>
            <w:noWrap w:val="0"/>
            <w:vAlign w:val="center"/>
          </w:tcPr>
          <w:p w14:paraId="631B8D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计量单位</w:t>
            </w:r>
          </w:p>
        </w:tc>
        <w:tc>
          <w:tcPr>
            <w:tcW w:w="1875" w:type="dxa"/>
            <w:tcBorders>
              <w:top w:val="single" w:color="000000" w:sz="4" w:space="0"/>
              <w:left w:val="single" w:color="000000" w:sz="4" w:space="0"/>
              <w:bottom w:val="nil"/>
              <w:right w:val="nil"/>
            </w:tcBorders>
            <w:shd w:val="clear" w:color="auto" w:fill="FFFFFF"/>
            <w:noWrap w:val="0"/>
            <w:vAlign w:val="center"/>
          </w:tcPr>
          <w:p w14:paraId="2C4239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金额</w:t>
            </w:r>
          </w:p>
        </w:tc>
        <w:tc>
          <w:tcPr>
            <w:tcW w:w="1605" w:type="dxa"/>
            <w:tcBorders>
              <w:top w:val="single" w:color="000000" w:sz="4" w:space="0"/>
              <w:left w:val="single" w:color="000000" w:sz="4" w:space="0"/>
              <w:bottom w:val="nil"/>
              <w:right w:val="single" w:color="000000" w:sz="4" w:space="0"/>
            </w:tcBorders>
            <w:shd w:val="clear" w:color="auto" w:fill="FFFFFF"/>
            <w:noWrap w:val="0"/>
            <w:vAlign w:val="center"/>
          </w:tcPr>
          <w:p w14:paraId="39850A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备注</w:t>
            </w:r>
          </w:p>
        </w:tc>
      </w:tr>
      <w:tr w14:paraId="04FF2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350" w:type="dxa"/>
            <w:tcBorders>
              <w:top w:val="single" w:color="000000" w:sz="4" w:space="0"/>
              <w:left w:val="single" w:color="000000" w:sz="4" w:space="0"/>
              <w:bottom w:val="nil"/>
              <w:right w:val="nil"/>
            </w:tcBorders>
            <w:shd w:val="clear" w:color="auto" w:fill="FFFFFF"/>
            <w:noWrap w:val="0"/>
            <w:vAlign w:val="center"/>
          </w:tcPr>
          <w:p w14:paraId="219278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3420" w:type="dxa"/>
            <w:tcBorders>
              <w:top w:val="single" w:color="000000" w:sz="4" w:space="0"/>
              <w:left w:val="single" w:color="000000" w:sz="4" w:space="0"/>
              <w:bottom w:val="nil"/>
              <w:right w:val="nil"/>
            </w:tcBorders>
            <w:shd w:val="clear" w:color="auto" w:fill="FFFFFF"/>
            <w:noWrap w:val="0"/>
            <w:vAlign w:val="center"/>
          </w:tcPr>
          <w:p w14:paraId="494C915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暂列金额</w:t>
            </w:r>
          </w:p>
        </w:tc>
        <w:tc>
          <w:tcPr>
            <w:tcW w:w="1875" w:type="dxa"/>
            <w:tcBorders>
              <w:top w:val="single" w:color="000000" w:sz="4" w:space="0"/>
              <w:left w:val="single" w:color="000000" w:sz="4" w:space="0"/>
              <w:bottom w:val="nil"/>
              <w:right w:val="nil"/>
            </w:tcBorders>
            <w:shd w:val="clear" w:color="auto" w:fill="FFFFFF"/>
            <w:noWrap w:val="0"/>
            <w:vAlign w:val="center"/>
          </w:tcPr>
          <w:p w14:paraId="61E54F9D">
            <w:pPr>
              <w:jc w:val="center"/>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7AB491BB">
            <w:pPr>
              <w:jc w:val="right"/>
              <w:rPr>
                <w:rFonts w:hint="eastAsia" w:ascii="宋体" w:hAnsi="宋体" w:eastAsia="宋体" w:cs="宋体"/>
                <w:i w:val="0"/>
                <w:iCs w:val="0"/>
                <w:color w:val="auto"/>
                <w:sz w:val="18"/>
                <w:szCs w:val="18"/>
                <w:highlight w:val="none"/>
                <w:u w:val="none"/>
              </w:rPr>
            </w:pPr>
          </w:p>
        </w:tc>
        <w:tc>
          <w:tcPr>
            <w:tcW w:w="1605" w:type="dxa"/>
            <w:tcBorders>
              <w:top w:val="single" w:color="000000" w:sz="4" w:space="0"/>
              <w:left w:val="single" w:color="000000" w:sz="4" w:space="0"/>
              <w:bottom w:val="nil"/>
              <w:right w:val="single" w:color="000000" w:sz="4" w:space="0"/>
            </w:tcBorders>
            <w:shd w:val="clear" w:color="auto" w:fill="FFFFFF"/>
            <w:noWrap w:val="0"/>
            <w:vAlign w:val="center"/>
          </w:tcPr>
          <w:p w14:paraId="635E5D5D">
            <w:pPr>
              <w:jc w:val="left"/>
              <w:rPr>
                <w:rFonts w:hint="eastAsia" w:ascii="宋体" w:hAnsi="宋体" w:eastAsia="宋体" w:cs="宋体"/>
                <w:i w:val="0"/>
                <w:iCs w:val="0"/>
                <w:color w:val="auto"/>
                <w:sz w:val="18"/>
                <w:szCs w:val="18"/>
                <w:highlight w:val="none"/>
                <w:u w:val="none"/>
              </w:rPr>
            </w:pPr>
          </w:p>
        </w:tc>
      </w:tr>
      <w:tr w14:paraId="580FC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350" w:type="dxa"/>
            <w:tcBorders>
              <w:top w:val="single" w:color="000000" w:sz="4" w:space="0"/>
              <w:left w:val="single" w:color="000000" w:sz="4" w:space="0"/>
              <w:bottom w:val="nil"/>
              <w:right w:val="nil"/>
            </w:tcBorders>
            <w:shd w:val="clear" w:color="auto" w:fill="FFFFFF"/>
            <w:noWrap w:val="0"/>
            <w:vAlign w:val="center"/>
          </w:tcPr>
          <w:p w14:paraId="70360D46">
            <w:pPr>
              <w:jc w:val="center"/>
              <w:rPr>
                <w:rFonts w:hint="eastAsia" w:ascii="宋体" w:hAnsi="宋体" w:eastAsia="宋体" w:cs="宋体"/>
                <w:i w:val="0"/>
                <w:iCs w:val="0"/>
                <w:color w:val="auto"/>
                <w:sz w:val="18"/>
                <w:szCs w:val="18"/>
                <w:highlight w:val="none"/>
                <w:u w:val="none"/>
              </w:rPr>
            </w:pPr>
          </w:p>
        </w:tc>
        <w:tc>
          <w:tcPr>
            <w:tcW w:w="3420" w:type="dxa"/>
            <w:tcBorders>
              <w:top w:val="single" w:color="000000" w:sz="4" w:space="0"/>
              <w:left w:val="single" w:color="000000" w:sz="4" w:space="0"/>
              <w:bottom w:val="nil"/>
              <w:right w:val="nil"/>
            </w:tcBorders>
            <w:shd w:val="clear" w:color="auto" w:fill="FFFFFF"/>
            <w:noWrap w:val="0"/>
            <w:vAlign w:val="center"/>
          </w:tcPr>
          <w:p w14:paraId="06ACFEA7">
            <w:pPr>
              <w:jc w:val="left"/>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3FA81FEB">
            <w:pPr>
              <w:jc w:val="center"/>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0420A88C">
            <w:pPr>
              <w:jc w:val="right"/>
              <w:rPr>
                <w:rFonts w:hint="eastAsia" w:ascii="宋体" w:hAnsi="宋体" w:eastAsia="宋体" w:cs="宋体"/>
                <w:i w:val="0"/>
                <w:iCs w:val="0"/>
                <w:color w:val="auto"/>
                <w:sz w:val="18"/>
                <w:szCs w:val="18"/>
                <w:highlight w:val="none"/>
                <w:u w:val="none"/>
              </w:rPr>
            </w:pPr>
          </w:p>
        </w:tc>
        <w:tc>
          <w:tcPr>
            <w:tcW w:w="1605" w:type="dxa"/>
            <w:tcBorders>
              <w:top w:val="single" w:color="000000" w:sz="4" w:space="0"/>
              <w:left w:val="single" w:color="000000" w:sz="4" w:space="0"/>
              <w:bottom w:val="nil"/>
              <w:right w:val="single" w:color="000000" w:sz="4" w:space="0"/>
            </w:tcBorders>
            <w:shd w:val="clear" w:color="auto" w:fill="FFFFFF"/>
            <w:noWrap w:val="0"/>
            <w:vAlign w:val="center"/>
          </w:tcPr>
          <w:p w14:paraId="0F250717">
            <w:pPr>
              <w:jc w:val="left"/>
              <w:rPr>
                <w:rFonts w:hint="eastAsia" w:ascii="宋体" w:hAnsi="宋体" w:eastAsia="宋体" w:cs="宋体"/>
                <w:i w:val="0"/>
                <w:iCs w:val="0"/>
                <w:color w:val="auto"/>
                <w:sz w:val="18"/>
                <w:szCs w:val="18"/>
                <w:highlight w:val="none"/>
                <w:u w:val="none"/>
              </w:rPr>
            </w:pPr>
          </w:p>
        </w:tc>
      </w:tr>
      <w:tr w14:paraId="15294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350" w:type="dxa"/>
            <w:tcBorders>
              <w:top w:val="single" w:color="000000" w:sz="4" w:space="0"/>
              <w:left w:val="single" w:color="000000" w:sz="4" w:space="0"/>
              <w:bottom w:val="nil"/>
              <w:right w:val="nil"/>
            </w:tcBorders>
            <w:shd w:val="clear" w:color="auto" w:fill="FFFFFF"/>
            <w:noWrap w:val="0"/>
            <w:vAlign w:val="center"/>
          </w:tcPr>
          <w:p w14:paraId="46968A3D">
            <w:pPr>
              <w:jc w:val="center"/>
              <w:rPr>
                <w:rFonts w:hint="eastAsia" w:ascii="宋体" w:hAnsi="宋体" w:eastAsia="宋体" w:cs="宋体"/>
                <w:i w:val="0"/>
                <w:iCs w:val="0"/>
                <w:color w:val="auto"/>
                <w:sz w:val="18"/>
                <w:szCs w:val="18"/>
                <w:highlight w:val="none"/>
                <w:u w:val="none"/>
              </w:rPr>
            </w:pPr>
          </w:p>
        </w:tc>
        <w:tc>
          <w:tcPr>
            <w:tcW w:w="3420" w:type="dxa"/>
            <w:tcBorders>
              <w:top w:val="single" w:color="000000" w:sz="4" w:space="0"/>
              <w:left w:val="single" w:color="000000" w:sz="4" w:space="0"/>
              <w:bottom w:val="nil"/>
              <w:right w:val="nil"/>
            </w:tcBorders>
            <w:shd w:val="clear" w:color="auto" w:fill="FFFFFF"/>
            <w:noWrap w:val="0"/>
            <w:vAlign w:val="center"/>
          </w:tcPr>
          <w:p w14:paraId="05DE45F9">
            <w:pPr>
              <w:jc w:val="left"/>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5E8E40C7">
            <w:pPr>
              <w:jc w:val="center"/>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1145AF5E">
            <w:pPr>
              <w:jc w:val="right"/>
              <w:rPr>
                <w:rFonts w:hint="eastAsia" w:ascii="宋体" w:hAnsi="宋体" w:eastAsia="宋体" w:cs="宋体"/>
                <w:i w:val="0"/>
                <w:iCs w:val="0"/>
                <w:color w:val="auto"/>
                <w:sz w:val="18"/>
                <w:szCs w:val="18"/>
                <w:highlight w:val="none"/>
                <w:u w:val="none"/>
              </w:rPr>
            </w:pPr>
          </w:p>
        </w:tc>
        <w:tc>
          <w:tcPr>
            <w:tcW w:w="1605" w:type="dxa"/>
            <w:tcBorders>
              <w:top w:val="single" w:color="000000" w:sz="4" w:space="0"/>
              <w:left w:val="single" w:color="000000" w:sz="4" w:space="0"/>
              <w:bottom w:val="nil"/>
              <w:right w:val="single" w:color="000000" w:sz="4" w:space="0"/>
            </w:tcBorders>
            <w:shd w:val="clear" w:color="auto" w:fill="FFFFFF"/>
            <w:noWrap w:val="0"/>
            <w:vAlign w:val="center"/>
          </w:tcPr>
          <w:p w14:paraId="27AFE66F">
            <w:pPr>
              <w:jc w:val="left"/>
              <w:rPr>
                <w:rFonts w:hint="eastAsia" w:ascii="宋体" w:hAnsi="宋体" w:eastAsia="宋体" w:cs="宋体"/>
                <w:i w:val="0"/>
                <w:iCs w:val="0"/>
                <w:color w:val="auto"/>
                <w:sz w:val="18"/>
                <w:szCs w:val="18"/>
                <w:highlight w:val="none"/>
                <w:u w:val="none"/>
              </w:rPr>
            </w:pPr>
          </w:p>
        </w:tc>
      </w:tr>
      <w:tr w14:paraId="2C167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350" w:type="dxa"/>
            <w:tcBorders>
              <w:top w:val="single" w:color="000000" w:sz="4" w:space="0"/>
              <w:left w:val="single" w:color="000000" w:sz="4" w:space="0"/>
              <w:bottom w:val="nil"/>
              <w:right w:val="nil"/>
            </w:tcBorders>
            <w:shd w:val="clear" w:color="auto" w:fill="FFFFFF"/>
            <w:noWrap w:val="0"/>
            <w:vAlign w:val="center"/>
          </w:tcPr>
          <w:p w14:paraId="3C9A7CC9">
            <w:pPr>
              <w:jc w:val="center"/>
              <w:rPr>
                <w:rFonts w:hint="eastAsia" w:ascii="宋体" w:hAnsi="宋体" w:eastAsia="宋体" w:cs="宋体"/>
                <w:i w:val="0"/>
                <w:iCs w:val="0"/>
                <w:color w:val="auto"/>
                <w:sz w:val="18"/>
                <w:szCs w:val="18"/>
                <w:highlight w:val="none"/>
                <w:u w:val="none"/>
              </w:rPr>
            </w:pPr>
          </w:p>
        </w:tc>
        <w:tc>
          <w:tcPr>
            <w:tcW w:w="3420" w:type="dxa"/>
            <w:tcBorders>
              <w:top w:val="single" w:color="000000" w:sz="4" w:space="0"/>
              <w:left w:val="single" w:color="000000" w:sz="4" w:space="0"/>
              <w:bottom w:val="nil"/>
              <w:right w:val="nil"/>
            </w:tcBorders>
            <w:shd w:val="clear" w:color="auto" w:fill="FFFFFF"/>
            <w:noWrap w:val="0"/>
            <w:vAlign w:val="center"/>
          </w:tcPr>
          <w:p w14:paraId="4717C6F2">
            <w:pPr>
              <w:jc w:val="left"/>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5F79CB95">
            <w:pPr>
              <w:jc w:val="center"/>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146DA598">
            <w:pPr>
              <w:jc w:val="right"/>
              <w:rPr>
                <w:rFonts w:hint="eastAsia" w:ascii="宋体" w:hAnsi="宋体" w:eastAsia="宋体" w:cs="宋体"/>
                <w:i w:val="0"/>
                <w:iCs w:val="0"/>
                <w:color w:val="auto"/>
                <w:sz w:val="18"/>
                <w:szCs w:val="18"/>
                <w:highlight w:val="none"/>
                <w:u w:val="none"/>
              </w:rPr>
            </w:pPr>
          </w:p>
        </w:tc>
        <w:tc>
          <w:tcPr>
            <w:tcW w:w="1605" w:type="dxa"/>
            <w:tcBorders>
              <w:top w:val="single" w:color="000000" w:sz="4" w:space="0"/>
              <w:left w:val="single" w:color="000000" w:sz="4" w:space="0"/>
              <w:bottom w:val="nil"/>
              <w:right w:val="single" w:color="000000" w:sz="4" w:space="0"/>
            </w:tcBorders>
            <w:shd w:val="clear" w:color="auto" w:fill="FFFFFF"/>
            <w:noWrap w:val="0"/>
            <w:vAlign w:val="center"/>
          </w:tcPr>
          <w:p w14:paraId="25DD3E79">
            <w:pPr>
              <w:jc w:val="left"/>
              <w:rPr>
                <w:rFonts w:hint="eastAsia" w:ascii="宋体" w:hAnsi="宋体" w:eastAsia="宋体" w:cs="宋体"/>
                <w:i w:val="0"/>
                <w:iCs w:val="0"/>
                <w:color w:val="auto"/>
                <w:sz w:val="18"/>
                <w:szCs w:val="18"/>
                <w:highlight w:val="none"/>
                <w:u w:val="none"/>
              </w:rPr>
            </w:pPr>
          </w:p>
        </w:tc>
      </w:tr>
      <w:tr w14:paraId="24CD6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350" w:type="dxa"/>
            <w:tcBorders>
              <w:top w:val="single" w:color="000000" w:sz="4" w:space="0"/>
              <w:left w:val="single" w:color="000000" w:sz="4" w:space="0"/>
              <w:bottom w:val="nil"/>
              <w:right w:val="nil"/>
            </w:tcBorders>
            <w:shd w:val="clear" w:color="auto" w:fill="FFFFFF"/>
            <w:noWrap w:val="0"/>
            <w:vAlign w:val="center"/>
          </w:tcPr>
          <w:p w14:paraId="77819887">
            <w:pPr>
              <w:jc w:val="center"/>
              <w:rPr>
                <w:rFonts w:hint="eastAsia" w:ascii="宋体" w:hAnsi="宋体" w:eastAsia="宋体" w:cs="宋体"/>
                <w:i w:val="0"/>
                <w:iCs w:val="0"/>
                <w:color w:val="auto"/>
                <w:sz w:val="18"/>
                <w:szCs w:val="18"/>
                <w:highlight w:val="none"/>
                <w:u w:val="none"/>
              </w:rPr>
            </w:pPr>
          </w:p>
        </w:tc>
        <w:tc>
          <w:tcPr>
            <w:tcW w:w="3420" w:type="dxa"/>
            <w:tcBorders>
              <w:top w:val="single" w:color="000000" w:sz="4" w:space="0"/>
              <w:left w:val="single" w:color="000000" w:sz="4" w:space="0"/>
              <w:bottom w:val="nil"/>
              <w:right w:val="nil"/>
            </w:tcBorders>
            <w:shd w:val="clear" w:color="auto" w:fill="FFFFFF"/>
            <w:noWrap w:val="0"/>
            <w:vAlign w:val="center"/>
          </w:tcPr>
          <w:p w14:paraId="72664A8E">
            <w:pPr>
              <w:jc w:val="left"/>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0922AE2E">
            <w:pPr>
              <w:jc w:val="center"/>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458C1DF8">
            <w:pPr>
              <w:jc w:val="right"/>
              <w:rPr>
                <w:rFonts w:hint="eastAsia" w:ascii="宋体" w:hAnsi="宋体" w:eastAsia="宋体" w:cs="宋体"/>
                <w:i w:val="0"/>
                <w:iCs w:val="0"/>
                <w:color w:val="auto"/>
                <w:sz w:val="18"/>
                <w:szCs w:val="18"/>
                <w:highlight w:val="none"/>
                <w:u w:val="none"/>
              </w:rPr>
            </w:pPr>
          </w:p>
        </w:tc>
        <w:tc>
          <w:tcPr>
            <w:tcW w:w="1605" w:type="dxa"/>
            <w:tcBorders>
              <w:top w:val="single" w:color="000000" w:sz="4" w:space="0"/>
              <w:left w:val="single" w:color="000000" w:sz="4" w:space="0"/>
              <w:bottom w:val="nil"/>
              <w:right w:val="single" w:color="000000" w:sz="4" w:space="0"/>
            </w:tcBorders>
            <w:shd w:val="clear" w:color="auto" w:fill="FFFFFF"/>
            <w:noWrap w:val="0"/>
            <w:vAlign w:val="center"/>
          </w:tcPr>
          <w:p w14:paraId="269EDA3F">
            <w:pPr>
              <w:jc w:val="left"/>
              <w:rPr>
                <w:rFonts w:hint="eastAsia" w:ascii="宋体" w:hAnsi="宋体" w:eastAsia="宋体" w:cs="宋体"/>
                <w:i w:val="0"/>
                <w:iCs w:val="0"/>
                <w:color w:val="auto"/>
                <w:sz w:val="18"/>
                <w:szCs w:val="18"/>
                <w:highlight w:val="none"/>
                <w:u w:val="none"/>
              </w:rPr>
            </w:pPr>
          </w:p>
        </w:tc>
      </w:tr>
      <w:tr w14:paraId="22138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350" w:type="dxa"/>
            <w:tcBorders>
              <w:top w:val="single" w:color="000000" w:sz="4" w:space="0"/>
              <w:left w:val="single" w:color="000000" w:sz="4" w:space="0"/>
              <w:bottom w:val="nil"/>
              <w:right w:val="nil"/>
            </w:tcBorders>
            <w:shd w:val="clear" w:color="auto" w:fill="FFFFFF"/>
            <w:noWrap w:val="0"/>
            <w:vAlign w:val="center"/>
          </w:tcPr>
          <w:p w14:paraId="45D91967">
            <w:pPr>
              <w:jc w:val="center"/>
              <w:rPr>
                <w:rFonts w:hint="eastAsia" w:ascii="宋体" w:hAnsi="宋体" w:eastAsia="宋体" w:cs="宋体"/>
                <w:i w:val="0"/>
                <w:iCs w:val="0"/>
                <w:color w:val="auto"/>
                <w:sz w:val="18"/>
                <w:szCs w:val="18"/>
                <w:highlight w:val="none"/>
                <w:u w:val="none"/>
              </w:rPr>
            </w:pPr>
          </w:p>
        </w:tc>
        <w:tc>
          <w:tcPr>
            <w:tcW w:w="3420" w:type="dxa"/>
            <w:tcBorders>
              <w:top w:val="single" w:color="000000" w:sz="4" w:space="0"/>
              <w:left w:val="single" w:color="000000" w:sz="4" w:space="0"/>
              <w:bottom w:val="nil"/>
              <w:right w:val="nil"/>
            </w:tcBorders>
            <w:shd w:val="clear" w:color="auto" w:fill="FFFFFF"/>
            <w:noWrap w:val="0"/>
            <w:vAlign w:val="center"/>
          </w:tcPr>
          <w:p w14:paraId="153A5AF4">
            <w:pPr>
              <w:jc w:val="left"/>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7F829EF9">
            <w:pPr>
              <w:jc w:val="center"/>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nil"/>
              <w:right w:val="nil"/>
            </w:tcBorders>
            <w:shd w:val="clear" w:color="auto" w:fill="FFFFFF"/>
            <w:noWrap w:val="0"/>
            <w:vAlign w:val="center"/>
          </w:tcPr>
          <w:p w14:paraId="3A30D582">
            <w:pPr>
              <w:jc w:val="right"/>
              <w:rPr>
                <w:rFonts w:hint="eastAsia" w:ascii="宋体" w:hAnsi="宋体" w:eastAsia="宋体" w:cs="宋体"/>
                <w:i w:val="0"/>
                <w:iCs w:val="0"/>
                <w:color w:val="auto"/>
                <w:sz w:val="18"/>
                <w:szCs w:val="18"/>
                <w:highlight w:val="none"/>
                <w:u w:val="none"/>
              </w:rPr>
            </w:pPr>
          </w:p>
        </w:tc>
        <w:tc>
          <w:tcPr>
            <w:tcW w:w="1605" w:type="dxa"/>
            <w:tcBorders>
              <w:top w:val="single" w:color="000000" w:sz="4" w:space="0"/>
              <w:left w:val="single" w:color="000000" w:sz="4" w:space="0"/>
              <w:bottom w:val="nil"/>
              <w:right w:val="single" w:color="000000" w:sz="4" w:space="0"/>
            </w:tcBorders>
            <w:shd w:val="clear" w:color="auto" w:fill="FFFFFF"/>
            <w:noWrap w:val="0"/>
            <w:vAlign w:val="center"/>
          </w:tcPr>
          <w:p w14:paraId="36A20175">
            <w:pPr>
              <w:jc w:val="left"/>
              <w:rPr>
                <w:rFonts w:hint="eastAsia" w:ascii="宋体" w:hAnsi="宋体" w:eastAsia="宋体" w:cs="宋体"/>
                <w:i w:val="0"/>
                <w:iCs w:val="0"/>
                <w:color w:val="auto"/>
                <w:sz w:val="18"/>
                <w:szCs w:val="18"/>
                <w:highlight w:val="none"/>
                <w:u w:val="none"/>
              </w:rPr>
            </w:pPr>
          </w:p>
        </w:tc>
      </w:tr>
      <w:tr w14:paraId="7D710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350" w:type="dxa"/>
            <w:tcBorders>
              <w:top w:val="single" w:color="000000" w:sz="4" w:space="0"/>
              <w:left w:val="single" w:color="000000" w:sz="4" w:space="0"/>
              <w:bottom w:val="single" w:color="000000" w:sz="4" w:space="0"/>
              <w:right w:val="nil"/>
            </w:tcBorders>
            <w:shd w:val="clear" w:color="auto" w:fill="FFFFFF"/>
            <w:noWrap w:val="0"/>
            <w:vAlign w:val="center"/>
          </w:tcPr>
          <w:p w14:paraId="458F44EA">
            <w:pPr>
              <w:jc w:val="center"/>
              <w:rPr>
                <w:rFonts w:hint="eastAsia" w:ascii="宋体" w:hAnsi="宋体" w:eastAsia="宋体" w:cs="宋体"/>
                <w:i w:val="0"/>
                <w:iCs w:val="0"/>
                <w:color w:val="auto"/>
                <w:sz w:val="18"/>
                <w:szCs w:val="18"/>
                <w:highlight w:val="none"/>
                <w:u w:val="none"/>
              </w:rPr>
            </w:pPr>
          </w:p>
        </w:tc>
        <w:tc>
          <w:tcPr>
            <w:tcW w:w="3420" w:type="dxa"/>
            <w:tcBorders>
              <w:top w:val="single" w:color="000000" w:sz="4" w:space="0"/>
              <w:left w:val="single" w:color="000000" w:sz="4" w:space="0"/>
              <w:bottom w:val="single" w:color="000000" w:sz="4" w:space="0"/>
              <w:right w:val="nil"/>
            </w:tcBorders>
            <w:shd w:val="clear" w:color="auto" w:fill="FFFFFF"/>
            <w:noWrap w:val="0"/>
            <w:vAlign w:val="center"/>
          </w:tcPr>
          <w:p w14:paraId="2CAC41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1875" w:type="dxa"/>
            <w:tcBorders>
              <w:top w:val="single" w:color="000000" w:sz="4" w:space="0"/>
              <w:left w:val="single" w:color="000000" w:sz="4" w:space="0"/>
              <w:bottom w:val="single" w:color="000000" w:sz="4" w:space="0"/>
              <w:right w:val="nil"/>
            </w:tcBorders>
            <w:shd w:val="clear" w:color="auto" w:fill="FFFFFF"/>
            <w:noWrap w:val="0"/>
            <w:vAlign w:val="center"/>
          </w:tcPr>
          <w:p w14:paraId="17D300FB">
            <w:pPr>
              <w:jc w:val="center"/>
              <w:rPr>
                <w:rFonts w:hint="eastAsia" w:ascii="宋体" w:hAnsi="宋体" w:eastAsia="宋体" w:cs="宋体"/>
                <w:i w:val="0"/>
                <w:iCs w:val="0"/>
                <w:color w:val="auto"/>
                <w:sz w:val="18"/>
                <w:szCs w:val="18"/>
                <w:highlight w:val="none"/>
                <w:u w:val="none"/>
              </w:rPr>
            </w:pPr>
          </w:p>
        </w:tc>
        <w:tc>
          <w:tcPr>
            <w:tcW w:w="1875" w:type="dxa"/>
            <w:tcBorders>
              <w:top w:val="single" w:color="000000" w:sz="4" w:space="0"/>
              <w:left w:val="single" w:color="000000" w:sz="4" w:space="0"/>
              <w:bottom w:val="single" w:color="000000" w:sz="4" w:space="0"/>
              <w:right w:val="nil"/>
            </w:tcBorders>
            <w:shd w:val="clear" w:color="auto" w:fill="FFFFFF"/>
            <w:noWrap w:val="0"/>
            <w:vAlign w:val="center"/>
          </w:tcPr>
          <w:p w14:paraId="5FCBCE76">
            <w:pPr>
              <w:jc w:val="right"/>
              <w:rPr>
                <w:rFonts w:hint="eastAsia" w:ascii="宋体" w:hAnsi="宋体" w:eastAsia="宋体" w:cs="宋体"/>
                <w:i w:val="0"/>
                <w:iCs w:val="0"/>
                <w:color w:val="auto"/>
                <w:sz w:val="18"/>
                <w:szCs w:val="18"/>
                <w:highlight w:val="none"/>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0E54B1">
            <w:pPr>
              <w:jc w:val="center"/>
              <w:rPr>
                <w:rFonts w:hint="eastAsia" w:ascii="宋体" w:hAnsi="宋体" w:eastAsia="宋体" w:cs="宋体"/>
                <w:i w:val="0"/>
                <w:iCs w:val="0"/>
                <w:color w:val="auto"/>
                <w:sz w:val="18"/>
                <w:szCs w:val="18"/>
                <w:highlight w:val="none"/>
                <w:u w:val="none"/>
              </w:rPr>
            </w:pPr>
          </w:p>
        </w:tc>
      </w:tr>
    </w:tbl>
    <w:p w14:paraId="61819C6D">
      <w:pPr>
        <w:pStyle w:val="8"/>
        <w:spacing w:line="253" w:lineRule="auto"/>
        <w:rPr>
          <w:color w:val="auto"/>
          <w:highlight w:val="none"/>
        </w:rPr>
        <w:sectPr>
          <w:pgSz w:w="11905" w:h="16840"/>
          <w:pgMar w:top="400" w:right="1442" w:bottom="1255" w:left="1587" w:header="0" w:footer="1093" w:gutter="0"/>
          <w:pgNumType w:fmt="decimal"/>
          <w:cols w:space="720" w:num="1"/>
        </w:sectPr>
      </w:pPr>
    </w:p>
    <w:tbl>
      <w:tblPr>
        <w:tblStyle w:val="14"/>
        <w:tblW w:w="101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5"/>
        <w:gridCol w:w="2190"/>
        <w:gridCol w:w="750"/>
        <w:gridCol w:w="1275"/>
        <w:gridCol w:w="1275"/>
        <w:gridCol w:w="1275"/>
        <w:gridCol w:w="1275"/>
        <w:gridCol w:w="1275"/>
      </w:tblGrid>
      <w:tr w14:paraId="554B6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0110" w:type="dxa"/>
            <w:gridSpan w:val="8"/>
            <w:tcBorders>
              <w:top w:val="nil"/>
              <w:left w:val="nil"/>
              <w:bottom w:val="nil"/>
              <w:right w:val="nil"/>
            </w:tcBorders>
            <w:shd w:val="clear" w:color="auto" w:fill="FFFFFF"/>
            <w:noWrap w:val="0"/>
            <w:vAlign w:val="center"/>
          </w:tcPr>
          <w:p w14:paraId="0D365955">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零星工作项目计价表</w:t>
            </w:r>
          </w:p>
        </w:tc>
      </w:tr>
      <w:tr w14:paraId="09F68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285" w:type="dxa"/>
            <w:gridSpan w:val="5"/>
            <w:tcBorders>
              <w:top w:val="nil"/>
              <w:left w:val="nil"/>
              <w:bottom w:val="nil"/>
              <w:right w:val="nil"/>
            </w:tcBorders>
            <w:shd w:val="clear" w:color="auto" w:fill="FFFFFF"/>
            <w:noWrap w:val="0"/>
            <w:vAlign w:val="bottom"/>
          </w:tcPr>
          <w:p w14:paraId="73D4AB62">
            <w:pPr>
              <w:keepNext w:val="0"/>
              <w:keepLines w:val="0"/>
              <w:widowControl/>
              <w:suppressLineNumbers w:val="0"/>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工程名称：</w:t>
            </w:r>
          </w:p>
        </w:tc>
        <w:tc>
          <w:tcPr>
            <w:tcW w:w="3825" w:type="dxa"/>
            <w:gridSpan w:val="3"/>
            <w:tcBorders>
              <w:top w:val="nil"/>
              <w:left w:val="nil"/>
              <w:bottom w:val="nil"/>
              <w:right w:val="nil"/>
            </w:tcBorders>
            <w:shd w:val="clear" w:color="auto" w:fill="FFFFFF"/>
            <w:noWrap w:val="0"/>
            <w:vAlign w:val="bottom"/>
          </w:tcPr>
          <w:p w14:paraId="15037D92">
            <w:pPr>
              <w:keepNext w:val="0"/>
              <w:keepLines w:val="0"/>
              <w:widowControl/>
              <w:suppressLineNumbers w:val="0"/>
              <w:jc w:val="righ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第  页 共  页</w:t>
            </w:r>
          </w:p>
        </w:tc>
      </w:tr>
      <w:tr w14:paraId="23168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vMerge w:val="restart"/>
            <w:tcBorders>
              <w:top w:val="single" w:color="000000" w:sz="4" w:space="0"/>
              <w:left w:val="single" w:color="000000" w:sz="4" w:space="0"/>
              <w:bottom w:val="nil"/>
              <w:right w:val="nil"/>
            </w:tcBorders>
            <w:shd w:val="clear" w:color="auto" w:fill="FFFFFF"/>
            <w:noWrap w:val="0"/>
            <w:vAlign w:val="center"/>
          </w:tcPr>
          <w:p w14:paraId="2F2F83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编号</w:t>
            </w:r>
          </w:p>
        </w:tc>
        <w:tc>
          <w:tcPr>
            <w:tcW w:w="2190" w:type="dxa"/>
            <w:vMerge w:val="restart"/>
            <w:tcBorders>
              <w:top w:val="single" w:color="000000" w:sz="4" w:space="0"/>
              <w:left w:val="single" w:color="000000" w:sz="4" w:space="0"/>
              <w:bottom w:val="nil"/>
              <w:right w:val="nil"/>
            </w:tcBorders>
            <w:shd w:val="clear" w:color="auto" w:fill="FFFFFF"/>
            <w:noWrap w:val="0"/>
            <w:vAlign w:val="center"/>
          </w:tcPr>
          <w:p w14:paraId="6CC5E5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项目名称</w:t>
            </w:r>
          </w:p>
        </w:tc>
        <w:tc>
          <w:tcPr>
            <w:tcW w:w="750" w:type="dxa"/>
            <w:vMerge w:val="restart"/>
            <w:tcBorders>
              <w:top w:val="single" w:color="000000" w:sz="4" w:space="0"/>
              <w:left w:val="single" w:color="000000" w:sz="4" w:space="0"/>
              <w:bottom w:val="nil"/>
              <w:right w:val="nil"/>
            </w:tcBorders>
            <w:shd w:val="clear" w:color="auto" w:fill="FFFFFF"/>
            <w:noWrap w:val="0"/>
            <w:vAlign w:val="center"/>
          </w:tcPr>
          <w:p w14:paraId="492D98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w:t>
            </w:r>
          </w:p>
        </w:tc>
        <w:tc>
          <w:tcPr>
            <w:tcW w:w="1275" w:type="dxa"/>
            <w:vMerge w:val="restart"/>
            <w:tcBorders>
              <w:top w:val="single" w:color="000000" w:sz="4" w:space="0"/>
              <w:left w:val="single" w:color="000000" w:sz="4" w:space="0"/>
              <w:bottom w:val="nil"/>
              <w:right w:val="nil"/>
            </w:tcBorders>
            <w:shd w:val="clear" w:color="auto" w:fill="FFFFFF"/>
            <w:noWrap w:val="0"/>
            <w:vAlign w:val="center"/>
          </w:tcPr>
          <w:p w14:paraId="52DF6E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暂定数量</w:t>
            </w:r>
          </w:p>
        </w:tc>
        <w:tc>
          <w:tcPr>
            <w:tcW w:w="1275" w:type="dxa"/>
            <w:vMerge w:val="restart"/>
            <w:tcBorders>
              <w:top w:val="single" w:color="000000" w:sz="4" w:space="0"/>
              <w:left w:val="single" w:color="000000" w:sz="4" w:space="0"/>
              <w:bottom w:val="nil"/>
              <w:right w:val="nil"/>
            </w:tcBorders>
            <w:shd w:val="clear" w:color="auto" w:fill="FFFFFF"/>
            <w:noWrap w:val="0"/>
            <w:vAlign w:val="center"/>
          </w:tcPr>
          <w:p w14:paraId="34E400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实际数量</w:t>
            </w:r>
          </w:p>
        </w:tc>
        <w:tc>
          <w:tcPr>
            <w:tcW w:w="1275" w:type="dxa"/>
            <w:vMerge w:val="restart"/>
            <w:tcBorders>
              <w:top w:val="single" w:color="000000" w:sz="4" w:space="0"/>
              <w:left w:val="single" w:color="000000" w:sz="4" w:space="0"/>
              <w:bottom w:val="nil"/>
              <w:right w:val="nil"/>
            </w:tcBorders>
            <w:shd w:val="clear" w:color="auto" w:fill="FFFFFF"/>
            <w:noWrap w:val="0"/>
            <w:vAlign w:val="center"/>
          </w:tcPr>
          <w:p w14:paraId="309995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综合单价</w:t>
            </w:r>
          </w:p>
        </w:tc>
        <w:tc>
          <w:tcPr>
            <w:tcW w:w="2550" w:type="dxa"/>
            <w:gridSpan w:val="2"/>
            <w:tcBorders>
              <w:top w:val="single" w:color="000000" w:sz="4" w:space="0"/>
              <w:left w:val="single" w:color="000000" w:sz="4" w:space="0"/>
              <w:bottom w:val="nil"/>
              <w:right w:val="single" w:color="000000" w:sz="4" w:space="0"/>
            </w:tcBorders>
            <w:shd w:val="clear" w:color="auto" w:fill="FFFFFF"/>
            <w:noWrap w:val="0"/>
            <w:vAlign w:val="center"/>
          </w:tcPr>
          <w:p w14:paraId="3AB1A8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合价（元）</w:t>
            </w:r>
          </w:p>
        </w:tc>
      </w:tr>
      <w:tr w14:paraId="0C802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95" w:type="dxa"/>
            <w:vMerge w:val="continue"/>
            <w:tcBorders>
              <w:top w:val="single" w:color="000000" w:sz="4" w:space="0"/>
              <w:left w:val="single" w:color="000000" w:sz="4" w:space="0"/>
              <w:bottom w:val="nil"/>
              <w:right w:val="nil"/>
            </w:tcBorders>
            <w:shd w:val="clear" w:color="auto" w:fill="FFFFFF"/>
            <w:noWrap w:val="0"/>
            <w:vAlign w:val="center"/>
          </w:tcPr>
          <w:p w14:paraId="3B66BDE0">
            <w:pPr>
              <w:jc w:val="center"/>
              <w:rPr>
                <w:rFonts w:hint="eastAsia" w:ascii="宋体" w:hAnsi="宋体" w:eastAsia="宋体" w:cs="宋体"/>
                <w:i w:val="0"/>
                <w:iCs w:val="0"/>
                <w:color w:val="auto"/>
                <w:sz w:val="18"/>
                <w:szCs w:val="18"/>
                <w:highlight w:val="none"/>
                <w:u w:val="none"/>
              </w:rPr>
            </w:pPr>
          </w:p>
        </w:tc>
        <w:tc>
          <w:tcPr>
            <w:tcW w:w="2190" w:type="dxa"/>
            <w:vMerge w:val="continue"/>
            <w:tcBorders>
              <w:top w:val="single" w:color="000000" w:sz="4" w:space="0"/>
              <w:left w:val="single" w:color="000000" w:sz="4" w:space="0"/>
              <w:bottom w:val="nil"/>
              <w:right w:val="nil"/>
            </w:tcBorders>
            <w:shd w:val="clear" w:color="auto" w:fill="FFFFFF"/>
            <w:noWrap w:val="0"/>
            <w:vAlign w:val="center"/>
          </w:tcPr>
          <w:p w14:paraId="2AA33ABB">
            <w:pPr>
              <w:jc w:val="center"/>
              <w:rPr>
                <w:rFonts w:hint="eastAsia" w:ascii="宋体" w:hAnsi="宋体" w:eastAsia="宋体" w:cs="宋体"/>
                <w:i w:val="0"/>
                <w:iCs w:val="0"/>
                <w:color w:val="auto"/>
                <w:sz w:val="18"/>
                <w:szCs w:val="18"/>
                <w:highlight w:val="none"/>
                <w:u w:val="none"/>
              </w:rPr>
            </w:pPr>
          </w:p>
        </w:tc>
        <w:tc>
          <w:tcPr>
            <w:tcW w:w="750" w:type="dxa"/>
            <w:vMerge w:val="continue"/>
            <w:tcBorders>
              <w:top w:val="single" w:color="000000" w:sz="4" w:space="0"/>
              <w:left w:val="single" w:color="000000" w:sz="4" w:space="0"/>
              <w:bottom w:val="nil"/>
              <w:right w:val="nil"/>
            </w:tcBorders>
            <w:shd w:val="clear" w:color="auto" w:fill="FFFFFF"/>
            <w:noWrap w:val="0"/>
            <w:vAlign w:val="center"/>
          </w:tcPr>
          <w:p w14:paraId="1449CD24">
            <w:pPr>
              <w:jc w:val="center"/>
              <w:rPr>
                <w:rFonts w:hint="eastAsia" w:ascii="宋体" w:hAnsi="宋体" w:eastAsia="宋体" w:cs="宋体"/>
                <w:i w:val="0"/>
                <w:iCs w:val="0"/>
                <w:color w:val="auto"/>
                <w:sz w:val="18"/>
                <w:szCs w:val="18"/>
                <w:highlight w:val="none"/>
                <w:u w:val="none"/>
              </w:rPr>
            </w:pPr>
          </w:p>
        </w:tc>
        <w:tc>
          <w:tcPr>
            <w:tcW w:w="1275" w:type="dxa"/>
            <w:vMerge w:val="continue"/>
            <w:tcBorders>
              <w:top w:val="single" w:color="000000" w:sz="4" w:space="0"/>
              <w:left w:val="single" w:color="000000" w:sz="4" w:space="0"/>
              <w:bottom w:val="nil"/>
              <w:right w:val="nil"/>
            </w:tcBorders>
            <w:shd w:val="clear" w:color="auto" w:fill="FFFFFF"/>
            <w:noWrap w:val="0"/>
            <w:vAlign w:val="center"/>
          </w:tcPr>
          <w:p w14:paraId="729465EF">
            <w:pPr>
              <w:jc w:val="center"/>
              <w:rPr>
                <w:rFonts w:hint="eastAsia" w:ascii="宋体" w:hAnsi="宋体" w:eastAsia="宋体" w:cs="宋体"/>
                <w:i w:val="0"/>
                <w:iCs w:val="0"/>
                <w:color w:val="auto"/>
                <w:sz w:val="18"/>
                <w:szCs w:val="18"/>
                <w:highlight w:val="none"/>
                <w:u w:val="none"/>
              </w:rPr>
            </w:pPr>
          </w:p>
        </w:tc>
        <w:tc>
          <w:tcPr>
            <w:tcW w:w="1275" w:type="dxa"/>
            <w:vMerge w:val="continue"/>
            <w:tcBorders>
              <w:top w:val="single" w:color="000000" w:sz="4" w:space="0"/>
              <w:left w:val="single" w:color="000000" w:sz="4" w:space="0"/>
              <w:bottom w:val="nil"/>
              <w:right w:val="nil"/>
            </w:tcBorders>
            <w:shd w:val="clear" w:color="auto" w:fill="FFFFFF"/>
            <w:noWrap w:val="0"/>
            <w:vAlign w:val="center"/>
          </w:tcPr>
          <w:p w14:paraId="42044C6D">
            <w:pPr>
              <w:jc w:val="center"/>
              <w:rPr>
                <w:rFonts w:hint="eastAsia" w:ascii="宋体" w:hAnsi="宋体" w:eastAsia="宋体" w:cs="宋体"/>
                <w:i w:val="0"/>
                <w:iCs w:val="0"/>
                <w:color w:val="auto"/>
                <w:sz w:val="18"/>
                <w:szCs w:val="18"/>
                <w:highlight w:val="none"/>
                <w:u w:val="none"/>
              </w:rPr>
            </w:pPr>
          </w:p>
        </w:tc>
        <w:tc>
          <w:tcPr>
            <w:tcW w:w="1275" w:type="dxa"/>
            <w:vMerge w:val="continue"/>
            <w:tcBorders>
              <w:top w:val="single" w:color="000000" w:sz="4" w:space="0"/>
              <w:left w:val="single" w:color="000000" w:sz="4" w:space="0"/>
              <w:bottom w:val="nil"/>
              <w:right w:val="nil"/>
            </w:tcBorders>
            <w:shd w:val="clear" w:color="auto" w:fill="FFFFFF"/>
            <w:noWrap w:val="0"/>
            <w:vAlign w:val="center"/>
          </w:tcPr>
          <w:p w14:paraId="78C9A6DA">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972C9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暂定</w:t>
            </w: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01C8F6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实际</w:t>
            </w:r>
          </w:p>
        </w:tc>
      </w:tr>
      <w:tr w14:paraId="660E6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7A4BE7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2190" w:type="dxa"/>
            <w:tcBorders>
              <w:top w:val="single" w:color="000000" w:sz="4" w:space="0"/>
              <w:left w:val="single" w:color="000000" w:sz="4" w:space="0"/>
              <w:bottom w:val="nil"/>
              <w:right w:val="nil"/>
            </w:tcBorders>
            <w:shd w:val="clear" w:color="auto" w:fill="FFFFFF"/>
            <w:noWrap w:val="0"/>
            <w:vAlign w:val="center"/>
          </w:tcPr>
          <w:p w14:paraId="3A2FD87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人工</w:t>
            </w:r>
          </w:p>
        </w:tc>
        <w:tc>
          <w:tcPr>
            <w:tcW w:w="750" w:type="dxa"/>
            <w:tcBorders>
              <w:top w:val="single" w:color="000000" w:sz="4" w:space="0"/>
              <w:left w:val="single" w:color="000000" w:sz="4" w:space="0"/>
              <w:bottom w:val="nil"/>
              <w:right w:val="nil"/>
            </w:tcBorders>
            <w:shd w:val="clear" w:color="auto" w:fill="FFFFFF"/>
            <w:noWrap w:val="0"/>
            <w:vAlign w:val="center"/>
          </w:tcPr>
          <w:p w14:paraId="32C17D45">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6DDC188">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CA03FB4">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0D4C4CC">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0015A36">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7CFE8B83">
            <w:pPr>
              <w:jc w:val="right"/>
              <w:rPr>
                <w:rFonts w:hint="eastAsia" w:ascii="宋体" w:hAnsi="宋体" w:eastAsia="宋体" w:cs="宋体"/>
                <w:i w:val="0"/>
                <w:iCs w:val="0"/>
                <w:color w:val="auto"/>
                <w:sz w:val="18"/>
                <w:szCs w:val="18"/>
                <w:highlight w:val="none"/>
                <w:u w:val="none"/>
              </w:rPr>
            </w:pPr>
          </w:p>
        </w:tc>
      </w:tr>
      <w:tr w14:paraId="0772A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1DEC1D39">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4FA4686A">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132262BE">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325D6FA">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BB925BE">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F326F3D">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D9E9C29">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5A5EA26B">
            <w:pPr>
              <w:jc w:val="right"/>
              <w:rPr>
                <w:rFonts w:hint="eastAsia" w:ascii="宋体" w:hAnsi="宋体" w:eastAsia="宋体" w:cs="宋体"/>
                <w:i w:val="0"/>
                <w:iCs w:val="0"/>
                <w:color w:val="auto"/>
                <w:sz w:val="18"/>
                <w:szCs w:val="18"/>
                <w:highlight w:val="none"/>
                <w:u w:val="none"/>
              </w:rPr>
            </w:pPr>
          </w:p>
        </w:tc>
      </w:tr>
      <w:tr w14:paraId="7F017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57B3DF23">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0804E829">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3CD67182">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8901887">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9968FE7">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7C15DFE">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B0A199A">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110AE012">
            <w:pPr>
              <w:jc w:val="right"/>
              <w:rPr>
                <w:rFonts w:hint="eastAsia" w:ascii="宋体" w:hAnsi="宋体" w:eastAsia="宋体" w:cs="宋体"/>
                <w:i w:val="0"/>
                <w:iCs w:val="0"/>
                <w:color w:val="auto"/>
                <w:sz w:val="18"/>
                <w:szCs w:val="18"/>
                <w:highlight w:val="none"/>
                <w:u w:val="none"/>
              </w:rPr>
            </w:pPr>
          </w:p>
        </w:tc>
      </w:tr>
      <w:tr w14:paraId="58BD4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3E8F5FEC">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70FE598D">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4BAFB315">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E16CAFB">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E75465B">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73F3D14">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6037224">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7B56637E">
            <w:pPr>
              <w:jc w:val="right"/>
              <w:rPr>
                <w:rFonts w:hint="eastAsia" w:ascii="宋体" w:hAnsi="宋体" w:eastAsia="宋体" w:cs="宋体"/>
                <w:i w:val="0"/>
                <w:iCs w:val="0"/>
                <w:color w:val="auto"/>
                <w:sz w:val="18"/>
                <w:szCs w:val="18"/>
                <w:highlight w:val="none"/>
                <w:u w:val="none"/>
              </w:rPr>
            </w:pPr>
          </w:p>
        </w:tc>
      </w:tr>
      <w:tr w14:paraId="330E1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0C196B69">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179F0012">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6DFA28C9">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1EFABA7">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969A8FB">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4EE596D">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1709EC3E">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1BE29FD4">
            <w:pPr>
              <w:jc w:val="right"/>
              <w:rPr>
                <w:rFonts w:hint="eastAsia" w:ascii="宋体" w:hAnsi="宋体" w:eastAsia="宋体" w:cs="宋体"/>
                <w:i w:val="0"/>
                <w:iCs w:val="0"/>
                <w:color w:val="auto"/>
                <w:sz w:val="18"/>
                <w:szCs w:val="18"/>
                <w:highlight w:val="none"/>
                <w:u w:val="none"/>
              </w:rPr>
            </w:pPr>
          </w:p>
        </w:tc>
      </w:tr>
      <w:tr w14:paraId="1DF5B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60944C93">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55D288A7">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4F429E76">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AD41739">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2D81197">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85A3CB9">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334E351">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45FD394B">
            <w:pPr>
              <w:jc w:val="right"/>
              <w:rPr>
                <w:rFonts w:hint="eastAsia" w:ascii="宋体" w:hAnsi="宋体" w:eastAsia="宋体" w:cs="宋体"/>
                <w:i w:val="0"/>
                <w:iCs w:val="0"/>
                <w:color w:val="auto"/>
                <w:sz w:val="18"/>
                <w:szCs w:val="18"/>
                <w:highlight w:val="none"/>
                <w:u w:val="none"/>
              </w:rPr>
            </w:pPr>
          </w:p>
        </w:tc>
      </w:tr>
      <w:tr w14:paraId="047F6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06273DD8">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4DC7764E">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389435E1">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6CECA5F">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DED0663">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4F3D208">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192C1F31">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066009A6">
            <w:pPr>
              <w:jc w:val="right"/>
              <w:rPr>
                <w:rFonts w:hint="eastAsia" w:ascii="宋体" w:hAnsi="宋体" w:eastAsia="宋体" w:cs="宋体"/>
                <w:i w:val="0"/>
                <w:iCs w:val="0"/>
                <w:color w:val="auto"/>
                <w:sz w:val="18"/>
                <w:szCs w:val="18"/>
                <w:highlight w:val="none"/>
                <w:u w:val="none"/>
              </w:rPr>
            </w:pPr>
          </w:p>
        </w:tc>
      </w:tr>
      <w:tr w14:paraId="1774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390129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2190" w:type="dxa"/>
            <w:tcBorders>
              <w:top w:val="single" w:color="000000" w:sz="4" w:space="0"/>
              <w:left w:val="single" w:color="000000" w:sz="4" w:space="0"/>
              <w:bottom w:val="nil"/>
              <w:right w:val="nil"/>
            </w:tcBorders>
            <w:shd w:val="clear" w:color="auto" w:fill="FFFFFF"/>
            <w:noWrap w:val="0"/>
            <w:vAlign w:val="center"/>
          </w:tcPr>
          <w:p w14:paraId="5D49CD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材料</w:t>
            </w:r>
          </w:p>
        </w:tc>
        <w:tc>
          <w:tcPr>
            <w:tcW w:w="750" w:type="dxa"/>
            <w:tcBorders>
              <w:top w:val="single" w:color="000000" w:sz="4" w:space="0"/>
              <w:left w:val="single" w:color="000000" w:sz="4" w:space="0"/>
              <w:bottom w:val="nil"/>
              <w:right w:val="nil"/>
            </w:tcBorders>
            <w:shd w:val="clear" w:color="auto" w:fill="FFFFFF"/>
            <w:noWrap w:val="0"/>
            <w:vAlign w:val="center"/>
          </w:tcPr>
          <w:p w14:paraId="20C7A2D6">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2922D70">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5C3FE09">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9C8048B">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F11FA80">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40C06249">
            <w:pPr>
              <w:jc w:val="right"/>
              <w:rPr>
                <w:rFonts w:hint="eastAsia" w:ascii="宋体" w:hAnsi="宋体" w:eastAsia="宋体" w:cs="宋体"/>
                <w:i w:val="0"/>
                <w:iCs w:val="0"/>
                <w:color w:val="auto"/>
                <w:sz w:val="18"/>
                <w:szCs w:val="18"/>
                <w:highlight w:val="none"/>
                <w:u w:val="none"/>
              </w:rPr>
            </w:pPr>
          </w:p>
        </w:tc>
      </w:tr>
      <w:tr w14:paraId="42237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6D5B33FF">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5F21BB94">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5BFB0017">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9228728">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0640BF1">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22CCA76">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15B0715F">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01024E48">
            <w:pPr>
              <w:jc w:val="right"/>
              <w:rPr>
                <w:rFonts w:hint="eastAsia" w:ascii="宋体" w:hAnsi="宋体" w:eastAsia="宋体" w:cs="宋体"/>
                <w:i w:val="0"/>
                <w:iCs w:val="0"/>
                <w:color w:val="auto"/>
                <w:sz w:val="18"/>
                <w:szCs w:val="18"/>
                <w:highlight w:val="none"/>
                <w:u w:val="none"/>
              </w:rPr>
            </w:pPr>
          </w:p>
        </w:tc>
      </w:tr>
      <w:tr w14:paraId="39D12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771797E6">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4C411024">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30FAA68A">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7C1556F">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D805FC8">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FB19721">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E609CD3">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45C7F4B1">
            <w:pPr>
              <w:jc w:val="right"/>
              <w:rPr>
                <w:rFonts w:hint="eastAsia" w:ascii="宋体" w:hAnsi="宋体" w:eastAsia="宋体" w:cs="宋体"/>
                <w:i w:val="0"/>
                <w:iCs w:val="0"/>
                <w:color w:val="auto"/>
                <w:sz w:val="18"/>
                <w:szCs w:val="18"/>
                <w:highlight w:val="none"/>
                <w:u w:val="none"/>
              </w:rPr>
            </w:pPr>
          </w:p>
        </w:tc>
      </w:tr>
      <w:tr w14:paraId="34E34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744906F3">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397994DF">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142689C4">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1BD284C2">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18C77D9D">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2244592">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8697DC8">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52541037">
            <w:pPr>
              <w:jc w:val="right"/>
              <w:rPr>
                <w:rFonts w:hint="eastAsia" w:ascii="宋体" w:hAnsi="宋体" w:eastAsia="宋体" w:cs="宋体"/>
                <w:i w:val="0"/>
                <w:iCs w:val="0"/>
                <w:color w:val="auto"/>
                <w:sz w:val="18"/>
                <w:szCs w:val="18"/>
                <w:highlight w:val="none"/>
                <w:u w:val="none"/>
              </w:rPr>
            </w:pPr>
          </w:p>
        </w:tc>
      </w:tr>
      <w:tr w14:paraId="4E89D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16E69F52">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0B8E5E79">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723D4B5A">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6F05090">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F9BF5F9">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9506A28">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37E8565">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7C424F23">
            <w:pPr>
              <w:jc w:val="right"/>
              <w:rPr>
                <w:rFonts w:hint="eastAsia" w:ascii="宋体" w:hAnsi="宋体" w:eastAsia="宋体" w:cs="宋体"/>
                <w:i w:val="0"/>
                <w:iCs w:val="0"/>
                <w:color w:val="auto"/>
                <w:sz w:val="18"/>
                <w:szCs w:val="18"/>
                <w:highlight w:val="none"/>
                <w:u w:val="none"/>
              </w:rPr>
            </w:pPr>
          </w:p>
        </w:tc>
      </w:tr>
      <w:tr w14:paraId="59877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31777756">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3CBBD707">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718F7A11">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69A536F">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13F8586">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DCD1B68">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8663BF5">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3BACC500">
            <w:pPr>
              <w:jc w:val="right"/>
              <w:rPr>
                <w:rFonts w:hint="eastAsia" w:ascii="宋体" w:hAnsi="宋体" w:eastAsia="宋体" w:cs="宋体"/>
                <w:i w:val="0"/>
                <w:iCs w:val="0"/>
                <w:color w:val="auto"/>
                <w:sz w:val="18"/>
                <w:szCs w:val="18"/>
                <w:highlight w:val="none"/>
                <w:u w:val="none"/>
              </w:rPr>
            </w:pPr>
          </w:p>
        </w:tc>
      </w:tr>
      <w:tr w14:paraId="59656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0A543780">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37C3E512">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4E828C0C">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3C05BEB">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977D2E8">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B60B845">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666AA31">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53F93382">
            <w:pPr>
              <w:jc w:val="right"/>
              <w:rPr>
                <w:rFonts w:hint="eastAsia" w:ascii="宋体" w:hAnsi="宋体" w:eastAsia="宋体" w:cs="宋体"/>
                <w:i w:val="0"/>
                <w:iCs w:val="0"/>
                <w:color w:val="auto"/>
                <w:sz w:val="18"/>
                <w:szCs w:val="18"/>
                <w:highlight w:val="none"/>
                <w:u w:val="none"/>
              </w:rPr>
            </w:pPr>
          </w:p>
        </w:tc>
      </w:tr>
      <w:tr w14:paraId="1D29D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02B29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2190" w:type="dxa"/>
            <w:tcBorders>
              <w:top w:val="single" w:color="000000" w:sz="4" w:space="0"/>
              <w:left w:val="single" w:color="000000" w:sz="4" w:space="0"/>
              <w:bottom w:val="nil"/>
              <w:right w:val="nil"/>
            </w:tcBorders>
            <w:shd w:val="clear" w:color="auto" w:fill="FFFFFF"/>
            <w:noWrap w:val="0"/>
            <w:vAlign w:val="center"/>
          </w:tcPr>
          <w:p w14:paraId="3C9D0A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机械</w:t>
            </w:r>
          </w:p>
        </w:tc>
        <w:tc>
          <w:tcPr>
            <w:tcW w:w="750" w:type="dxa"/>
            <w:tcBorders>
              <w:top w:val="single" w:color="000000" w:sz="4" w:space="0"/>
              <w:left w:val="single" w:color="000000" w:sz="4" w:space="0"/>
              <w:bottom w:val="nil"/>
              <w:right w:val="nil"/>
            </w:tcBorders>
            <w:shd w:val="clear" w:color="auto" w:fill="FFFFFF"/>
            <w:noWrap w:val="0"/>
            <w:vAlign w:val="center"/>
          </w:tcPr>
          <w:p w14:paraId="418DE0CA">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C876F07">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E421EAB">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614AF78">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AC3C2B6">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1C02ADDD">
            <w:pPr>
              <w:jc w:val="right"/>
              <w:rPr>
                <w:rFonts w:hint="eastAsia" w:ascii="宋体" w:hAnsi="宋体" w:eastAsia="宋体" w:cs="宋体"/>
                <w:i w:val="0"/>
                <w:iCs w:val="0"/>
                <w:color w:val="auto"/>
                <w:sz w:val="18"/>
                <w:szCs w:val="18"/>
                <w:highlight w:val="none"/>
                <w:u w:val="none"/>
              </w:rPr>
            </w:pPr>
          </w:p>
        </w:tc>
      </w:tr>
      <w:tr w14:paraId="10F0F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3616E9E0">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57AE8E98">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4EBC56F0">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149BD915">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DD7E0CA">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3651316">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CB4935F">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5296A682">
            <w:pPr>
              <w:jc w:val="right"/>
              <w:rPr>
                <w:rFonts w:hint="eastAsia" w:ascii="宋体" w:hAnsi="宋体" w:eastAsia="宋体" w:cs="宋体"/>
                <w:i w:val="0"/>
                <w:iCs w:val="0"/>
                <w:color w:val="auto"/>
                <w:sz w:val="18"/>
                <w:szCs w:val="18"/>
                <w:highlight w:val="none"/>
                <w:u w:val="none"/>
              </w:rPr>
            </w:pPr>
          </w:p>
        </w:tc>
      </w:tr>
      <w:tr w14:paraId="71A32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7A3A58D3">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5611D92D">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2DF46086">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0E380B3">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DC4DA6D">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7851416">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B3A1464">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721867F3">
            <w:pPr>
              <w:jc w:val="right"/>
              <w:rPr>
                <w:rFonts w:hint="eastAsia" w:ascii="宋体" w:hAnsi="宋体" w:eastAsia="宋体" w:cs="宋体"/>
                <w:i w:val="0"/>
                <w:iCs w:val="0"/>
                <w:color w:val="auto"/>
                <w:sz w:val="18"/>
                <w:szCs w:val="18"/>
                <w:highlight w:val="none"/>
                <w:u w:val="none"/>
              </w:rPr>
            </w:pPr>
          </w:p>
        </w:tc>
      </w:tr>
      <w:tr w14:paraId="096F2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61229E5F">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55CD9DE5">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450F2702">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5BBEAF7">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F395C53">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D6A3EC0">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66AF456">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3DF7D4DD">
            <w:pPr>
              <w:jc w:val="right"/>
              <w:rPr>
                <w:rFonts w:hint="eastAsia" w:ascii="宋体" w:hAnsi="宋体" w:eastAsia="宋体" w:cs="宋体"/>
                <w:i w:val="0"/>
                <w:iCs w:val="0"/>
                <w:color w:val="auto"/>
                <w:sz w:val="18"/>
                <w:szCs w:val="18"/>
                <w:highlight w:val="none"/>
                <w:u w:val="none"/>
              </w:rPr>
            </w:pPr>
          </w:p>
        </w:tc>
      </w:tr>
      <w:tr w14:paraId="21F93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3FF82D33">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12C9E2A4">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4C1AFA67">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30CFA21">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F329595">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98F7AB4">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700FF7A">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248981EF">
            <w:pPr>
              <w:jc w:val="right"/>
              <w:rPr>
                <w:rFonts w:hint="eastAsia" w:ascii="宋体" w:hAnsi="宋体" w:eastAsia="宋体" w:cs="宋体"/>
                <w:i w:val="0"/>
                <w:iCs w:val="0"/>
                <w:color w:val="auto"/>
                <w:sz w:val="18"/>
                <w:szCs w:val="18"/>
                <w:highlight w:val="none"/>
                <w:u w:val="none"/>
              </w:rPr>
            </w:pPr>
          </w:p>
        </w:tc>
      </w:tr>
      <w:tr w14:paraId="4FF66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47513CA1">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10933F59">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41962654">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0A3B1A35">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37A5B61">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25AE481C">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588C2F0">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3C1084B8">
            <w:pPr>
              <w:jc w:val="right"/>
              <w:rPr>
                <w:rFonts w:hint="eastAsia" w:ascii="宋体" w:hAnsi="宋体" w:eastAsia="宋体" w:cs="宋体"/>
                <w:i w:val="0"/>
                <w:iCs w:val="0"/>
                <w:color w:val="auto"/>
                <w:sz w:val="18"/>
                <w:szCs w:val="18"/>
                <w:highlight w:val="none"/>
                <w:u w:val="none"/>
              </w:rPr>
            </w:pPr>
          </w:p>
        </w:tc>
      </w:tr>
      <w:tr w14:paraId="7E224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4BF889AD">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151AC35B">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2054C902">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07BC122">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BA78439">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3AB4C54">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953E5D5">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2EE9AEC3">
            <w:pPr>
              <w:jc w:val="right"/>
              <w:rPr>
                <w:rFonts w:hint="eastAsia" w:ascii="宋体" w:hAnsi="宋体" w:eastAsia="宋体" w:cs="宋体"/>
                <w:i w:val="0"/>
                <w:iCs w:val="0"/>
                <w:color w:val="auto"/>
                <w:sz w:val="18"/>
                <w:szCs w:val="18"/>
                <w:highlight w:val="none"/>
                <w:u w:val="none"/>
              </w:rPr>
            </w:pPr>
          </w:p>
        </w:tc>
      </w:tr>
      <w:tr w14:paraId="3F35E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60DBA116">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2321338B">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5F379672">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95E991C">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2BB2F70">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C9134A1">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263B587">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5CE5CE9E">
            <w:pPr>
              <w:jc w:val="right"/>
              <w:rPr>
                <w:rFonts w:hint="eastAsia" w:ascii="宋体" w:hAnsi="宋体" w:eastAsia="宋体" w:cs="宋体"/>
                <w:i w:val="0"/>
                <w:iCs w:val="0"/>
                <w:color w:val="auto"/>
                <w:sz w:val="18"/>
                <w:szCs w:val="18"/>
                <w:highlight w:val="none"/>
                <w:u w:val="none"/>
              </w:rPr>
            </w:pPr>
          </w:p>
        </w:tc>
      </w:tr>
      <w:tr w14:paraId="22111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5084ED7D">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6CDFFDE0">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25B8E4E6">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90FBEA3">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53BA20A">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EE7F603">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97437E1">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6E23307F">
            <w:pPr>
              <w:jc w:val="right"/>
              <w:rPr>
                <w:rFonts w:hint="eastAsia" w:ascii="宋体" w:hAnsi="宋体" w:eastAsia="宋体" w:cs="宋体"/>
                <w:i w:val="0"/>
                <w:iCs w:val="0"/>
                <w:color w:val="auto"/>
                <w:sz w:val="18"/>
                <w:szCs w:val="18"/>
                <w:highlight w:val="none"/>
                <w:u w:val="none"/>
              </w:rPr>
            </w:pPr>
          </w:p>
        </w:tc>
      </w:tr>
      <w:tr w14:paraId="11882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2E4EC6FB">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57C63FE3">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0C7078EA">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EC0EB5B">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20EF2C1">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6D56CD11">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4B0F204">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47FB3628">
            <w:pPr>
              <w:jc w:val="right"/>
              <w:rPr>
                <w:rFonts w:hint="eastAsia" w:ascii="宋体" w:hAnsi="宋体" w:eastAsia="宋体" w:cs="宋体"/>
                <w:i w:val="0"/>
                <w:iCs w:val="0"/>
                <w:color w:val="auto"/>
                <w:sz w:val="18"/>
                <w:szCs w:val="18"/>
                <w:highlight w:val="none"/>
                <w:u w:val="none"/>
              </w:rPr>
            </w:pPr>
          </w:p>
        </w:tc>
      </w:tr>
      <w:tr w14:paraId="2B8E6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75FFDC10">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303E982D">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5B6E5FDB">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170C8318">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8A81FD6">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C7CA915">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5FFF0CC6">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4D0498B1">
            <w:pPr>
              <w:jc w:val="right"/>
              <w:rPr>
                <w:rFonts w:hint="eastAsia" w:ascii="宋体" w:hAnsi="宋体" w:eastAsia="宋体" w:cs="宋体"/>
                <w:i w:val="0"/>
                <w:iCs w:val="0"/>
                <w:color w:val="auto"/>
                <w:sz w:val="18"/>
                <w:szCs w:val="18"/>
                <w:highlight w:val="none"/>
                <w:u w:val="none"/>
              </w:rPr>
            </w:pPr>
          </w:p>
        </w:tc>
      </w:tr>
      <w:tr w14:paraId="6C6FA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5" w:type="dxa"/>
            <w:tcBorders>
              <w:top w:val="single" w:color="000000" w:sz="4" w:space="0"/>
              <w:left w:val="single" w:color="000000" w:sz="4" w:space="0"/>
              <w:bottom w:val="nil"/>
              <w:right w:val="nil"/>
            </w:tcBorders>
            <w:shd w:val="clear" w:color="auto" w:fill="FFFFFF"/>
            <w:noWrap w:val="0"/>
            <w:vAlign w:val="center"/>
          </w:tcPr>
          <w:p w14:paraId="5CA4D468">
            <w:pPr>
              <w:jc w:val="center"/>
              <w:rPr>
                <w:rFonts w:hint="eastAsia" w:ascii="宋体" w:hAnsi="宋体" w:eastAsia="宋体" w:cs="宋体"/>
                <w:i w:val="0"/>
                <w:iCs w:val="0"/>
                <w:color w:val="auto"/>
                <w:sz w:val="18"/>
                <w:szCs w:val="18"/>
                <w:highlight w:val="none"/>
                <w:u w:val="none"/>
              </w:rPr>
            </w:pPr>
          </w:p>
        </w:tc>
        <w:tc>
          <w:tcPr>
            <w:tcW w:w="2190" w:type="dxa"/>
            <w:tcBorders>
              <w:top w:val="single" w:color="000000" w:sz="4" w:space="0"/>
              <w:left w:val="single" w:color="000000" w:sz="4" w:space="0"/>
              <w:bottom w:val="nil"/>
              <w:right w:val="nil"/>
            </w:tcBorders>
            <w:shd w:val="clear" w:color="auto" w:fill="FFFFFF"/>
            <w:noWrap w:val="0"/>
            <w:vAlign w:val="center"/>
          </w:tcPr>
          <w:p w14:paraId="7DCC97AC">
            <w:pPr>
              <w:jc w:val="left"/>
              <w:rPr>
                <w:rFonts w:hint="eastAsia" w:ascii="宋体" w:hAnsi="宋体" w:eastAsia="宋体" w:cs="宋体"/>
                <w:i w:val="0"/>
                <w:iCs w:val="0"/>
                <w:color w:val="auto"/>
                <w:sz w:val="18"/>
                <w:szCs w:val="18"/>
                <w:highlight w:val="none"/>
                <w:u w:val="none"/>
              </w:rPr>
            </w:pPr>
          </w:p>
        </w:tc>
        <w:tc>
          <w:tcPr>
            <w:tcW w:w="750" w:type="dxa"/>
            <w:tcBorders>
              <w:top w:val="single" w:color="000000" w:sz="4" w:space="0"/>
              <w:left w:val="single" w:color="000000" w:sz="4" w:space="0"/>
              <w:bottom w:val="nil"/>
              <w:right w:val="nil"/>
            </w:tcBorders>
            <w:shd w:val="clear" w:color="auto" w:fill="FFFFFF"/>
            <w:noWrap w:val="0"/>
            <w:vAlign w:val="center"/>
          </w:tcPr>
          <w:p w14:paraId="10E4C4F2">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4F614B64">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7FCA8FFB">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3F1611AD">
            <w:pPr>
              <w:jc w:val="right"/>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nil"/>
            </w:tcBorders>
            <w:shd w:val="clear" w:color="auto" w:fill="FFFFFF"/>
            <w:noWrap w:val="0"/>
            <w:vAlign w:val="center"/>
          </w:tcPr>
          <w:p w14:paraId="1FF93F3E">
            <w:pPr>
              <w:jc w:val="center"/>
              <w:rPr>
                <w:rFonts w:hint="eastAsia" w:ascii="宋体" w:hAnsi="宋体" w:eastAsia="宋体" w:cs="宋体"/>
                <w:i w:val="0"/>
                <w:iCs w:val="0"/>
                <w:color w:val="auto"/>
                <w:sz w:val="18"/>
                <w:szCs w:val="18"/>
                <w:highlight w:val="none"/>
                <w:u w:val="none"/>
              </w:rPr>
            </w:pPr>
          </w:p>
        </w:tc>
        <w:tc>
          <w:tcPr>
            <w:tcW w:w="1275" w:type="dxa"/>
            <w:tcBorders>
              <w:top w:val="single" w:color="000000" w:sz="4" w:space="0"/>
              <w:left w:val="single" w:color="000000" w:sz="4" w:space="0"/>
              <w:bottom w:val="nil"/>
              <w:right w:val="single" w:color="000000" w:sz="4" w:space="0"/>
            </w:tcBorders>
            <w:shd w:val="clear" w:color="auto" w:fill="FFFFFF"/>
            <w:noWrap w:val="0"/>
            <w:vAlign w:val="center"/>
          </w:tcPr>
          <w:p w14:paraId="68040BD5">
            <w:pPr>
              <w:jc w:val="right"/>
              <w:rPr>
                <w:rFonts w:hint="eastAsia" w:ascii="宋体" w:hAnsi="宋体" w:eastAsia="宋体" w:cs="宋体"/>
                <w:i w:val="0"/>
                <w:iCs w:val="0"/>
                <w:color w:val="auto"/>
                <w:sz w:val="18"/>
                <w:szCs w:val="18"/>
                <w:highlight w:val="none"/>
                <w:u w:val="none"/>
              </w:rPr>
            </w:pPr>
          </w:p>
        </w:tc>
      </w:tr>
    </w:tbl>
    <w:p w14:paraId="47247EE1">
      <w:pPr>
        <w:pStyle w:val="8"/>
        <w:spacing w:line="253" w:lineRule="auto"/>
        <w:rPr>
          <w:color w:val="auto"/>
          <w:highlight w:val="none"/>
        </w:rPr>
        <w:sectPr>
          <w:pgSz w:w="11905" w:h="16840"/>
          <w:pgMar w:top="400" w:right="1442" w:bottom="1255" w:left="1587" w:header="0" w:footer="1093" w:gutter="0"/>
          <w:pgNumType w:fmt="decimal"/>
          <w:cols w:space="720" w:num="1"/>
        </w:sectPr>
      </w:pPr>
    </w:p>
    <w:tbl>
      <w:tblPr>
        <w:tblStyle w:val="14"/>
        <w:tblW w:w="101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5"/>
        <w:gridCol w:w="3915"/>
        <w:gridCol w:w="975"/>
        <w:gridCol w:w="1245"/>
        <w:gridCol w:w="1545"/>
        <w:gridCol w:w="1695"/>
      </w:tblGrid>
      <w:tr w14:paraId="14070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0140" w:type="dxa"/>
            <w:gridSpan w:val="6"/>
            <w:tcBorders>
              <w:top w:val="nil"/>
              <w:left w:val="nil"/>
              <w:bottom w:val="nil"/>
              <w:right w:val="nil"/>
            </w:tcBorders>
            <w:shd w:val="clear" w:color="auto" w:fill="FFFFFF"/>
            <w:noWrap w:val="0"/>
            <w:vAlign w:val="center"/>
          </w:tcPr>
          <w:p w14:paraId="55B6B33C">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单价计算表</w:t>
            </w:r>
          </w:p>
        </w:tc>
      </w:tr>
      <w:tr w14:paraId="1DB1C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5655" w:type="dxa"/>
            <w:gridSpan w:val="3"/>
            <w:tcBorders>
              <w:top w:val="single" w:color="000000" w:sz="4" w:space="0"/>
              <w:left w:val="single" w:color="000000" w:sz="4" w:space="0"/>
              <w:bottom w:val="nil"/>
              <w:right w:val="nil"/>
            </w:tcBorders>
            <w:shd w:val="clear" w:color="auto" w:fill="FFFFFF"/>
            <w:noWrap w:val="0"/>
            <w:vAlign w:val="center"/>
          </w:tcPr>
          <w:p w14:paraId="0F9F1B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单价序号</w:t>
            </w:r>
          </w:p>
        </w:tc>
        <w:tc>
          <w:tcPr>
            <w:tcW w:w="4485" w:type="dxa"/>
            <w:gridSpan w:val="3"/>
            <w:tcBorders>
              <w:top w:val="single" w:color="000000" w:sz="4" w:space="0"/>
              <w:left w:val="single" w:color="000000" w:sz="4" w:space="0"/>
              <w:bottom w:val="nil"/>
              <w:right w:val="single" w:color="000000" w:sz="4" w:space="0"/>
            </w:tcBorders>
            <w:shd w:val="clear" w:color="auto" w:fill="FFFFFF"/>
            <w:noWrap w:val="0"/>
            <w:vAlign w:val="center"/>
          </w:tcPr>
          <w:p w14:paraId="14826B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2492C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655" w:type="dxa"/>
            <w:gridSpan w:val="3"/>
            <w:tcBorders>
              <w:top w:val="single" w:color="000000" w:sz="4" w:space="0"/>
              <w:left w:val="single" w:color="000000" w:sz="4" w:space="0"/>
              <w:bottom w:val="nil"/>
              <w:right w:val="nil"/>
            </w:tcBorders>
            <w:shd w:val="clear" w:color="auto" w:fill="FFFFFF"/>
            <w:noWrap w:val="0"/>
            <w:vAlign w:val="center"/>
          </w:tcPr>
          <w:p w14:paraId="30C964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项目名称</w:t>
            </w:r>
          </w:p>
        </w:tc>
        <w:tc>
          <w:tcPr>
            <w:tcW w:w="4485" w:type="dxa"/>
            <w:gridSpan w:val="3"/>
            <w:tcBorders>
              <w:top w:val="single" w:color="000000" w:sz="4" w:space="0"/>
              <w:left w:val="single" w:color="000000" w:sz="4" w:space="0"/>
              <w:bottom w:val="nil"/>
              <w:right w:val="single" w:color="000000" w:sz="4" w:space="0"/>
            </w:tcBorders>
            <w:shd w:val="clear" w:color="auto" w:fill="FFFFFF"/>
            <w:noWrap w:val="0"/>
            <w:vAlign w:val="center"/>
          </w:tcPr>
          <w:p w14:paraId="3A365EF9">
            <w:pPr>
              <w:jc w:val="left"/>
              <w:rPr>
                <w:rFonts w:hint="eastAsia" w:ascii="宋体" w:hAnsi="宋体" w:eastAsia="宋体" w:cs="宋体"/>
                <w:i w:val="0"/>
                <w:iCs w:val="0"/>
                <w:color w:val="auto"/>
                <w:sz w:val="18"/>
                <w:szCs w:val="18"/>
                <w:highlight w:val="none"/>
                <w:u w:val="none"/>
              </w:rPr>
            </w:pPr>
          </w:p>
        </w:tc>
      </w:tr>
      <w:tr w14:paraId="6C9BD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5655" w:type="dxa"/>
            <w:gridSpan w:val="3"/>
            <w:tcBorders>
              <w:top w:val="single" w:color="000000" w:sz="4" w:space="0"/>
              <w:left w:val="single" w:color="000000" w:sz="4" w:space="0"/>
              <w:bottom w:val="nil"/>
              <w:right w:val="nil"/>
            </w:tcBorders>
            <w:shd w:val="clear" w:color="auto" w:fill="FFFFFF"/>
            <w:noWrap w:val="0"/>
            <w:vAlign w:val="center"/>
          </w:tcPr>
          <w:p w14:paraId="19820A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定额编号</w:t>
            </w:r>
          </w:p>
        </w:tc>
        <w:tc>
          <w:tcPr>
            <w:tcW w:w="4485" w:type="dxa"/>
            <w:gridSpan w:val="3"/>
            <w:tcBorders>
              <w:top w:val="single" w:color="000000" w:sz="4" w:space="0"/>
              <w:left w:val="single" w:color="000000" w:sz="4" w:space="0"/>
              <w:bottom w:val="nil"/>
              <w:right w:val="single" w:color="000000" w:sz="4" w:space="0"/>
            </w:tcBorders>
            <w:shd w:val="clear" w:color="auto" w:fill="FFFFFF"/>
            <w:noWrap w:val="0"/>
            <w:vAlign w:val="center"/>
          </w:tcPr>
          <w:p w14:paraId="4BE63AED">
            <w:pPr>
              <w:jc w:val="center"/>
              <w:rPr>
                <w:rFonts w:hint="eastAsia" w:ascii="宋体" w:hAnsi="宋体" w:eastAsia="宋体" w:cs="宋体"/>
                <w:i w:val="0"/>
                <w:iCs w:val="0"/>
                <w:color w:val="auto"/>
                <w:sz w:val="18"/>
                <w:szCs w:val="18"/>
                <w:highlight w:val="none"/>
                <w:u w:val="none"/>
              </w:rPr>
            </w:pPr>
          </w:p>
        </w:tc>
      </w:tr>
      <w:tr w14:paraId="2932C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5655" w:type="dxa"/>
            <w:gridSpan w:val="3"/>
            <w:tcBorders>
              <w:top w:val="single" w:color="000000" w:sz="4" w:space="0"/>
              <w:left w:val="single" w:color="000000" w:sz="4" w:space="0"/>
              <w:bottom w:val="nil"/>
              <w:right w:val="nil"/>
            </w:tcBorders>
            <w:shd w:val="clear" w:color="auto" w:fill="FFFFFF"/>
            <w:noWrap w:val="0"/>
            <w:vAlign w:val="center"/>
          </w:tcPr>
          <w:p w14:paraId="66B4F6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定额单位</w:t>
            </w:r>
          </w:p>
        </w:tc>
        <w:tc>
          <w:tcPr>
            <w:tcW w:w="4485" w:type="dxa"/>
            <w:gridSpan w:val="3"/>
            <w:tcBorders>
              <w:top w:val="single" w:color="000000" w:sz="4" w:space="0"/>
              <w:left w:val="single" w:color="000000" w:sz="4" w:space="0"/>
              <w:bottom w:val="nil"/>
              <w:right w:val="single" w:color="000000" w:sz="4" w:space="0"/>
            </w:tcBorders>
            <w:shd w:val="clear" w:color="auto" w:fill="FFFFFF"/>
            <w:noWrap w:val="0"/>
            <w:vAlign w:val="center"/>
          </w:tcPr>
          <w:p w14:paraId="6AE00B19">
            <w:pPr>
              <w:jc w:val="center"/>
              <w:rPr>
                <w:rFonts w:hint="eastAsia" w:ascii="宋体" w:hAnsi="宋体" w:eastAsia="宋体" w:cs="宋体"/>
                <w:i w:val="0"/>
                <w:iCs w:val="0"/>
                <w:color w:val="auto"/>
                <w:sz w:val="18"/>
                <w:szCs w:val="18"/>
                <w:highlight w:val="none"/>
                <w:u w:val="none"/>
              </w:rPr>
            </w:pPr>
          </w:p>
        </w:tc>
      </w:tr>
      <w:tr w14:paraId="21080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44E706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编号</w:t>
            </w:r>
          </w:p>
        </w:tc>
        <w:tc>
          <w:tcPr>
            <w:tcW w:w="3915" w:type="dxa"/>
            <w:tcBorders>
              <w:top w:val="single" w:color="000000" w:sz="4" w:space="0"/>
              <w:left w:val="single" w:color="000000" w:sz="4" w:space="0"/>
              <w:bottom w:val="nil"/>
              <w:right w:val="nil"/>
            </w:tcBorders>
            <w:shd w:val="clear" w:color="auto" w:fill="FFFFFF"/>
            <w:noWrap w:val="0"/>
            <w:vAlign w:val="center"/>
          </w:tcPr>
          <w:p w14:paraId="375739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工料名称</w:t>
            </w:r>
          </w:p>
        </w:tc>
        <w:tc>
          <w:tcPr>
            <w:tcW w:w="975" w:type="dxa"/>
            <w:tcBorders>
              <w:top w:val="single" w:color="000000" w:sz="4" w:space="0"/>
              <w:left w:val="single" w:color="000000" w:sz="4" w:space="0"/>
              <w:bottom w:val="nil"/>
              <w:right w:val="nil"/>
            </w:tcBorders>
            <w:shd w:val="clear" w:color="auto" w:fill="FFFFFF"/>
            <w:noWrap w:val="0"/>
            <w:vAlign w:val="center"/>
          </w:tcPr>
          <w:p w14:paraId="478D6F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w:t>
            </w:r>
          </w:p>
        </w:tc>
        <w:tc>
          <w:tcPr>
            <w:tcW w:w="1245" w:type="dxa"/>
            <w:tcBorders>
              <w:top w:val="single" w:color="000000" w:sz="4" w:space="0"/>
              <w:left w:val="single" w:color="000000" w:sz="4" w:space="0"/>
              <w:bottom w:val="nil"/>
              <w:right w:val="nil"/>
            </w:tcBorders>
            <w:shd w:val="clear" w:color="auto" w:fill="FFFFFF"/>
            <w:noWrap w:val="0"/>
            <w:vAlign w:val="center"/>
          </w:tcPr>
          <w:p w14:paraId="15463F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单价(元)</w:t>
            </w:r>
          </w:p>
        </w:tc>
        <w:tc>
          <w:tcPr>
            <w:tcW w:w="1545" w:type="dxa"/>
            <w:tcBorders>
              <w:top w:val="single" w:color="000000" w:sz="4" w:space="0"/>
              <w:left w:val="single" w:color="000000" w:sz="4" w:space="0"/>
              <w:bottom w:val="nil"/>
              <w:right w:val="nil"/>
            </w:tcBorders>
            <w:shd w:val="clear" w:color="auto" w:fill="FFFFFF"/>
            <w:noWrap w:val="0"/>
            <w:vAlign w:val="center"/>
          </w:tcPr>
          <w:p w14:paraId="3CC53E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工料定额</w:t>
            </w:r>
          </w:p>
        </w:tc>
        <w:tc>
          <w:tcPr>
            <w:tcW w:w="1695" w:type="dxa"/>
            <w:tcBorders>
              <w:top w:val="single" w:color="000000" w:sz="4" w:space="0"/>
              <w:left w:val="single" w:color="000000" w:sz="4" w:space="0"/>
              <w:bottom w:val="nil"/>
              <w:right w:val="single" w:color="000000" w:sz="4" w:space="0"/>
            </w:tcBorders>
            <w:shd w:val="clear" w:color="auto" w:fill="FFFFFF"/>
            <w:noWrap w:val="0"/>
            <w:vAlign w:val="center"/>
          </w:tcPr>
          <w:p w14:paraId="3E2735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合价(元)</w:t>
            </w:r>
          </w:p>
        </w:tc>
      </w:tr>
      <w:tr w14:paraId="34044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543B6A8C">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0205C7A8">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2A026A87">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3C5970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039042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4E9C2267">
            <w:pPr>
              <w:jc w:val="right"/>
              <w:rPr>
                <w:rFonts w:hint="eastAsia" w:ascii="宋体" w:hAnsi="宋体" w:eastAsia="宋体" w:cs="宋体"/>
                <w:i w:val="0"/>
                <w:iCs w:val="0"/>
                <w:color w:val="auto"/>
                <w:sz w:val="18"/>
                <w:szCs w:val="18"/>
                <w:highlight w:val="none"/>
                <w:u w:val="none"/>
              </w:rPr>
            </w:pPr>
          </w:p>
        </w:tc>
      </w:tr>
      <w:tr w14:paraId="68A35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15518EDE">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4FD3023A">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77844B2F">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AA21AD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DC35C4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68B02576">
            <w:pPr>
              <w:jc w:val="right"/>
              <w:rPr>
                <w:rFonts w:hint="eastAsia" w:ascii="宋体" w:hAnsi="宋体" w:eastAsia="宋体" w:cs="宋体"/>
                <w:i w:val="0"/>
                <w:iCs w:val="0"/>
                <w:color w:val="auto"/>
                <w:sz w:val="18"/>
                <w:szCs w:val="18"/>
                <w:highlight w:val="none"/>
                <w:u w:val="none"/>
              </w:rPr>
            </w:pPr>
          </w:p>
        </w:tc>
      </w:tr>
      <w:tr w14:paraId="56E0E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7749B6CD">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573C5B9D">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3C86227D">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A7D084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1098E8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66C1FCF1">
            <w:pPr>
              <w:jc w:val="right"/>
              <w:rPr>
                <w:rFonts w:hint="eastAsia" w:ascii="宋体" w:hAnsi="宋体" w:eastAsia="宋体" w:cs="宋体"/>
                <w:i w:val="0"/>
                <w:iCs w:val="0"/>
                <w:color w:val="auto"/>
                <w:sz w:val="18"/>
                <w:szCs w:val="18"/>
                <w:highlight w:val="none"/>
                <w:u w:val="none"/>
              </w:rPr>
            </w:pPr>
          </w:p>
        </w:tc>
      </w:tr>
      <w:tr w14:paraId="10318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374A6014">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23837121">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52F4BCD5">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E4EA8C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CD791F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6E0D43D1">
            <w:pPr>
              <w:jc w:val="right"/>
              <w:rPr>
                <w:rFonts w:hint="eastAsia" w:ascii="宋体" w:hAnsi="宋体" w:eastAsia="宋体" w:cs="宋体"/>
                <w:i w:val="0"/>
                <w:iCs w:val="0"/>
                <w:color w:val="auto"/>
                <w:sz w:val="18"/>
                <w:szCs w:val="18"/>
                <w:highlight w:val="none"/>
                <w:u w:val="none"/>
              </w:rPr>
            </w:pPr>
          </w:p>
        </w:tc>
      </w:tr>
      <w:tr w14:paraId="69647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69526503">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5816AF67">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377963E7">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475A0B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6B9333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2FA6EAD5">
            <w:pPr>
              <w:jc w:val="right"/>
              <w:rPr>
                <w:rFonts w:hint="eastAsia" w:ascii="宋体" w:hAnsi="宋体" w:eastAsia="宋体" w:cs="宋体"/>
                <w:i w:val="0"/>
                <w:iCs w:val="0"/>
                <w:color w:val="auto"/>
                <w:sz w:val="18"/>
                <w:szCs w:val="18"/>
                <w:highlight w:val="none"/>
                <w:u w:val="none"/>
              </w:rPr>
            </w:pPr>
          </w:p>
        </w:tc>
      </w:tr>
      <w:tr w14:paraId="088E3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567041C2">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522DE9A8">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6470C5CF">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204B8A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E49EBD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7A5912B2">
            <w:pPr>
              <w:jc w:val="right"/>
              <w:rPr>
                <w:rFonts w:hint="eastAsia" w:ascii="宋体" w:hAnsi="宋体" w:eastAsia="宋体" w:cs="宋体"/>
                <w:i w:val="0"/>
                <w:iCs w:val="0"/>
                <w:color w:val="auto"/>
                <w:sz w:val="18"/>
                <w:szCs w:val="18"/>
                <w:highlight w:val="none"/>
                <w:u w:val="none"/>
              </w:rPr>
            </w:pPr>
          </w:p>
        </w:tc>
      </w:tr>
      <w:tr w14:paraId="370D2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029C6016">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51401C2A">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791AE396">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568801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7EC052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22F9DDD">
            <w:pPr>
              <w:jc w:val="right"/>
              <w:rPr>
                <w:rFonts w:hint="eastAsia" w:ascii="宋体" w:hAnsi="宋体" w:eastAsia="宋体" w:cs="宋体"/>
                <w:i w:val="0"/>
                <w:iCs w:val="0"/>
                <w:color w:val="auto"/>
                <w:sz w:val="18"/>
                <w:szCs w:val="18"/>
                <w:highlight w:val="none"/>
                <w:u w:val="none"/>
              </w:rPr>
            </w:pPr>
          </w:p>
        </w:tc>
      </w:tr>
      <w:tr w14:paraId="16B9B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5F4C4BFD">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4B2734A0">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41B788F0">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AC9DD3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1679E1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3BB5D694">
            <w:pPr>
              <w:jc w:val="right"/>
              <w:rPr>
                <w:rFonts w:hint="eastAsia" w:ascii="宋体" w:hAnsi="宋体" w:eastAsia="宋体" w:cs="宋体"/>
                <w:i w:val="0"/>
                <w:iCs w:val="0"/>
                <w:color w:val="auto"/>
                <w:sz w:val="18"/>
                <w:szCs w:val="18"/>
                <w:highlight w:val="none"/>
                <w:u w:val="none"/>
              </w:rPr>
            </w:pPr>
          </w:p>
        </w:tc>
      </w:tr>
      <w:tr w14:paraId="468A9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59815D27">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69654643">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4D2553C4">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398F8E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F263FD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01F55D89">
            <w:pPr>
              <w:jc w:val="right"/>
              <w:rPr>
                <w:rFonts w:hint="eastAsia" w:ascii="宋体" w:hAnsi="宋体" w:eastAsia="宋体" w:cs="宋体"/>
                <w:i w:val="0"/>
                <w:iCs w:val="0"/>
                <w:color w:val="auto"/>
                <w:sz w:val="18"/>
                <w:szCs w:val="18"/>
                <w:highlight w:val="none"/>
                <w:u w:val="none"/>
              </w:rPr>
            </w:pPr>
          </w:p>
        </w:tc>
      </w:tr>
      <w:tr w14:paraId="79911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282A7777">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3B36C5B1">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63191095">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BFACB6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8359A8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3E2B3702">
            <w:pPr>
              <w:jc w:val="right"/>
              <w:rPr>
                <w:rFonts w:hint="eastAsia" w:ascii="宋体" w:hAnsi="宋体" w:eastAsia="宋体" w:cs="宋体"/>
                <w:i w:val="0"/>
                <w:iCs w:val="0"/>
                <w:color w:val="auto"/>
                <w:sz w:val="18"/>
                <w:szCs w:val="18"/>
                <w:highlight w:val="none"/>
                <w:u w:val="none"/>
              </w:rPr>
            </w:pPr>
          </w:p>
        </w:tc>
      </w:tr>
      <w:tr w14:paraId="2D2A2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0B37C4CB">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37B1B0DC">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32EDD2B3">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D2DE28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38E3F8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67A9EEB2">
            <w:pPr>
              <w:jc w:val="right"/>
              <w:rPr>
                <w:rFonts w:hint="eastAsia" w:ascii="宋体" w:hAnsi="宋体" w:eastAsia="宋体" w:cs="宋体"/>
                <w:i w:val="0"/>
                <w:iCs w:val="0"/>
                <w:color w:val="auto"/>
                <w:sz w:val="18"/>
                <w:szCs w:val="18"/>
                <w:highlight w:val="none"/>
                <w:u w:val="none"/>
              </w:rPr>
            </w:pPr>
          </w:p>
        </w:tc>
      </w:tr>
      <w:tr w14:paraId="015AA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42B56D84">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0B1BEDAD">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416073AA">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5BCE38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5BEA82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33CE6FB6">
            <w:pPr>
              <w:jc w:val="right"/>
              <w:rPr>
                <w:rFonts w:hint="eastAsia" w:ascii="宋体" w:hAnsi="宋体" w:eastAsia="宋体" w:cs="宋体"/>
                <w:i w:val="0"/>
                <w:iCs w:val="0"/>
                <w:color w:val="auto"/>
                <w:sz w:val="18"/>
                <w:szCs w:val="18"/>
                <w:highlight w:val="none"/>
                <w:u w:val="none"/>
              </w:rPr>
            </w:pPr>
          </w:p>
        </w:tc>
      </w:tr>
      <w:tr w14:paraId="71585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0C8E4466">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6432991C">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1792227B">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74DEFA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C45298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FFBEB54">
            <w:pPr>
              <w:jc w:val="right"/>
              <w:rPr>
                <w:rFonts w:hint="eastAsia" w:ascii="宋体" w:hAnsi="宋体" w:eastAsia="宋体" w:cs="宋体"/>
                <w:i w:val="0"/>
                <w:iCs w:val="0"/>
                <w:color w:val="auto"/>
                <w:sz w:val="18"/>
                <w:szCs w:val="18"/>
                <w:highlight w:val="none"/>
                <w:u w:val="none"/>
              </w:rPr>
            </w:pPr>
          </w:p>
        </w:tc>
      </w:tr>
      <w:tr w14:paraId="7AA11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4104C268">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2C9E0245">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6D171A1E">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BB8CBD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56CA05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FEB59D0">
            <w:pPr>
              <w:jc w:val="right"/>
              <w:rPr>
                <w:rFonts w:hint="eastAsia" w:ascii="宋体" w:hAnsi="宋体" w:eastAsia="宋体" w:cs="宋体"/>
                <w:i w:val="0"/>
                <w:iCs w:val="0"/>
                <w:color w:val="auto"/>
                <w:sz w:val="18"/>
                <w:szCs w:val="18"/>
                <w:highlight w:val="none"/>
                <w:u w:val="none"/>
              </w:rPr>
            </w:pPr>
          </w:p>
        </w:tc>
      </w:tr>
      <w:tr w14:paraId="09488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2FE405B9">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6F26CACE">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1F494767">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F4FA77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D46AEC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D9C5431">
            <w:pPr>
              <w:jc w:val="right"/>
              <w:rPr>
                <w:rFonts w:hint="eastAsia" w:ascii="宋体" w:hAnsi="宋体" w:eastAsia="宋体" w:cs="宋体"/>
                <w:i w:val="0"/>
                <w:iCs w:val="0"/>
                <w:color w:val="auto"/>
                <w:sz w:val="18"/>
                <w:szCs w:val="18"/>
                <w:highlight w:val="none"/>
                <w:u w:val="none"/>
              </w:rPr>
            </w:pPr>
          </w:p>
        </w:tc>
      </w:tr>
      <w:tr w14:paraId="4C96E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47C555C1">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7D28D1AD">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7D6DEA5B">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DDDBC2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EE2FD5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5A7497A3">
            <w:pPr>
              <w:jc w:val="right"/>
              <w:rPr>
                <w:rFonts w:hint="eastAsia" w:ascii="宋体" w:hAnsi="宋体" w:eastAsia="宋体" w:cs="宋体"/>
                <w:i w:val="0"/>
                <w:iCs w:val="0"/>
                <w:color w:val="auto"/>
                <w:sz w:val="18"/>
                <w:szCs w:val="18"/>
                <w:highlight w:val="none"/>
                <w:u w:val="none"/>
              </w:rPr>
            </w:pPr>
          </w:p>
        </w:tc>
      </w:tr>
      <w:tr w14:paraId="2CC84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358D86F2">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2C72834B">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7EA3A283">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BD3058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8800D6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B1565F3">
            <w:pPr>
              <w:jc w:val="right"/>
              <w:rPr>
                <w:rFonts w:hint="eastAsia" w:ascii="宋体" w:hAnsi="宋体" w:eastAsia="宋体" w:cs="宋体"/>
                <w:i w:val="0"/>
                <w:iCs w:val="0"/>
                <w:color w:val="auto"/>
                <w:sz w:val="18"/>
                <w:szCs w:val="18"/>
                <w:highlight w:val="none"/>
                <w:u w:val="none"/>
              </w:rPr>
            </w:pPr>
          </w:p>
        </w:tc>
      </w:tr>
      <w:tr w14:paraId="3C8E4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056869A3">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0790CAF9">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7E081BB2">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D917A3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82E9D4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4DF44586">
            <w:pPr>
              <w:jc w:val="right"/>
              <w:rPr>
                <w:rFonts w:hint="eastAsia" w:ascii="宋体" w:hAnsi="宋体" w:eastAsia="宋体" w:cs="宋体"/>
                <w:i w:val="0"/>
                <w:iCs w:val="0"/>
                <w:color w:val="auto"/>
                <w:sz w:val="18"/>
                <w:szCs w:val="18"/>
                <w:highlight w:val="none"/>
                <w:u w:val="none"/>
              </w:rPr>
            </w:pPr>
          </w:p>
        </w:tc>
      </w:tr>
      <w:tr w14:paraId="2EE2C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1F79CBF0">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75EF4D1A">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1E46B65C">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08DF90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232815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3375642">
            <w:pPr>
              <w:jc w:val="right"/>
              <w:rPr>
                <w:rFonts w:hint="eastAsia" w:ascii="宋体" w:hAnsi="宋体" w:eastAsia="宋体" w:cs="宋体"/>
                <w:i w:val="0"/>
                <w:iCs w:val="0"/>
                <w:color w:val="auto"/>
                <w:sz w:val="18"/>
                <w:szCs w:val="18"/>
                <w:highlight w:val="none"/>
                <w:u w:val="none"/>
              </w:rPr>
            </w:pPr>
          </w:p>
        </w:tc>
      </w:tr>
      <w:tr w14:paraId="2CA2D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2CC346A6">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19FC7C3A">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4E2F4EDE">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63A0F1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AE75EC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244E6C62">
            <w:pPr>
              <w:jc w:val="right"/>
              <w:rPr>
                <w:rFonts w:hint="eastAsia" w:ascii="宋体" w:hAnsi="宋体" w:eastAsia="宋体" w:cs="宋体"/>
                <w:i w:val="0"/>
                <w:iCs w:val="0"/>
                <w:color w:val="auto"/>
                <w:sz w:val="18"/>
                <w:szCs w:val="18"/>
                <w:highlight w:val="none"/>
                <w:u w:val="none"/>
              </w:rPr>
            </w:pPr>
          </w:p>
        </w:tc>
      </w:tr>
      <w:tr w14:paraId="37E4F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56E47408">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1AE3AB53">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5A92C761">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352CE2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9FA756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437DE71F">
            <w:pPr>
              <w:jc w:val="right"/>
              <w:rPr>
                <w:rFonts w:hint="eastAsia" w:ascii="宋体" w:hAnsi="宋体" w:eastAsia="宋体" w:cs="宋体"/>
                <w:i w:val="0"/>
                <w:iCs w:val="0"/>
                <w:color w:val="auto"/>
                <w:sz w:val="18"/>
                <w:szCs w:val="18"/>
                <w:highlight w:val="none"/>
                <w:u w:val="none"/>
              </w:rPr>
            </w:pPr>
          </w:p>
        </w:tc>
      </w:tr>
      <w:tr w14:paraId="47A5D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3FC9AA94">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679A8EB7">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7FCA4EF5">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5A49A9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2AE514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744AB790">
            <w:pPr>
              <w:jc w:val="right"/>
              <w:rPr>
                <w:rFonts w:hint="eastAsia" w:ascii="宋体" w:hAnsi="宋体" w:eastAsia="宋体" w:cs="宋体"/>
                <w:i w:val="0"/>
                <w:iCs w:val="0"/>
                <w:color w:val="auto"/>
                <w:sz w:val="18"/>
                <w:szCs w:val="18"/>
                <w:highlight w:val="none"/>
                <w:u w:val="none"/>
              </w:rPr>
            </w:pPr>
          </w:p>
        </w:tc>
      </w:tr>
      <w:tr w14:paraId="79595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nil"/>
              <w:right w:val="nil"/>
            </w:tcBorders>
            <w:shd w:val="clear" w:color="auto" w:fill="FFFFFF"/>
            <w:noWrap w:val="0"/>
            <w:vAlign w:val="center"/>
          </w:tcPr>
          <w:p w14:paraId="5AF45593">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nil"/>
              <w:right w:val="nil"/>
            </w:tcBorders>
            <w:shd w:val="clear" w:color="auto" w:fill="FFFFFF"/>
            <w:noWrap w:val="0"/>
            <w:vAlign w:val="center"/>
          </w:tcPr>
          <w:p w14:paraId="7F48F42F">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nil"/>
              <w:right w:val="nil"/>
            </w:tcBorders>
            <w:shd w:val="clear" w:color="auto" w:fill="FFFFFF"/>
            <w:noWrap w:val="0"/>
            <w:vAlign w:val="center"/>
          </w:tcPr>
          <w:p w14:paraId="7BD33808">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86813E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535397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46D0FDF5">
            <w:pPr>
              <w:jc w:val="right"/>
              <w:rPr>
                <w:rFonts w:hint="eastAsia" w:ascii="宋体" w:hAnsi="宋体" w:eastAsia="宋体" w:cs="宋体"/>
                <w:i w:val="0"/>
                <w:iCs w:val="0"/>
                <w:color w:val="auto"/>
                <w:sz w:val="18"/>
                <w:szCs w:val="18"/>
                <w:highlight w:val="none"/>
                <w:u w:val="none"/>
              </w:rPr>
            </w:pPr>
          </w:p>
        </w:tc>
      </w:tr>
      <w:tr w14:paraId="248D4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000000" w:sz="4" w:space="0"/>
              <w:left w:val="single" w:color="000000" w:sz="4" w:space="0"/>
              <w:bottom w:val="single" w:color="auto" w:sz="4" w:space="0"/>
              <w:right w:val="nil"/>
            </w:tcBorders>
            <w:shd w:val="clear" w:color="auto" w:fill="FFFFFF"/>
            <w:noWrap w:val="0"/>
            <w:vAlign w:val="center"/>
          </w:tcPr>
          <w:p w14:paraId="125A590B">
            <w:pPr>
              <w:jc w:val="center"/>
              <w:rPr>
                <w:rFonts w:hint="eastAsia" w:ascii="宋体" w:hAnsi="宋体" w:eastAsia="宋体" w:cs="宋体"/>
                <w:i w:val="0"/>
                <w:iCs w:val="0"/>
                <w:color w:val="auto"/>
                <w:sz w:val="18"/>
                <w:szCs w:val="18"/>
                <w:highlight w:val="none"/>
                <w:u w:val="none"/>
              </w:rPr>
            </w:pPr>
          </w:p>
        </w:tc>
        <w:tc>
          <w:tcPr>
            <w:tcW w:w="3915" w:type="dxa"/>
            <w:tcBorders>
              <w:top w:val="single" w:color="000000" w:sz="4" w:space="0"/>
              <w:left w:val="single" w:color="000000" w:sz="4" w:space="0"/>
              <w:bottom w:val="single" w:color="auto" w:sz="4" w:space="0"/>
              <w:right w:val="nil"/>
            </w:tcBorders>
            <w:shd w:val="clear" w:color="auto" w:fill="FFFFFF"/>
            <w:noWrap w:val="0"/>
            <w:vAlign w:val="center"/>
          </w:tcPr>
          <w:p w14:paraId="558C402E">
            <w:pPr>
              <w:jc w:val="left"/>
              <w:rPr>
                <w:rFonts w:hint="eastAsia" w:ascii="宋体" w:hAnsi="宋体" w:eastAsia="宋体" w:cs="宋体"/>
                <w:i w:val="0"/>
                <w:iCs w:val="0"/>
                <w:color w:val="auto"/>
                <w:sz w:val="18"/>
                <w:szCs w:val="18"/>
                <w:highlight w:val="none"/>
                <w:u w:val="none"/>
              </w:rPr>
            </w:pPr>
          </w:p>
        </w:tc>
        <w:tc>
          <w:tcPr>
            <w:tcW w:w="975" w:type="dxa"/>
            <w:tcBorders>
              <w:top w:val="single" w:color="000000" w:sz="4" w:space="0"/>
              <w:left w:val="single" w:color="000000" w:sz="4" w:space="0"/>
              <w:bottom w:val="single" w:color="auto" w:sz="4" w:space="0"/>
              <w:right w:val="nil"/>
            </w:tcBorders>
            <w:shd w:val="clear" w:color="auto" w:fill="FFFFFF"/>
            <w:noWrap w:val="0"/>
            <w:vAlign w:val="center"/>
          </w:tcPr>
          <w:p w14:paraId="089FECE9">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6ADF17A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3FAA457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single" w:color="000000" w:sz="4" w:space="0"/>
            </w:tcBorders>
            <w:shd w:val="clear" w:color="auto" w:fill="FFFFFF"/>
            <w:noWrap/>
            <w:vAlign w:val="center"/>
          </w:tcPr>
          <w:p w14:paraId="377842A7">
            <w:pPr>
              <w:jc w:val="right"/>
              <w:rPr>
                <w:rFonts w:hint="eastAsia" w:ascii="宋体" w:hAnsi="宋体" w:eastAsia="宋体" w:cs="宋体"/>
                <w:i w:val="0"/>
                <w:iCs w:val="0"/>
                <w:color w:val="auto"/>
                <w:sz w:val="18"/>
                <w:szCs w:val="18"/>
                <w:highlight w:val="none"/>
                <w:u w:val="none"/>
              </w:rPr>
            </w:pPr>
          </w:p>
        </w:tc>
      </w:tr>
      <w:tr w14:paraId="2CED8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auto" w:sz="4" w:space="0"/>
              <w:left w:val="single" w:color="auto" w:sz="4" w:space="0"/>
              <w:bottom w:val="single" w:color="auto" w:sz="4" w:space="0"/>
              <w:right w:val="single" w:color="auto" w:sz="4" w:space="0"/>
            </w:tcBorders>
            <w:shd w:val="clear" w:color="auto" w:fill="FFFFFF"/>
            <w:noWrap w:val="0"/>
            <w:vAlign w:val="bottom"/>
          </w:tcPr>
          <w:p w14:paraId="2CF8BC4A">
            <w:pPr>
              <w:jc w:val="left"/>
              <w:rPr>
                <w:rFonts w:hint="eastAsia" w:ascii="宋体" w:hAnsi="宋体" w:eastAsia="宋体" w:cs="宋体"/>
                <w:i w:val="0"/>
                <w:iCs w:val="0"/>
                <w:color w:val="auto"/>
                <w:sz w:val="18"/>
                <w:szCs w:val="18"/>
                <w:highlight w:val="none"/>
                <w:u w:val="none"/>
              </w:rPr>
            </w:pPr>
          </w:p>
        </w:tc>
        <w:tc>
          <w:tcPr>
            <w:tcW w:w="3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E491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直接工程费小计</w:t>
            </w:r>
          </w:p>
        </w:tc>
        <w:tc>
          <w:tcPr>
            <w:tcW w:w="9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8DB7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元</w:t>
            </w:r>
          </w:p>
        </w:tc>
        <w:tc>
          <w:tcPr>
            <w:tcW w:w="12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8B65FA">
            <w:pPr>
              <w:jc w:val="right"/>
              <w:rPr>
                <w:rFonts w:hint="eastAsia" w:ascii="宋体" w:hAnsi="宋体" w:eastAsia="宋体" w:cs="宋体"/>
                <w:i w:val="0"/>
                <w:iCs w:val="0"/>
                <w:color w:val="auto"/>
                <w:sz w:val="18"/>
                <w:szCs w:val="18"/>
                <w:highlight w:val="none"/>
                <w:u w:val="none"/>
              </w:rPr>
            </w:pPr>
          </w:p>
        </w:tc>
        <w:tc>
          <w:tcPr>
            <w:tcW w:w="15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5CD2C9">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6C6DFF2">
            <w:pPr>
              <w:jc w:val="right"/>
              <w:rPr>
                <w:rFonts w:hint="eastAsia" w:ascii="宋体" w:hAnsi="宋体" w:eastAsia="宋体" w:cs="宋体"/>
                <w:i w:val="0"/>
                <w:iCs w:val="0"/>
                <w:color w:val="auto"/>
                <w:sz w:val="18"/>
                <w:szCs w:val="18"/>
                <w:highlight w:val="none"/>
                <w:u w:val="none"/>
              </w:rPr>
            </w:pPr>
          </w:p>
        </w:tc>
      </w:tr>
      <w:tr w14:paraId="361CA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auto" w:sz="4" w:space="0"/>
              <w:left w:val="single" w:color="auto" w:sz="4" w:space="0"/>
              <w:bottom w:val="single" w:color="auto" w:sz="4" w:space="0"/>
              <w:right w:val="single" w:color="auto" w:sz="4" w:space="0"/>
            </w:tcBorders>
            <w:shd w:val="clear" w:color="auto" w:fill="FFFFFF"/>
            <w:noWrap w:val="0"/>
            <w:vAlign w:val="bottom"/>
          </w:tcPr>
          <w:p w14:paraId="4C9A8B9C">
            <w:pPr>
              <w:jc w:val="left"/>
              <w:rPr>
                <w:rFonts w:hint="eastAsia" w:ascii="宋体" w:hAnsi="宋体" w:eastAsia="宋体" w:cs="宋体"/>
                <w:i w:val="0"/>
                <w:iCs w:val="0"/>
                <w:color w:val="auto"/>
                <w:sz w:val="18"/>
                <w:szCs w:val="18"/>
                <w:highlight w:val="none"/>
                <w:u w:val="none"/>
              </w:rPr>
            </w:pPr>
          </w:p>
        </w:tc>
        <w:tc>
          <w:tcPr>
            <w:tcW w:w="3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6B1C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措施费</w:t>
            </w:r>
          </w:p>
        </w:tc>
        <w:tc>
          <w:tcPr>
            <w:tcW w:w="9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D4CC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元</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48D26C27">
            <w:pPr>
              <w:jc w:val="right"/>
              <w:rPr>
                <w:rFonts w:hint="eastAsia" w:ascii="宋体" w:hAnsi="宋体" w:eastAsia="宋体" w:cs="宋体"/>
                <w:i w:val="0"/>
                <w:iCs w:val="0"/>
                <w:color w:val="auto"/>
                <w:sz w:val="18"/>
                <w:szCs w:val="18"/>
                <w:highlight w:val="none"/>
                <w:u w:val="none"/>
              </w:rPr>
            </w:pPr>
          </w:p>
        </w:tc>
        <w:tc>
          <w:tcPr>
            <w:tcW w:w="15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A8290F">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8A9A702">
            <w:pPr>
              <w:jc w:val="right"/>
              <w:rPr>
                <w:rFonts w:hint="eastAsia" w:ascii="宋体" w:hAnsi="宋体" w:eastAsia="宋体" w:cs="宋体"/>
                <w:i w:val="0"/>
                <w:iCs w:val="0"/>
                <w:color w:val="auto"/>
                <w:sz w:val="18"/>
                <w:szCs w:val="18"/>
                <w:highlight w:val="none"/>
                <w:u w:val="none"/>
              </w:rPr>
            </w:pPr>
          </w:p>
        </w:tc>
      </w:tr>
      <w:tr w14:paraId="644D5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auto" w:sz="4" w:space="0"/>
              <w:left w:val="single" w:color="auto" w:sz="4" w:space="0"/>
              <w:bottom w:val="single" w:color="auto" w:sz="4" w:space="0"/>
              <w:right w:val="single" w:color="auto" w:sz="4" w:space="0"/>
            </w:tcBorders>
            <w:shd w:val="clear" w:color="auto" w:fill="FFFFFF"/>
            <w:noWrap w:val="0"/>
            <w:vAlign w:val="bottom"/>
          </w:tcPr>
          <w:p w14:paraId="66E8418C">
            <w:pPr>
              <w:jc w:val="left"/>
              <w:rPr>
                <w:rFonts w:hint="eastAsia" w:ascii="宋体" w:hAnsi="宋体" w:eastAsia="宋体" w:cs="宋体"/>
                <w:i w:val="0"/>
                <w:iCs w:val="0"/>
                <w:color w:val="auto"/>
                <w:sz w:val="18"/>
                <w:szCs w:val="18"/>
                <w:highlight w:val="none"/>
                <w:u w:val="none"/>
              </w:rPr>
            </w:pPr>
          </w:p>
        </w:tc>
        <w:tc>
          <w:tcPr>
            <w:tcW w:w="3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0A6AF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间接费</w:t>
            </w:r>
          </w:p>
        </w:tc>
        <w:tc>
          <w:tcPr>
            <w:tcW w:w="9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4CD0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元</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A756A70">
            <w:pPr>
              <w:jc w:val="right"/>
              <w:rPr>
                <w:rFonts w:hint="eastAsia" w:ascii="宋体" w:hAnsi="宋体" w:eastAsia="宋体" w:cs="宋体"/>
                <w:i w:val="0"/>
                <w:iCs w:val="0"/>
                <w:color w:val="auto"/>
                <w:sz w:val="18"/>
                <w:szCs w:val="18"/>
                <w:highlight w:val="none"/>
                <w:u w:val="none"/>
              </w:rPr>
            </w:pPr>
          </w:p>
        </w:tc>
        <w:tc>
          <w:tcPr>
            <w:tcW w:w="15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CC34FE">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A0DD7E9">
            <w:pPr>
              <w:jc w:val="right"/>
              <w:rPr>
                <w:rFonts w:hint="eastAsia" w:ascii="宋体" w:hAnsi="宋体" w:eastAsia="宋体" w:cs="宋体"/>
                <w:i w:val="0"/>
                <w:iCs w:val="0"/>
                <w:color w:val="auto"/>
                <w:sz w:val="18"/>
                <w:szCs w:val="18"/>
                <w:highlight w:val="none"/>
                <w:u w:val="none"/>
              </w:rPr>
            </w:pPr>
          </w:p>
        </w:tc>
      </w:tr>
      <w:tr w14:paraId="233A2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875E6F">
            <w:pPr>
              <w:jc w:val="center"/>
              <w:rPr>
                <w:rFonts w:hint="eastAsia" w:ascii="宋体" w:hAnsi="宋体" w:eastAsia="宋体" w:cs="宋体"/>
                <w:i w:val="0"/>
                <w:iCs w:val="0"/>
                <w:color w:val="auto"/>
                <w:sz w:val="18"/>
                <w:szCs w:val="18"/>
                <w:highlight w:val="none"/>
                <w:u w:val="none"/>
              </w:rPr>
            </w:pPr>
          </w:p>
        </w:tc>
        <w:tc>
          <w:tcPr>
            <w:tcW w:w="3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BC93A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利润</w:t>
            </w:r>
          </w:p>
        </w:tc>
        <w:tc>
          <w:tcPr>
            <w:tcW w:w="9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12FA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元</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E790CA1">
            <w:pPr>
              <w:jc w:val="right"/>
              <w:rPr>
                <w:rFonts w:hint="eastAsia" w:ascii="宋体" w:hAnsi="宋体" w:eastAsia="宋体" w:cs="宋体"/>
                <w:i w:val="0"/>
                <w:iCs w:val="0"/>
                <w:color w:val="auto"/>
                <w:sz w:val="18"/>
                <w:szCs w:val="18"/>
                <w:highlight w:val="none"/>
                <w:u w:val="none"/>
              </w:rPr>
            </w:pPr>
          </w:p>
        </w:tc>
        <w:tc>
          <w:tcPr>
            <w:tcW w:w="15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9BE40B">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79E74C18">
            <w:pPr>
              <w:jc w:val="right"/>
              <w:rPr>
                <w:rFonts w:hint="eastAsia" w:ascii="宋体" w:hAnsi="宋体" w:eastAsia="宋体" w:cs="宋体"/>
                <w:i w:val="0"/>
                <w:iCs w:val="0"/>
                <w:color w:val="auto"/>
                <w:sz w:val="18"/>
                <w:szCs w:val="18"/>
                <w:highlight w:val="none"/>
                <w:u w:val="none"/>
              </w:rPr>
            </w:pPr>
          </w:p>
        </w:tc>
      </w:tr>
      <w:tr w14:paraId="274B9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auto" w:sz="4" w:space="0"/>
              <w:left w:val="single" w:color="auto" w:sz="4" w:space="0"/>
              <w:bottom w:val="single" w:color="auto" w:sz="4" w:space="0"/>
              <w:right w:val="single" w:color="auto" w:sz="4" w:space="0"/>
            </w:tcBorders>
            <w:shd w:val="clear" w:color="auto" w:fill="FFFFFF"/>
            <w:noWrap w:val="0"/>
            <w:vAlign w:val="bottom"/>
          </w:tcPr>
          <w:p w14:paraId="79D2645F">
            <w:pPr>
              <w:jc w:val="left"/>
              <w:rPr>
                <w:rFonts w:hint="eastAsia" w:ascii="宋体" w:hAnsi="宋体" w:eastAsia="宋体" w:cs="宋体"/>
                <w:i w:val="0"/>
                <w:iCs w:val="0"/>
                <w:color w:val="auto"/>
                <w:sz w:val="18"/>
                <w:szCs w:val="18"/>
                <w:highlight w:val="none"/>
                <w:u w:val="none"/>
              </w:rPr>
            </w:pPr>
          </w:p>
        </w:tc>
        <w:tc>
          <w:tcPr>
            <w:tcW w:w="3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C90B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税金</w:t>
            </w:r>
          </w:p>
        </w:tc>
        <w:tc>
          <w:tcPr>
            <w:tcW w:w="9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AAA6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元</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32FB506D">
            <w:pPr>
              <w:jc w:val="right"/>
              <w:rPr>
                <w:rFonts w:hint="eastAsia" w:ascii="宋体" w:hAnsi="宋体" w:eastAsia="宋体" w:cs="宋体"/>
                <w:i w:val="0"/>
                <w:iCs w:val="0"/>
                <w:color w:val="auto"/>
                <w:sz w:val="18"/>
                <w:szCs w:val="18"/>
                <w:highlight w:val="none"/>
                <w:u w:val="none"/>
              </w:rPr>
            </w:pPr>
          </w:p>
        </w:tc>
        <w:tc>
          <w:tcPr>
            <w:tcW w:w="15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3D7523">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66DCDCEB">
            <w:pPr>
              <w:jc w:val="right"/>
              <w:rPr>
                <w:rFonts w:hint="eastAsia" w:ascii="宋体" w:hAnsi="宋体" w:eastAsia="宋体" w:cs="宋体"/>
                <w:i w:val="0"/>
                <w:iCs w:val="0"/>
                <w:color w:val="auto"/>
                <w:sz w:val="18"/>
                <w:szCs w:val="18"/>
                <w:highlight w:val="none"/>
                <w:u w:val="none"/>
              </w:rPr>
            </w:pPr>
          </w:p>
        </w:tc>
      </w:tr>
      <w:tr w14:paraId="196A1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auto" w:sz="4" w:space="0"/>
              <w:left w:val="single" w:color="auto" w:sz="4" w:space="0"/>
              <w:bottom w:val="single" w:color="auto" w:sz="4" w:space="0"/>
              <w:right w:val="single" w:color="auto" w:sz="4" w:space="0"/>
            </w:tcBorders>
            <w:shd w:val="clear" w:color="auto" w:fill="FFFFFF"/>
            <w:noWrap w:val="0"/>
            <w:vAlign w:val="bottom"/>
          </w:tcPr>
          <w:p w14:paraId="50461101">
            <w:pPr>
              <w:jc w:val="left"/>
              <w:rPr>
                <w:rFonts w:hint="eastAsia" w:ascii="宋体" w:hAnsi="宋体" w:eastAsia="宋体" w:cs="宋体"/>
                <w:i w:val="0"/>
                <w:iCs w:val="0"/>
                <w:color w:val="auto"/>
                <w:sz w:val="18"/>
                <w:szCs w:val="18"/>
                <w:highlight w:val="none"/>
                <w:u w:val="none"/>
              </w:rPr>
            </w:pPr>
          </w:p>
        </w:tc>
        <w:tc>
          <w:tcPr>
            <w:tcW w:w="3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E6CD6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合价</w:t>
            </w:r>
          </w:p>
        </w:tc>
        <w:tc>
          <w:tcPr>
            <w:tcW w:w="9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AEE8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元</w:t>
            </w:r>
          </w:p>
        </w:tc>
        <w:tc>
          <w:tcPr>
            <w:tcW w:w="12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57230A">
            <w:pPr>
              <w:jc w:val="right"/>
              <w:rPr>
                <w:rFonts w:hint="eastAsia" w:ascii="宋体" w:hAnsi="宋体" w:eastAsia="宋体" w:cs="宋体"/>
                <w:i w:val="0"/>
                <w:iCs w:val="0"/>
                <w:color w:val="auto"/>
                <w:sz w:val="18"/>
                <w:szCs w:val="18"/>
                <w:highlight w:val="none"/>
                <w:u w:val="none"/>
              </w:rPr>
            </w:pPr>
          </w:p>
        </w:tc>
        <w:tc>
          <w:tcPr>
            <w:tcW w:w="15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083B1FA">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5B8FE867">
            <w:pPr>
              <w:jc w:val="right"/>
              <w:rPr>
                <w:rFonts w:hint="eastAsia" w:ascii="宋体" w:hAnsi="宋体" w:eastAsia="宋体" w:cs="宋体"/>
                <w:i w:val="0"/>
                <w:iCs w:val="0"/>
                <w:color w:val="auto"/>
                <w:sz w:val="18"/>
                <w:szCs w:val="18"/>
                <w:highlight w:val="none"/>
                <w:u w:val="none"/>
              </w:rPr>
            </w:pPr>
          </w:p>
        </w:tc>
      </w:tr>
      <w:tr w14:paraId="4C161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5" w:type="dxa"/>
            <w:tcBorders>
              <w:top w:val="single" w:color="auto" w:sz="4" w:space="0"/>
              <w:left w:val="single" w:color="auto" w:sz="4" w:space="0"/>
              <w:bottom w:val="single" w:color="auto" w:sz="4" w:space="0"/>
              <w:right w:val="single" w:color="auto" w:sz="4" w:space="0"/>
            </w:tcBorders>
            <w:shd w:val="clear" w:color="auto" w:fill="FFFFFF"/>
            <w:noWrap w:val="0"/>
            <w:vAlign w:val="bottom"/>
          </w:tcPr>
          <w:p w14:paraId="7E5C243E">
            <w:pPr>
              <w:jc w:val="left"/>
              <w:rPr>
                <w:rFonts w:hint="eastAsia" w:ascii="宋体" w:hAnsi="宋体" w:eastAsia="宋体" w:cs="宋体"/>
                <w:i w:val="0"/>
                <w:iCs w:val="0"/>
                <w:color w:val="auto"/>
                <w:sz w:val="18"/>
                <w:szCs w:val="18"/>
                <w:highlight w:val="none"/>
                <w:u w:val="none"/>
              </w:rPr>
            </w:pPr>
          </w:p>
        </w:tc>
        <w:tc>
          <w:tcPr>
            <w:tcW w:w="3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40A5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单价</w:t>
            </w:r>
          </w:p>
        </w:tc>
        <w:tc>
          <w:tcPr>
            <w:tcW w:w="9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2115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元</w:t>
            </w:r>
          </w:p>
        </w:tc>
        <w:tc>
          <w:tcPr>
            <w:tcW w:w="12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656C1A">
            <w:pPr>
              <w:jc w:val="right"/>
              <w:rPr>
                <w:rFonts w:hint="eastAsia" w:ascii="宋体" w:hAnsi="宋体" w:eastAsia="宋体" w:cs="宋体"/>
                <w:i w:val="0"/>
                <w:iCs w:val="0"/>
                <w:color w:val="auto"/>
                <w:sz w:val="18"/>
                <w:szCs w:val="18"/>
                <w:highlight w:val="none"/>
                <w:u w:val="none"/>
              </w:rPr>
            </w:pPr>
          </w:p>
        </w:tc>
        <w:tc>
          <w:tcPr>
            <w:tcW w:w="15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003DA7">
            <w:pPr>
              <w:jc w:val="right"/>
              <w:rPr>
                <w:rFonts w:hint="eastAsia" w:ascii="宋体" w:hAnsi="宋体" w:eastAsia="宋体" w:cs="宋体"/>
                <w:i w:val="0"/>
                <w:iCs w:val="0"/>
                <w:color w:val="auto"/>
                <w:sz w:val="18"/>
                <w:szCs w:val="18"/>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ign w:val="center"/>
          </w:tcPr>
          <w:p w14:paraId="1441AAF9">
            <w:pPr>
              <w:jc w:val="right"/>
              <w:rPr>
                <w:rFonts w:hint="eastAsia" w:ascii="宋体" w:hAnsi="宋体" w:eastAsia="宋体" w:cs="宋体"/>
                <w:i w:val="0"/>
                <w:iCs w:val="0"/>
                <w:color w:val="auto"/>
                <w:sz w:val="18"/>
                <w:szCs w:val="18"/>
                <w:highlight w:val="none"/>
                <w:u w:val="none"/>
              </w:rPr>
            </w:pPr>
          </w:p>
        </w:tc>
      </w:tr>
    </w:tbl>
    <w:p w14:paraId="6C50E68E">
      <w:pPr>
        <w:pStyle w:val="8"/>
        <w:spacing w:line="253" w:lineRule="auto"/>
        <w:rPr>
          <w:color w:val="auto"/>
          <w:highlight w:val="none"/>
        </w:rPr>
        <w:sectPr>
          <w:pgSz w:w="11905" w:h="16840"/>
          <w:pgMar w:top="400" w:right="1442" w:bottom="1255" w:left="1587" w:header="0" w:footer="1093" w:gutter="0"/>
          <w:pgNumType w:fmt="decimal"/>
          <w:cols w:space="720" w:num="1"/>
        </w:sectPr>
      </w:pPr>
    </w:p>
    <w:tbl>
      <w:tblPr>
        <w:tblStyle w:val="14"/>
        <w:tblW w:w="101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
        <w:gridCol w:w="2280"/>
        <w:gridCol w:w="1995"/>
        <w:gridCol w:w="960"/>
        <w:gridCol w:w="1470"/>
        <w:gridCol w:w="1470"/>
        <w:gridCol w:w="1065"/>
      </w:tblGrid>
      <w:tr w14:paraId="13910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140" w:type="dxa"/>
            <w:gridSpan w:val="7"/>
            <w:tcBorders>
              <w:top w:val="nil"/>
              <w:left w:val="nil"/>
              <w:bottom w:val="nil"/>
              <w:right w:val="nil"/>
            </w:tcBorders>
            <w:shd w:val="clear" w:color="auto" w:fill="FFFFFF"/>
            <w:noWrap w:val="0"/>
            <w:vAlign w:val="center"/>
          </w:tcPr>
          <w:p w14:paraId="37BB7D24">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人工、主要材料单价汇总表</w:t>
            </w:r>
          </w:p>
        </w:tc>
      </w:tr>
      <w:tr w14:paraId="6EB09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605" w:type="dxa"/>
            <w:gridSpan w:val="5"/>
            <w:tcBorders>
              <w:top w:val="nil"/>
              <w:left w:val="nil"/>
              <w:bottom w:val="nil"/>
              <w:right w:val="nil"/>
            </w:tcBorders>
            <w:shd w:val="clear" w:color="auto" w:fill="FFFFFF"/>
            <w:noWrap w:val="0"/>
            <w:vAlign w:val="bottom"/>
          </w:tcPr>
          <w:p w14:paraId="449487F1">
            <w:pPr>
              <w:keepNext w:val="0"/>
              <w:keepLines w:val="0"/>
              <w:widowControl/>
              <w:suppressLineNumbers w:val="0"/>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工程名称：</w:t>
            </w:r>
          </w:p>
        </w:tc>
        <w:tc>
          <w:tcPr>
            <w:tcW w:w="2535" w:type="dxa"/>
            <w:gridSpan w:val="2"/>
            <w:tcBorders>
              <w:top w:val="nil"/>
              <w:left w:val="nil"/>
              <w:bottom w:val="nil"/>
              <w:right w:val="nil"/>
            </w:tcBorders>
            <w:shd w:val="clear" w:color="auto" w:fill="FFFFFF"/>
            <w:noWrap w:val="0"/>
            <w:vAlign w:val="bottom"/>
          </w:tcPr>
          <w:p w14:paraId="61A36E34">
            <w:pPr>
              <w:keepNext w:val="0"/>
              <w:keepLines w:val="0"/>
              <w:widowControl/>
              <w:suppressLineNumbers w:val="0"/>
              <w:jc w:val="righ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第  页 共  页</w:t>
            </w:r>
          </w:p>
        </w:tc>
      </w:tr>
      <w:tr w14:paraId="620C1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2AD5C0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序号</w:t>
            </w:r>
          </w:p>
        </w:tc>
        <w:tc>
          <w:tcPr>
            <w:tcW w:w="2280" w:type="dxa"/>
            <w:tcBorders>
              <w:top w:val="single" w:color="000000" w:sz="4" w:space="0"/>
              <w:left w:val="single" w:color="000000" w:sz="4" w:space="0"/>
              <w:bottom w:val="nil"/>
              <w:right w:val="nil"/>
            </w:tcBorders>
            <w:shd w:val="clear" w:color="auto" w:fill="FFFFFF"/>
            <w:noWrap w:val="0"/>
            <w:vAlign w:val="center"/>
          </w:tcPr>
          <w:p w14:paraId="18A725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工料名称</w:t>
            </w:r>
          </w:p>
        </w:tc>
        <w:tc>
          <w:tcPr>
            <w:tcW w:w="1995" w:type="dxa"/>
            <w:tcBorders>
              <w:top w:val="single" w:color="000000" w:sz="4" w:space="0"/>
              <w:left w:val="single" w:color="000000" w:sz="4" w:space="0"/>
              <w:bottom w:val="nil"/>
              <w:right w:val="nil"/>
            </w:tcBorders>
            <w:shd w:val="clear" w:color="auto" w:fill="FFFFFF"/>
            <w:noWrap w:val="0"/>
            <w:vAlign w:val="center"/>
          </w:tcPr>
          <w:p w14:paraId="3C21B6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规格型号</w:t>
            </w:r>
          </w:p>
        </w:tc>
        <w:tc>
          <w:tcPr>
            <w:tcW w:w="960" w:type="dxa"/>
            <w:tcBorders>
              <w:top w:val="single" w:color="000000" w:sz="4" w:space="0"/>
              <w:left w:val="single" w:color="000000" w:sz="4" w:space="0"/>
              <w:bottom w:val="nil"/>
              <w:right w:val="nil"/>
            </w:tcBorders>
            <w:shd w:val="clear" w:color="auto" w:fill="FFFFFF"/>
            <w:noWrap w:val="0"/>
            <w:vAlign w:val="center"/>
          </w:tcPr>
          <w:p w14:paraId="327A6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w:t>
            </w:r>
          </w:p>
        </w:tc>
        <w:tc>
          <w:tcPr>
            <w:tcW w:w="1470" w:type="dxa"/>
            <w:tcBorders>
              <w:top w:val="single" w:color="000000" w:sz="4" w:space="0"/>
              <w:left w:val="single" w:color="000000" w:sz="4" w:space="0"/>
              <w:bottom w:val="nil"/>
              <w:right w:val="nil"/>
            </w:tcBorders>
            <w:shd w:val="clear" w:color="auto" w:fill="FFFFFF"/>
            <w:noWrap w:val="0"/>
            <w:vAlign w:val="center"/>
          </w:tcPr>
          <w:p w14:paraId="751154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单价（元）</w:t>
            </w:r>
          </w:p>
        </w:tc>
        <w:tc>
          <w:tcPr>
            <w:tcW w:w="1470" w:type="dxa"/>
            <w:tcBorders>
              <w:top w:val="single" w:color="000000" w:sz="4" w:space="0"/>
              <w:left w:val="single" w:color="000000" w:sz="4" w:space="0"/>
              <w:bottom w:val="nil"/>
              <w:right w:val="nil"/>
            </w:tcBorders>
            <w:shd w:val="clear" w:color="auto" w:fill="FFFFFF"/>
            <w:noWrap w:val="0"/>
            <w:vAlign w:val="center"/>
          </w:tcPr>
          <w:p w14:paraId="4218B6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价差（元）</w:t>
            </w: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2ABEF4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备注</w:t>
            </w:r>
          </w:p>
        </w:tc>
      </w:tr>
      <w:tr w14:paraId="46B20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776AD165">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70FDDDF0">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6F79A071">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49CCE181">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02E05003">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4925F29D">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3E591BCF">
            <w:pPr>
              <w:jc w:val="center"/>
              <w:rPr>
                <w:rFonts w:hint="eastAsia" w:ascii="宋体" w:hAnsi="宋体" w:eastAsia="宋体" w:cs="宋体"/>
                <w:i w:val="0"/>
                <w:iCs w:val="0"/>
                <w:color w:val="auto"/>
                <w:sz w:val="18"/>
                <w:szCs w:val="18"/>
                <w:highlight w:val="none"/>
                <w:u w:val="none"/>
              </w:rPr>
            </w:pPr>
          </w:p>
        </w:tc>
      </w:tr>
      <w:tr w14:paraId="22374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4AFF6BBE">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406FB1C2">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4D5EF398">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230A712A">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170B2789">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79E104BA">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54392E22">
            <w:pPr>
              <w:jc w:val="center"/>
              <w:rPr>
                <w:rFonts w:hint="eastAsia" w:ascii="宋体" w:hAnsi="宋体" w:eastAsia="宋体" w:cs="宋体"/>
                <w:i w:val="0"/>
                <w:iCs w:val="0"/>
                <w:color w:val="auto"/>
                <w:sz w:val="18"/>
                <w:szCs w:val="18"/>
                <w:highlight w:val="none"/>
                <w:u w:val="none"/>
              </w:rPr>
            </w:pPr>
          </w:p>
        </w:tc>
      </w:tr>
      <w:tr w14:paraId="136EF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7C3C07F9">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1D3FC01C">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747AC9E8">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411739B0">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46707F54">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7E4986F3">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2FA12E98">
            <w:pPr>
              <w:jc w:val="center"/>
              <w:rPr>
                <w:rFonts w:hint="eastAsia" w:ascii="宋体" w:hAnsi="宋体" w:eastAsia="宋体" w:cs="宋体"/>
                <w:i w:val="0"/>
                <w:iCs w:val="0"/>
                <w:color w:val="auto"/>
                <w:sz w:val="18"/>
                <w:szCs w:val="18"/>
                <w:highlight w:val="none"/>
                <w:u w:val="none"/>
              </w:rPr>
            </w:pPr>
          </w:p>
        </w:tc>
      </w:tr>
      <w:tr w14:paraId="78E9E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6205F24D">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52B60945">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7609D18F">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1920732D">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1483D7A9">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22A09B8C">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03579581">
            <w:pPr>
              <w:jc w:val="center"/>
              <w:rPr>
                <w:rFonts w:hint="eastAsia" w:ascii="宋体" w:hAnsi="宋体" w:eastAsia="宋体" w:cs="宋体"/>
                <w:i w:val="0"/>
                <w:iCs w:val="0"/>
                <w:color w:val="auto"/>
                <w:sz w:val="18"/>
                <w:szCs w:val="18"/>
                <w:highlight w:val="none"/>
                <w:u w:val="none"/>
              </w:rPr>
            </w:pPr>
          </w:p>
        </w:tc>
      </w:tr>
      <w:tr w14:paraId="51A45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13B982A6">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73ACEC0D">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1EE5F174">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2F0D27B3">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1907AFDB">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22BA1096">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7DD1ECB8">
            <w:pPr>
              <w:jc w:val="center"/>
              <w:rPr>
                <w:rFonts w:hint="eastAsia" w:ascii="宋体" w:hAnsi="宋体" w:eastAsia="宋体" w:cs="宋体"/>
                <w:i w:val="0"/>
                <w:iCs w:val="0"/>
                <w:color w:val="auto"/>
                <w:sz w:val="18"/>
                <w:szCs w:val="18"/>
                <w:highlight w:val="none"/>
                <w:u w:val="none"/>
              </w:rPr>
            </w:pPr>
          </w:p>
        </w:tc>
      </w:tr>
      <w:tr w14:paraId="2E1BD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296F8050">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4C0D9A4E">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53BA8D7C">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02B407D1">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79734C9B">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466519B0">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06B052AF">
            <w:pPr>
              <w:jc w:val="center"/>
              <w:rPr>
                <w:rFonts w:hint="eastAsia" w:ascii="宋体" w:hAnsi="宋体" w:eastAsia="宋体" w:cs="宋体"/>
                <w:i w:val="0"/>
                <w:iCs w:val="0"/>
                <w:color w:val="auto"/>
                <w:sz w:val="18"/>
                <w:szCs w:val="18"/>
                <w:highlight w:val="none"/>
                <w:u w:val="none"/>
              </w:rPr>
            </w:pPr>
          </w:p>
        </w:tc>
      </w:tr>
      <w:tr w14:paraId="2A254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2D139CFC">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4D31A3A5">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3E381043">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31096FC4">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71762285">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7B95D430">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023673EF">
            <w:pPr>
              <w:jc w:val="center"/>
              <w:rPr>
                <w:rFonts w:hint="eastAsia" w:ascii="宋体" w:hAnsi="宋体" w:eastAsia="宋体" w:cs="宋体"/>
                <w:i w:val="0"/>
                <w:iCs w:val="0"/>
                <w:color w:val="auto"/>
                <w:sz w:val="18"/>
                <w:szCs w:val="18"/>
                <w:highlight w:val="none"/>
                <w:u w:val="none"/>
              </w:rPr>
            </w:pPr>
          </w:p>
        </w:tc>
      </w:tr>
      <w:tr w14:paraId="60B6A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35490D4F">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28F10C3F">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5BAC0B72">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78E6AF05">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3EAAD951">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30443002">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0B39E9ED">
            <w:pPr>
              <w:jc w:val="center"/>
              <w:rPr>
                <w:rFonts w:hint="eastAsia" w:ascii="宋体" w:hAnsi="宋体" w:eastAsia="宋体" w:cs="宋体"/>
                <w:i w:val="0"/>
                <w:iCs w:val="0"/>
                <w:color w:val="auto"/>
                <w:sz w:val="18"/>
                <w:szCs w:val="18"/>
                <w:highlight w:val="none"/>
                <w:u w:val="none"/>
              </w:rPr>
            </w:pPr>
          </w:p>
        </w:tc>
      </w:tr>
      <w:tr w14:paraId="52865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0BFBCFCF">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5E23AB61">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0C6F7B13">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7B07B695">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32AAC062">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462539DA">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7C3DDE5B">
            <w:pPr>
              <w:jc w:val="center"/>
              <w:rPr>
                <w:rFonts w:hint="eastAsia" w:ascii="宋体" w:hAnsi="宋体" w:eastAsia="宋体" w:cs="宋体"/>
                <w:i w:val="0"/>
                <w:iCs w:val="0"/>
                <w:color w:val="auto"/>
                <w:sz w:val="18"/>
                <w:szCs w:val="18"/>
                <w:highlight w:val="none"/>
                <w:u w:val="none"/>
              </w:rPr>
            </w:pPr>
          </w:p>
        </w:tc>
      </w:tr>
      <w:tr w14:paraId="392E9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793776C0">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5D36759D">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3D3C827B">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02324F2A">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075865AC">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6E48C777">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45ED868A">
            <w:pPr>
              <w:jc w:val="center"/>
              <w:rPr>
                <w:rFonts w:hint="eastAsia" w:ascii="宋体" w:hAnsi="宋体" w:eastAsia="宋体" w:cs="宋体"/>
                <w:i w:val="0"/>
                <w:iCs w:val="0"/>
                <w:color w:val="auto"/>
                <w:sz w:val="18"/>
                <w:szCs w:val="18"/>
                <w:highlight w:val="none"/>
                <w:u w:val="none"/>
              </w:rPr>
            </w:pPr>
          </w:p>
        </w:tc>
      </w:tr>
      <w:tr w14:paraId="3FC6F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679E7DD5">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12F6B045">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1C933C93">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0CCA754C">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6ABB0F1E">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35A1C7A6">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1423E5E8">
            <w:pPr>
              <w:jc w:val="center"/>
              <w:rPr>
                <w:rFonts w:hint="eastAsia" w:ascii="宋体" w:hAnsi="宋体" w:eastAsia="宋体" w:cs="宋体"/>
                <w:i w:val="0"/>
                <w:iCs w:val="0"/>
                <w:color w:val="auto"/>
                <w:sz w:val="18"/>
                <w:szCs w:val="18"/>
                <w:highlight w:val="none"/>
                <w:u w:val="none"/>
              </w:rPr>
            </w:pPr>
          </w:p>
        </w:tc>
      </w:tr>
      <w:tr w14:paraId="08170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nil"/>
              <w:right w:val="nil"/>
            </w:tcBorders>
            <w:shd w:val="clear" w:color="auto" w:fill="FFFFFF"/>
            <w:noWrap w:val="0"/>
            <w:vAlign w:val="center"/>
          </w:tcPr>
          <w:p w14:paraId="49B31919">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nil"/>
              <w:right w:val="nil"/>
            </w:tcBorders>
            <w:shd w:val="clear" w:color="auto" w:fill="FFFFFF"/>
            <w:noWrap w:val="0"/>
            <w:vAlign w:val="center"/>
          </w:tcPr>
          <w:p w14:paraId="3ED51CDF">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nil"/>
              <w:right w:val="nil"/>
            </w:tcBorders>
            <w:shd w:val="clear" w:color="auto" w:fill="FFFFFF"/>
            <w:noWrap w:val="0"/>
            <w:vAlign w:val="center"/>
          </w:tcPr>
          <w:p w14:paraId="5F637EC9">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nil"/>
              <w:right w:val="nil"/>
            </w:tcBorders>
            <w:shd w:val="clear" w:color="auto" w:fill="FFFFFF"/>
            <w:noWrap w:val="0"/>
            <w:vAlign w:val="center"/>
          </w:tcPr>
          <w:p w14:paraId="6738C553">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04334E0C">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nil"/>
              <w:right w:val="nil"/>
            </w:tcBorders>
            <w:shd w:val="clear" w:color="auto" w:fill="FFFFFF"/>
            <w:noWrap w:val="0"/>
            <w:vAlign w:val="center"/>
          </w:tcPr>
          <w:p w14:paraId="6F076CCC">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nil"/>
              <w:right w:val="single" w:color="000000" w:sz="4" w:space="0"/>
            </w:tcBorders>
            <w:shd w:val="clear" w:color="auto" w:fill="FFFFFF"/>
            <w:noWrap w:val="0"/>
            <w:vAlign w:val="center"/>
          </w:tcPr>
          <w:p w14:paraId="0C85094B">
            <w:pPr>
              <w:jc w:val="center"/>
              <w:rPr>
                <w:rFonts w:hint="eastAsia" w:ascii="宋体" w:hAnsi="宋体" w:eastAsia="宋体" w:cs="宋体"/>
                <w:i w:val="0"/>
                <w:iCs w:val="0"/>
                <w:color w:val="auto"/>
                <w:sz w:val="18"/>
                <w:szCs w:val="18"/>
                <w:highlight w:val="none"/>
                <w:u w:val="none"/>
              </w:rPr>
            </w:pPr>
          </w:p>
        </w:tc>
      </w:tr>
      <w:tr w14:paraId="7C3C7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298845A8">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439E034A">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41BD269D">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0B51F84A">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6287B1BC">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69FE05FF">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D4002">
            <w:pPr>
              <w:jc w:val="center"/>
              <w:rPr>
                <w:rFonts w:hint="eastAsia" w:ascii="宋体" w:hAnsi="宋体" w:eastAsia="宋体" w:cs="宋体"/>
                <w:i w:val="0"/>
                <w:iCs w:val="0"/>
                <w:color w:val="auto"/>
                <w:sz w:val="18"/>
                <w:szCs w:val="18"/>
                <w:highlight w:val="none"/>
                <w:u w:val="none"/>
              </w:rPr>
            </w:pPr>
          </w:p>
        </w:tc>
      </w:tr>
      <w:tr w14:paraId="4F866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7CE93C01">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3C0C42B6">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1D182AD3">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0495FC34">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78792A8E">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0CFA852F">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C29410">
            <w:pPr>
              <w:jc w:val="center"/>
              <w:rPr>
                <w:rFonts w:hint="eastAsia" w:ascii="宋体" w:hAnsi="宋体" w:eastAsia="宋体" w:cs="宋体"/>
                <w:i w:val="0"/>
                <w:iCs w:val="0"/>
                <w:color w:val="auto"/>
                <w:sz w:val="18"/>
                <w:szCs w:val="18"/>
                <w:highlight w:val="none"/>
                <w:u w:val="none"/>
              </w:rPr>
            </w:pPr>
          </w:p>
        </w:tc>
      </w:tr>
      <w:tr w14:paraId="6B2B6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4AD659EA">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64EE5E95">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3690105D">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6EB1486C">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28FAA1C3">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62CB56B5">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2D88E0">
            <w:pPr>
              <w:jc w:val="center"/>
              <w:rPr>
                <w:rFonts w:hint="eastAsia" w:ascii="宋体" w:hAnsi="宋体" w:eastAsia="宋体" w:cs="宋体"/>
                <w:i w:val="0"/>
                <w:iCs w:val="0"/>
                <w:color w:val="auto"/>
                <w:sz w:val="18"/>
                <w:szCs w:val="18"/>
                <w:highlight w:val="none"/>
                <w:u w:val="none"/>
              </w:rPr>
            </w:pPr>
          </w:p>
        </w:tc>
      </w:tr>
      <w:tr w14:paraId="31407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1358E919">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3BBAD621">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1DB3695D">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58BF3F11">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12D26A70">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6BB4BDD4">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A16AA5">
            <w:pPr>
              <w:jc w:val="center"/>
              <w:rPr>
                <w:rFonts w:hint="eastAsia" w:ascii="宋体" w:hAnsi="宋体" w:eastAsia="宋体" w:cs="宋体"/>
                <w:i w:val="0"/>
                <w:iCs w:val="0"/>
                <w:color w:val="auto"/>
                <w:sz w:val="18"/>
                <w:szCs w:val="18"/>
                <w:highlight w:val="none"/>
                <w:u w:val="none"/>
              </w:rPr>
            </w:pPr>
          </w:p>
        </w:tc>
      </w:tr>
      <w:tr w14:paraId="7680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6B45009A">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4A598987">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79542B87">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5307FEB6">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7D4CD79C">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741813BE">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791044">
            <w:pPr>
              <w:jc w:val="center"/>
              <w:rPr>
                <w:rFonts w:hint="eastAsia" w:ascii="宋体" w:hAnsi="宋体" w:eastAsia="宋体" w:cs="宋体"/>
                <w:i w:val="0"/>
                <w:iCs w:val="0"/>
                <w:color w:val="auto"/>
                <w:sz w:val="18"/>
                <w:szCs w:val="18"/>
                <w:highlight w:val="none"/>
                <w:u w:val="none"/>
              </w:rPr>
            </w:pPr>
          </w:p>
        </w:tc>
      </w:tr>
      <w:tr w14:paraId="04036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39A75FDC">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1708C9CC">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3B4EEA18">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489D9CC0">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07C734B5">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0E36F49C">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C77E3F">
            <w:pPr>
              <w:jc w:val="center"/>
              <w:rPr>
                <w:rFonts w:hint="eastAsia" w:ascii="宋体" w:hAnsi="宋体" w:eastAsia="宋体" w:cs="宋体"/>
                <w:i w:val="0"/>
                <w:iCs w:val="0"/>
                <w:color w:val="auto"/>
                <w:sz w:val="18"/>
                <w:szCs w:val="18"/>
                <w:highlight w:val="none"/>
                <w:u w:val="none"/>
              </w:rPr>
            </w:pPr>
          </w:p>
        </w:tc>
      </w:tr>
      <w:tr w14:paraId="468B2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2EF23D2D">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497C6D2B">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6D091C8D">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59C8F702">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62A30CA2">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47672D48">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C89E3">
            <w:pPr>
              <w:jc w:val="center"/>
              <w:rPr>
                <w:rFonts w:hint="eastAsia" w:ascii="宋体" w:hAnsi="宋体" w:eastAsia="宋体" w:cs="宋体"/>
                <w:i w:val="0"/>
                <w:iCs w:val="0"/>
                <w:color w:val="auto"/>
                <w:sz w:val="18"/>
                <w:szCs w:val="18"/>
                <w:highlight w:val="none"/>
                <w:u w:val="none"/>
              </w:rPr>
            </w:pPr>
          </w:p>
        </w:tc>
      </w:tr>
      <w:tr w14:paraId="264DC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2E73DFF0">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170B864C">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21FDFB9A">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6E8514F7">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72541CB6">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0186975C">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BF5B6C">
            <w:pPr>
              <w:jc w:val="center"/>
              <w:rPr>
                <w:rFonts w:hint="eastAsia" w:ascii="宋体" w:hAnsi="宋体" w:eastAsia="宋体" w:cs="宋体"/>
                <w:i w:val="0"/>
                <w:iCs w:val="0"/>
                <w:color w:val="auto"/>
                <w:sz w:val="18"/>
                <w:szCs w:val="18"/>
                <w:highlight w:val="none"/>
                <w:u w:val="none"/>
              </w:rPr>
            </w:pPr>
          </w:p>
        </w:tc>
      </w:tr>
      <w:tr w14:paraId="1CDC6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01953903">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4306D7B7">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2A0AC59F">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23232126">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69075F39">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11A89724">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27B16">
            <w:pPr>
              <w:jc w:val="center"/>
              <w:rPr>
                <w:rFonts w:hint="eastAsia" w:ascii="宋体" w:hAnsi="宋体" w:eastAsia="宋体" w:cs="宋体"/>
                <w:i w:val="0"/>
                <w:iCs w:val="0"/>
                <w:color w:val="auto"/>
                <w:sz w:val="18"/>
                <w:szCs w:val="18"/>
                <w:highlight w:val="none"/>
                <w:u w:val="none"/>
              </w:rPr>
            </w:pPr>
          </w:p>
        </w:tc>
      </w:tr>
      <w:tr w14:paraId="494F5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51DC6F79">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5994A4F2">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3BB1DF30">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63923456">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2549A450">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60182957">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80257">
            <w:pPr>
              <w:jc w:val="center"/>
              <w:rPr>
                <w:rFonts w:hint="eastAsia" w:ascii="宋体" w:hAnsi="宋体" w:eastAsia="宋体" w:cs="宋体"/>
                <w:i w:val="0"/>
                <w:iCs w:val="0"/>
                <w:color w:val="auto"/>
                <w:sz w:val="18"/>
                <w:szCs w:val="18"/>
                <w:highlight w:val="none"/>
                <w:u w:val="none"/>
              </w:rPr>
            </w:pPr>
          </w:p>
        </w:tc>
      </w:tr>
      <w:tr w14:paraId="30F07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6ADCABE0">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73D707A2">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5CBBC0BE">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79FF56BC">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40850EBF">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4EC03B9C">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682535">
            <w:pPr>
              <w:jc w:val="center"/>
              <w:rPr>
                <w:rFonts w:hint="eastAsia" w:ascii="宋体" w:hAnsi="宋体" w:eastAsia="宋体" w:cs="宋体"/>
                <w:i w:val="0"/>
                <w:iCs w:val="0"/>
                <w:color w:val="auto"/>
                <w:sz w:val="18"/>
                <w:szCs w:val="18"/>
                <w:highlight w:val="none"/>
                <w:u w:val="none"/>
              </w:rPr>
            </w:pPr>
          </w:p>
        </w:tc>
      </w:tr>
      <w:tr w14:paraId="7AFB6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778ABD47">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0A867877">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07698BEE">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042B80F2">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728BA3E5">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4D78D0A0">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62A0D8">
            <w:pPr>
              <w:jc w:val="center"/>
              <w:rPr>
                <w:rFonts w:hint="eastAsia" w:ascii="宋体" w:hAnsi="宋体" w:eastAsia="宋体" w:cs="宋体"/>
                <w:i w:val="0"/>
                <w:iCs w:val="0"/>
                <w:color w:val="auto"/>
                <w:sz w:val="18"/>
                <w:szCs w:val="18"/>
                <w:highlight w:val="none"/>
                <w:u w:val="none"/>
              </w:rPr>
            </w:pPr>
          </w:p>
        </w:tc>
      </w:tr>
      <w:tr w14:paraId="79342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3B198B76">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4DE954BE">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02640879">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47C880D9">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41BC1CCC">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130E391D">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684CE9">
            <w:pPr>
              <w:jc w:val="center"/>
              <w:rPr>
                <w:rFonts w:hint="eastAsia" w:ascii="宋体" w:hAnsi="宋体" w:eastAsia="宋体" w:cs="宋体"/>
                <w:i w:val="0"/>
                <w:iCs w:val="0"/>
                <w:color w:val="auto"/>
                <w:sz w:val="18"/>
                <w:szCs w:val="18"/>
                <w:highlight w:val="none"/>
                <w:u w:val="none"/>
              </w:rPr>
            </w:pPr>
          </w:p>
        </w:tc>
      </w:tr>
      <w:tr w14:paraId="02336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000000" w:sz="4" w:space="0"/>
              <w:right w:val="nil"/>
            </w:tcBorders>
            <w:shd w:val="clear" w:color="auto" w:fill="FFFFFF"/>
            <w:noWrap w:val="0"/>
            <w:vAlign w:val="center"/>
          </w:tcPr>
          <w:p w14:paraId="417DCF42">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000000" w:sz="4" w:space="0"/>
              <w:right w:val="nil"/>
            </w:tcBorders>
            <w:shd w:val="clear" w:color="auto" w:fill="FFFFFF"/>
            <w:noWrap w:val="0"/>
            <w:vAlign w:val="center"/>
          </w:tcPr>
          <w:p w14:paraId="167D274D">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000000" w:sz="4" w:space="0"/>
              <w:right w:val="nil"/>
            </w:tcBorders>
            <w:shd w:val="clear" w:color="auto" w:fill="FFFFFF"/>
            <w:noWrap w:val="0"/>
            <w:vAlign w:val="center"/>
          </w:tcPr>
          <w:p w14:paraId="45D94EA5">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000000" w:sz="4" w:space="0"/>
              <w:right w:val="nil"/>
            </w:tcBorders>
            <w:shd w:val="clear" w:color="auto" w:fill="FFFFFF"/>
            <w:noWrap w:val="0"/>
            <w:vAlign w:val="center"/>
          </w:tcPr>
          <w:p w14:paraId="11EE7889">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6D92EE4B">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000000" w:sz="4" w:space="0"/>
              <w:right w:val="nil"/>
            </w:tcBorders>
            <w:shd w:val="clear" w:color="auto" w:fill="FFFFFF"/>
            <w:noWrap w:val="0"/>
            <w:vAlign w:val="center"/>
          </w:tcPr>
          <w:p w14:paraId="1FA613B0">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BC00B">
            <w:pPr>
              <w:jc w:val="center"/>
              <w:rPr>
                <w:rFonts w:hint="eastAsia" w:ascii="宋体" w:hAnsi="宋体" w:eastAsia="宋体" w:cs="宋体"/>
                <w:i w:val="0"/>
                <w:iCs w:val="0"/>
                <w:color w:val="auto"/>
                <w:sz w:val="18"/>
                <w:szCs w:val="18"/>
                <w:highlight w:val="none"/>
                <w:u w:val="none"/>
              </w:rPr>
            </w:pPr>
          </w:p>
        </w:tc>
      </w:tr>
      <w:tr w14:paraId="65864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000000" w:sz="4" w:space="0"/>
              <w:left w:val="single" w:color="000000" w:sz="4" w:space="0"/>
              <w:bottom w:val="single" w:color="auto" w:sz="4" w:space="0"/>
              <w:right w:val="nil"/>
            </w:tcBorders>
            <w:shd w:val="clear" w:color="auto" w:fill="FFFFFF"/>
            <w:noWrap w:val="0"/>
            <w:vAlign w:val="center"/>
          </w:tcPr>
          <w:p w14:paraId="18C1F5D4">
            <w:pPr>
              <w:jc w:val="center"/>
              <w:rPr>
                <w:rFonts w:hint="eastAsia" w:ascii="宋体" w:hAnsi="宋体" w:eastAsia="宋体" w:cs="宋体"/>
                <w:i w:val="0"/>
                <w:iCs w:val="0"/>
                <w:color w:val="auto"/>
                <w:sz w:val="18"/>
                <w:szCs w:val="18"/>
                <w:highlight w:val="none"/>
                <w:u w:val="none"/>
              </w:rPr>
            </w:pPr>
          </w:p>
        </w:tc>
        <w:tc>
          <w:tcPr>
            <w:tcW w:w="2280" w:type="dxa"/>
            <w:tcBorders>
              <w:top w:val="single" w:color="000000" w:sz="4" w:space="0"/>
              <w:left w:val="single" w:color="000000" w:sz="4" w:space="0"/>
              <w:bottom w:val="single" w:color="auto" w:sz="4" w:space="0"/>
              <w:right w:val="nil"/>
            </w:tcBorders>
            <w:shd w:val="clear" w:color="auto" w:fill="FFFFFF"/>
            <w:noWrap w:val="0"/>
            <w:vAlign w:val="center"/>
          </w:tcPr>
          <w:p w14:paraId="6F57AF05">
            <w:pPr>
              <w:jc w:val="left"/>
              <w:rPr>
                <w:rFonts w:hint="eastAsia" w:ascii="宋体" w:hAnsi="宋体" w:eastAsia="宋体" w:cs="宋体"/>
                <w:i w:val="0"/>
                <w:iCs w:val="0"/>
                <w:color w:val="auto"/>
                <w:sz w:val="18"/>
                <w:szCs w:val="18"/>
                <w:highlight w:val="none"/>
                <w:u w:val="none"/>
              </w:rPr>
            </w:pPr>
          </w:p>
        </w:tc>
        <w:tc>
          <w:tcPr>
            <w:tcW w:w="1995" w:type="dxa"/>
            <w:tcBorders>
              <w:top w:val="single" w:color="000000" w:sz="4" w:space="0"/>
              <w:left w:val="single" w:color="000000" w:sz="4" w:space="0"/>
              <w:bottom w:val="single" w:color="auto" w:sz="4" w:space="0"/>
              <w:right w:val="nil"/>
            </w:tcBorders>
            <w:shd w:val="clear" w:color="auto" w:fill="FFFFFF"/>
            <w:noWrap w:val="0"/>
            <w:vAlign w:val="center"/>
          </w:tcPr>
          <w:p w14:paraId="47DB5AAB">
            <w:pPr>
              <w:jc w:val="left"/>
              <w:rPr>
                <w:rFonts w:hint="eastAsia" w:ascii="宋体" w:hAnsi="宋体" w:eastAsia="宋体" w:cs="宋体"/>
                <w:i w:val="0"/>
                <w:iCs w:val="0"/>
                <w:color w:val="auto"/>
                <w:sz w:val="18"/>
                <w:szCs w:val="18"/>
                <w:highlight w:val="none"/>
                <w:u w:val="none"/>
              </w:rPr>
            </w:pPr>
          </w:p>
        </w:tc>
        <w:tc>
          <w:tcPr>
            <w:tcW w:w="960" w:type="dxa"/>
            <w:tcBorders>
              <w:top w:val="single" w:color="000000" w:sz="4" w:space="0"/>
              <w:left w:val="single" w:color="000000" w:sz="4" w:space="0"/>
              <w:bottom w:val="single" w:color="auto" w:sz="4" w:space="0"/>
              <w:right w:val="nil"/>
            </w:tcBorders>
            <w:shd w:val="clear" w:color="auto" w:fill="FFFFFF"/>
            <w:noWrap w:val="0"/>
            <w:vAlign w:val="center"/>
          </w:tcPr>
          <w:p w14:paraId="2142D8E9">
            <w:pPr>
              <w:jc w:val="center"/>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auto" w:sz="4" w:space="0"/>
              <w:right w:val="nil"/>
            </w:tcBorders>
            <w:shd w:val="clear" w:color="auto" w:fill="FFFFFF"/>
            <w:noWrap w:val="0"/>
            <w:vAlign w:val="center"/>
          </w:tcPr>
          <w:p w14:paraId="71C8F120">
            <w:pPr>
              <w:jc w:val="right"/>
              <w:rPr>
                <w:rFonts w:hint="eastAsia" w:ascii="宋体" w:hAnsi="宋体" w:eastAsia="宋体" w:cs="宋体"/>
                <w:i w:val="0"/>
                <w:iCs w:val="0"/>
                <w:color w:val="auto"/>
                <w:sz w:val="18"/>
                <w:szCs w:val="18"/>
                <w:highlight w:val="none"/>
                <w:u w:val="none"/>
              </w:rPr>
            </w:pPr>
          </w:p>
        </w:tc>
        <w:tc>
          <w:tcPr>
            <w:tcW w:w="1470" w:type="dxa"/>
            <w:tcBorders>
              <w:top w:val="single" w:color="000000" w:sz="4" w:space="0"/>
              <w:left w:val="single" w:color="000000" w:sz="4" w:space="0"/>
              <w:bottom w:val="single" w:color="auto" w:sz="4" w:space="0"/>
              <w:right w:val="nil"/>
            </w:tcBorders>
            <w:shd w:val="clear" w:color="auto" w:fill="FFFFFF"/>
            <w:noWrap w:val="0"/>
            <w:vAlign w:val="center"/>
          </w:tcPr>
          <w:p w14:paraId="0CBF7A43">
            <w:pPr>
              <w:jc w:val="right"/>
              <w:rPr>
                <w:rFonts w:hint="eastAsia" w:ascii="宋体" w:hAnsi="宋体" w:eastAsia="宋体" w:cs="宋体"/>
                <w:i w:val="0"/>
                <w:iCs w:val="0"/>
                <w:color w:val="auto"/>
                <w:sz w:val="18"/>
                <w:szCs w:val="18"/>
                <w:highlight w:val="none"/>
                <w:u w:val="none"/>
              </w:rPr>
            </w:pPr>
          </w:p>
        </w:tc>
        <w:tc>
          <w:tcPr>
            <w:tcW w:w="1065"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25563582">
            <w:pPr>
              <w:jc w:val="center"/>
              <w:rPr>
                <w:rFonts w:hint="eastAsia" w:ascii="宋体" w:hAnsi="宋体" w:eastAsia="宋体" w:cs="宋体"/>
                <w:i w:val="0"/>
                <w:iCs w:val="0"/>
                <w:color w:val="auto"/>
                <w:sz w:val="18"/>
                <w:szCs w:val="18"/>
                <w:highlight w:val="none"/>
                <w:u w:val="none"/>
              </w:rPr>
            </w:pPr>
          </w:p>
        </w:tc>
      </w:tr>
      <w:tr w14:paraId="2A584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CCE0E5">
            <w:pPr>
              <w:jc w:val="center"/>
              <w:rPr>
                <w:rFonts w:hint="eastAsia" w:ascii="宋体" w:hAnsi="宋体" w:eastAsia="宋体" w:cs="宋体"/>
                <w:i w:val="0"/>
                <w:iCs w:val="0"/>
                <w:color w:val="auto"/>
                <w:sz w:val="18"/>
                <w:szCs w:val="18"/>
                <w:highlight w:val="none"/>
                <w:u w:val="none"/>
              </w:rPr>
            </w:pPr>
          </w:p>
        </w:tc>
        <w:tc>
          <w:tcPr>
            <w:tcW w:w="228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22C11B">
            <w:pPr>
              <w:jc w:val="left"/>
              <w:rPr>
                <w:rFonts w:hint="eastAsia" w:ascii="宋体" w:hAnsi="宋体" w:eastAsia="宋体" w:cs="宋体"/>
                <w:i w:val="0"/>
                <w:iCs w:val="0"/>
                <w:color w:val="auto"/>
                <w:sz w:val="18"/>
                <w:szCs w:val="18"/>
                <w:highlight w:val="none"/>
                <w:u w:val="none"/>
              </w:rPr>
            </w:pPr>
          </w:p>
        </w:tc>
        <w:tc>
          <w:tcPr>
            <w:tcW w:w="19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835A345">
            <w:pPr>
              <w:jc w:val="left"/>
              <w:rPr>
                <w:rFonts w:hint="eastAsia" w:ascii="宋体" w:hAnsi="宋体" w:eastAsia="宋体" w:cs="宋体"/>
                <w:i w:val="0"/>
                <w:iCs w:val="0"/>
                <w:color w:val="auto"/>
                <w:sz w:val="18"/>
                <w:szCs w:val="18"/>
                <w:highlight w:val="none"/>
                <w:u w:val="none"/>
              </w:rPr>
            </w:pPr>
          </w:p>
        </w:tc>
        <w:tc>
          <w:tcPr>
            <w:tcW w:w="96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0AA54D">
            <w:pPr>
              <w:jc w:val="center"/>
              <w:rPr>
                <w:rFonts w:hint="eastAsia" w:ascii="宋体" w:hAnsi="宋体" w:eastAsia="宋体" w:cs="宋体"/>
                <w:i w:val="0"/>
                <w:iCs w:val="0"/>
                <w:color w:val="auto"/>
                <w:sz w:val="18"/>
                <w:szCs w:val="18"/>
                <w:highlight w:val="none"/>
                <w:u w:val="none"/>
              </w:rPr>
            </w:pP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3BBDC3">
            <w:pPr>
              <w:jc w:val="right"/>
              <w:rPr>
                <w:rFonts w:hint="eastAsia" w:ascii="宋体" w:hAnsi="宋体" w:eastAsia="宋体" w:cs="宋体"/>
                <w:i w:val="0"/>
                <w:iCs w:val="0"/>
                <w:color w:val="auto"/>
                <w:sz w:val="18"/>
                <w:szCs w:val="18"/>
                <w:highlight w:val="none"/>
                <w:u w:val="none"/>
              </w:rPr>
            </w:pPr>
          </w:p>
        </w:tc>
        <w:tc>
          <w:tcPr>
            <w:tcW w:w="147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718BC3">
            <w:pPr>
              <w:jc w:val="right"/>
              <w:rPr>
                <w:rFonts w:hint="eastAsia" w:ascii="宋体" w:hAnsi="宋体" w:eastAsia="宋体" w:cs="宋体"/>
                <w:i w:val="0"/>
                <w:iCs w:val="0"/>
                <w:color w:val="auto"/>
                <w:sz w:val="18"/>
                <w:szCs w:val="18"/>
                <w:highlight w:val="none"/>
                <w:u w:val="none"/>
              </w:rPr>
            </w:pPr>
          </w:p>
        </w:tc>
        <w:tc>
          <w:tcPr>
            <w:tcW w:w="106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17B674">
            <w:pPr>
              <w:jc w:val="center"/>
              <w:rPr>
                <w:rFonts w:hint="eastAsia" w:ascii="宋体" w:hAnsi="宋体" w:eastAsia="宋体" w:cs="宋体"/>
                <w:i w:val="0"/>
                <w:iCs w:val="0"/>
                <w:color w:val="auto"/>
                <w:sz w:val="18"/>
                <w:szCs w:val="18"/>
                <w:highlight w:val="none"/>
                <w:u w:val="none"/>
              </w:rPr>
            </w:pPr>
          </w:p>
        </w:tc>
      </w:tr>
    </w:tbl>
    <w:p w14:paraId="55100459">
      <w:pPr>
        <w:pStyle w:val="8"/>
        <w:spacing w:line="253" w:lineRule="auto"/>
        <w:rPr>
          <w:color w:val="auto"/>
          <w:highlight w:val="none"/>
        </w:rPr>
        <w:sectPr>
          <w:pgSz w:w="11905" w:h="16840"/>
          <w:pgMar w:top="400" w:right="1442" w:bottom="1255" w:left="1587" w:header="0" w:footer="1093" w:gutter="0"/>
          <w:pgNumType w:fmt="decimal"/>
          <w:cols w:space="720" w:num="1"/>
        </w:sectPr>
      </w:pPr>
    </w:p>
    <w:tbl>
      <w:tblPr>
        <w:tblStyle w:val="14"/>
        <w:tblW w:w="101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5"/>
        <w:gridCol w:w="2445"/>
        <w:gridCol w:w="2415"/>
        <w:gridCol w:w="1110"/>
        <w:gridCol w:w="1710"/>
        <w:gridCol w:w="1455"/>
      </w:tblGrid>
      <w:tr w14:paraId="4E481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0140" w:type="dxa"/>
            <w:gridSpan w:val="6"/>
            <w:tcBorders>
              <w:top w:val="nil"/>
              <w:left w:val="nil"/>
              <w:bottom w:val="nil"/>
              <w:right w:val="nil"/>
            </w:tcBorders>
            <w:shd w:val="clear" w:color="auto" w:fill="FFFFFF"/>
            <w:noWrap w:val="0"/>
            <w:vAlign w:val="center"/>
          </w:tcPr>
          <w:p w14:paraId="6B9E6575">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人工、主要材料用量汇总表</w:t>
            </w:r>
          </w:p>
        </w:tc>
      </w:tr>
      <w:tr w14:paraId="19916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005" w:type="dxa"/>
            <w:tcBorders>
              <w:top w:val="nil"/>
              <w:left w:val="nil"/>
              <w:bottom w:val="nil"/>
              <w:right w:val="nil"/>
            </w:tcBorders>
            <w:shd w:val="clear" w:color="auto" w:fill="FFFFFF"/>
            <w:noWrap w:val="0"/>
            <w:vAlign w:val="bottom"/>
          </w:tcPr>
          <w:p w14:paraId="3F412AD0">
            <w:pPr>
              <w:keepNext w:val="0"/>
              <w:keepLines w:val="0"/>
              <w:pageBreakBefore w:val="0"/>
              <w:widowControl w:val="0"/>
              <w:suppressLineNumbers w:val="0"/>
              <w:kinsoku w:val="0"/>
              <w:wordWrap/>
              <w:overflowPunct w:val="0"/>
              <w:topLinePunct w:val="0"/>
              <w:autoSpaceDE w:val="0"/>
              <w:autoSpaceDN w:val="0"/>
              <w:bidi w:val="0"/>
              <w:adjustRightInd w:val="0"/>
              <w:snapToGrid w:val="0"/>
              <w:jc w:val="righ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工程名称</w:t>
            </w:r>
          </w:p>
        </w:tc>
        <w:tc>
          <w:tcPr>
            <w:tcW w:w="4860" w:type="dxa"/>
            <w:gridSpan w:val="2"/>
            <w:tcBorders>
              <w:top w:val="nil"/>
              <w:left w:val="nil"/>
              <w:bottom w:val="nil"/>
              <w:right w:val="nil"/>
            </w:tcBorders>
            <w:shd w:val="clear" w:color="auto" w:fill="FFFFFF"/>
            <w:noWrap w:val="0"/>
            <w:vAlign w:val="bottom"/>
          </w:tcPr>
          <w:p w14:paraId="2D820872">
            <w:pPr>
              <w:keepNext w:val="0"/>
              <w:keepLines w:val="0"/>
              <w:widowControl/>
              <w:suppressLineNumbers w:val="0"/>
              <w:jc w:val="left"/>
              <w:textAlignment w:val="bottom"/>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w:t>
            </w:r>
          </w:p>
        </w:tc>
        <w:tc>
          <w:tcPr>
            <w:tcW w:w="1110" w:type="dxa"/>
            <w:tcBorders>
              <w:top w:val="nil"/>
              <w:left w:val="nil"/>
              <w:bottom w:val="nil"/>
              <w:right w:val="nil"/>
            </w:tcBorders>
            <w:shd w:val="clear" w:color="auto" w:fill="FFFFFF"/>
            <w:noWrap w:val="0"/>
            <w:vAlign w:val="center"/>
          </w:tcPr>
          <w:p w14:paraId="17EFB3A5">
            <w:pPr>
              <w:jc w:val="center"/>
              <w:rPr>
                <w:rFonts w:hint="eastAsia" w:ascii="宋体" w:hAnsi="宋体" w:eastAsia="宋体" w:cs="宋体"/>
                <w:i w:val="0"/>
                <w:iCs w:val="0"/>
                <w:color w:val="auto"/>
                <w:sz w:val="18"/>
                <w:szCs w:val="18"/>
                <w:highlight w:val="none"/>
                <w:u w:val="none"/>
              </w:rPr>
            </w:pPr>
          </w:p>
        </w:tc>
        <w:tc>
          <w:tcPr>
            <w:tcW w:w="1710" w:type="dxa"/>
            <w:tcBorders>
              <w:top w:val="nil"/>
              <w:left w:val="nil"/>
              <w:bottom w:val="nil"/>
              <w:right w:val="nil"/>
            </w:tcBorders>
            <w:shd w:val="clear" w:color="auto" w:fill="FFFFFF"/>
            <w:noWrap w:val="0"/>
            <w:vAlign w:val="center"/>
          </w:tcPr>
          <w:p w14:paraId="733A902F">
            <w:pPr>
              <w:jc w:val="center"/>
              <w:rPr>
                <w:rFonts w:hint="eastAsia" w:ascii="宋体" w:hAnsi="宋体" w:eastAsia="宋体" w:cs="宋体"/>
                <w:i w:val="0"/>
                <w:iCs w:val="0"/>
                <w:color w:val="auto"/>
                <w:sz w:val="18"/>
                <w:szCs w:val="18"/>
                <w:highlight w:val="none"/>
                <w:u w:val="none"/>
              </w:rPr>
            </w:pPr>
          </w:p>
        </w:tc>
        <w:tc>
          <w:tcPr>
            <w:tcW w:w="1455" w:type="dxa"/>
            <w:tcBorders>
              <w:top w:val="nil"/>
              <w:left w:val="nil"/>
              <w:bottom w:val="nil"/>
              <w:right w:val="nil"/>
            </w:tcBorders>
            <w:shd w:val="clear" w:color="auto" w:fill="FFFFFF"/>
            <w:noWrap w:val="0"/>
            <w:vAlign w:val="bottom"/>
          </w:tcPr>
          <w:p w14:paraId="7AA40C21">
            <w:pPr>
              <w:keepNext w:val="0"/>
              <w:keepLines w:val="0"/>
              <w:widowControl/>
              <w:suppressLineNumbers w:val="0"/>
              <w:jc w:val="both"/>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第  页 共  页</w:t>
            </w:r>
          </w:p>
        </w:tc>
      </w:tr>
      <w:tr w14:paraId="5AE22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3969AA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序号</w:t>
            </w:r>
          </w:p>
        </w:tc>
        <w:tc>
          <w:tcPr>
            <w:tcW w:w="2445" w:type="dxa"/>
            <w:tcBorders>
              <w:top w:val="single" w:color="000000" w:sz="4" w:space="0"/>
              <w:left w:val="single" w:color="000000" w:sz="4" w:space="0"/>
              <w:bottom w:val="nil"/>
              <w:right w:val="nil"/>
            </w:tcBorders>
            <w:shd w:val="clear" w:color="auto" w:fill="FFFFFF"/>
            <w:noWrap w:val="0"/>
            <w:vAlign w:val="center"/>
          </w:tcPr>
          <w:p w14:paraId="24D4D2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工料名称</w:t>
            </w:r>
          </w:p>
        </w:tc>
        <w:tc>
          <w:tcPr>
            <w:tcW w:w="2415" w:type="dxa"/>
            <w:tcBorders>
              <w:top w:val="single" w:color="000000" w:sz="4" w:space="0"/>
              <w:left w:val="single" w:color="000000" w:sz="4" w:space="0"/>
              <w:bottom w:val="nil"/>
              <w:right w:val="nil"/>
            </w:tcBorders>
            <w:shd w:val="clear" w:color="auto" w:fill="FFFFFF"/>
            <w:noWrap w:val="0"/>
            <w:vAlign w:val="center"/>
          </w:tcPr>
          <w:p w14:paraId="753D6C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规格型号</w:t>
            </w:r>
          </w:p>
        </w:tc>
        <w:tc>
          <w:tcPr>
            <w:tcW w:w="1110" w:type="dxa"/>
            <w:tcBorders>
              <w:top w:val="single" w:color="000000" w:sz="4" w:space="0"/>
              <w:left w:val="single" w:color="000000" w:sz="4" w:space="0"/>
              <w:bottom w:val="nil"/>
              <w:right w:val="nil"/>
            </w:tcBorders>
            <w:shd w:val="clear" w:color="auto" w:fill="FFFFFF"/>
            <w:noWrap w:val="0"/>
            <w:vAlign w:val="center"/>
          </w:tcPr>
          <w:p w14:paraId="14F228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w:t>
            </w:r>
          </w:p>
        </w:tc>
        <w:tc>
          <w:tcPr>
            <w:tcW w:w="1710" w:type="dxa"/>
            <w:tcBorders>
              <w:top w:val="single" w:color="000000" w:sz="4" w:space="0"/>
              <w:left w:val="single" w:color="000000" w:sz="4" w:space="0"/>
              <w:bottom w:val="nil"/>
              <w:right w:val="nil"/>
            </w:tcBorders>
            <w:shd w:val="clear" w:color="auto" w:fill="FFFFFF"/>
            <w:noWrap w:val="0"/>
            <w:vAlign w:val="center"/>
          </w:tcPr>
          <w:p w14:paraId="676397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数量</w:t>
            </w: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7F5DA4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备注</w:t>
            </w:r>
          </w:p>
        </w:tc>
      </w:tr>
      <w:tr w14:paraId="75223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00F3060C">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046594CB">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329E3E5F">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34F867B7">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0F01D5F4">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19E38BD4">
            <w:pPr>
              <w:jc w:val="center"/>
              <w:rPr>
                <w:rFonts w:hint="eastAsia" w:ascii="宋体" w:hAnsi="宋体" w:eastAsia="宋体" w:cs="宋体"/>
                <w:i w:val="0"/>
                <w:iCs w:val="0"/>
                <w:color w:val="auto"/>
                <w:sz w:val="18"/>
                <w:szCs w:val="18"/>
                <w:highlight w:val="none"/>
                <w:u w:val="none"/>
              </w:rPr>
            </w:pPr>
          </w:p>
        </w:tc>
      </w:tr>
      <w:tr w14:paraId="0AB5F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7DFEA062">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0F628D1D">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15241E6F">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77F8A910">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590F7647">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590209F4">
            <w:pPr>
              <w:jc w:val="center"/>
              <w:rPr>
                <w:rFonts w:hint="eastAsia" w:ascii="宋体" w:hAnsi="宋体" w:eastAsia="宋体" w:cs="宋体"/>
                <w:i w:val="0"/>
                <w:iCs w:val="0"/>
                <w:color w:val="auto"/>
                <w:sz w:val="18"/>
                <w:szCs w:val="18"/>
                <w:highlight w:val="none"/>
                <w:u w:val="none"/>
              </w:rPr>
            </w:pPr>
          </w:p>
        </w:tc>
      </w:tr>
      <w:tr w14:paraId="5A377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3F2752F4">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3DE0BFA6">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26B500EC">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03AF19F3">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2B5E6FE2">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65BDA285">
            <w:pPr>
              <w:jc w:val="center"/>
              <w:rPr>
                <w:rFonts w:hint="eastAsia" w:ascii="宋体" w:hAnsi="宋体" w:eastAsia="宋体" w:cs="宋体"/>
                <w:i w:val="0"/>
                <w:iCs w:val="0"/>
                <w:color w:val="auto"/>
                <w:sz w:val="18"/>
                <w:szCs w:val="18"/>
                <w:highlight w:val="none"/>
                <w:u w:val="none"/>
              </w:rPr>
            </w:pPr>
          </w:p>
        </w:tc>
      </w:tr>
      <w:tr w14:paraId="07730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3069A278">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2416040F">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5AE66995">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6E85B384">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125A7FD2">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273F17B0">
            <w:pPr>
              <w:jc w:val="center"/>
              <w:rPr>
                <w:rFonts w:hint="eastAsia" w:ascii="宋体" w:hAnsi="宋体" w:eastAsia="宋体" w:cs="宋体"/>
                <w:i w:val="0"/>
                <w:iCs w:val="0"/>
                <w:color w:val="auto"/>
                <w:sz w:val="18"/>
                <w:szCs w:val="18"/>
                <w:highlight w:val="none"/>
                <w:u w:val="none"/>
              </w:rPr>
            </w:pPr>
          </w:p>
        </w:tc>
      </w:tr>
      <w:tr w14:paraId="7E766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74725344">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7A9C1A93">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323FF6B2">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3CA115E5">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4D239AB3">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66217317">
            <w:pPr>
              <w:jc w:val="center"/>
              <w:rPr>
                <w:rFonts w:hint="eastAsia" w:ascii="宋体" w:hAnsi="宋体" w:eastAsia="宋体" w:cs="宋体"/>
                <w:i w:val="0"/>
                <w:iCs w:val="0"/>
                <w:color w:val="auto"/>
                <w:sz w:val="18"/>
                <w:szCs w:val="18"/>
                <w:highlight w:val="none"/>
                <w:u w:val="none"/>
              </w:rPr>
            </w:pPr>
          </w:p>
        </w:tc>
      </w:tr>
      <w:tr w14:paraId="6F1B0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5D06BBAD">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7D0552AD">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7D4D4BBE">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04FE748D">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0E748B05">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5C7671FA">
            <w:pPr>
              <w:jc w:val="center"/>
              <w:rPr>
                <w:rFonts w:hint="eastAsia" w:ascii="宋体" w:hAnsi="宋体" w:eastAsia="宋体" w:cs="宋体"/>
                <w:i w:val="0"/>
                <w:iCs w:val="0"/>
                <w:color w:val="auto"/>
                <w:sz w:val="18"/>
                <w:szCs w:val="18"/>
                <w:highlight w:val="none"/>
                <w:u w:val="none"/>
              </w:rPr>
            </w:pPr>
          </w:p>
        </w:tc>
      </w:tr>
      <w:tr w14:paraId="22507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69374FDE">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3BE2020F">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69753FFF">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1DE8386C">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61F13459">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012EF51A">
            <w:pPr>
              <w:jc w:val="center"/>
              <w:rPr>
                <w:rFonts w:hint="eastAsia" w:ascii="宋体" w:hAnsi="宋体" w:eastAsia="宋体" w:cs="宋体"/>
                <w:i w:val="0"/>
                <w:iCs w:val="0"/>
                <w:color w:val="auto"/>
                <w:sz w:val="18"/>
                <w:szCs w:val="18"/>
                <w:highlight w:val="none"/>
                <w:u w:val="none"/>
              </w:rPr>
            </w:pPr>
          </w:p>
        </w:tc>
      </w:tr>
      <w:tr w14:paraId="4BA3C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215E9E40">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370A941E">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77BAF82B">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701C9919">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5E3959D7">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4AABD034">
            <w:pPr>
              <w:jc w:val="center"/>
              <w:rPr>
                <w:rFonts w:hint="eastAsia" w:ascii="宋体" w:hAnsi="宋体" w:eastAsia="宋体" w:cs="宋体"/>
                <w:i w:val="0"/>
                <w:iCs w:val="0"/>
                <w:color w:val="auto"/>
                <w:sz w:val="18"/>
                <w:szCs w:val="18"/>
                <w:highlight w:val="none"/>
                <w:u w:val="none"/>
              </w:rPr>
            </w:pPr>
          </w:p>
        </w:tc>
      </w:tr>
      <w:tr w14:paraId="2776E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10022234">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5D4D0B07">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026DEF78">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2A2CB17E">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3CAB3FE5">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229A7FD3">
            <w:pPr>
              <w:jc w:val="center"/>
              <w:rPr>
                <w:rFonts w:hint="eastAsia" w:ascii="宋体" w:hAnsi="宋体" w:eastAsia="宋体" w:cs="宋体"/>
                <w:i w:val="0"/>
                <w:iCs w:val="0"/>
                <w:color w:val="auto"/>
                <w:sz w:val="18"/>
                <w:szCs w:val="18"/>
                <w:highlight w:val="none"/>
                <w:u w:val="none"/>
              </w:rPr>
            </w:pPr>
          </w:p>
        </w:tc>
      </w:tr>
      <w:tr w14:paraId="63903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648D27B1">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0875F672">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09DDBEDB">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112748FF">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20613539">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66C07B16">
            <w:pPr>
              <w:jc w:val="center"/>
              <w:rPr>
                <w:rFonts w:hint="eastAsia" w:ascii="宋体" w:hAnsi="宋体" w:eastAsia="宋体" w:cs="宋体"/>
                <w:i w:val="0"/>
                <w:iCs w:val="0"/>
                <w:color w:val="auto"/>
                <w:sz w:val="18"/>
                <w:szCs w:val="18"/>
                <w:highlight w:val="none"/>
                <w:u w:val="none"/>
              </w:rPr>
            </w:pPr>
          </w:p>
        </w:tc>
      </w:tr>
      <w:tr w14:paraId="221EB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40313750">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0FE40038">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3802DA4E">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58E497F5">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5E7FD1D2">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0BDB3107">
            <w:pPr>
              <w:jc w:val="center"/>
              <w:rPr>
                <w:rFonts w:hint="eastAsia" w:ascii="宋体" w:hAnsi="宋体" w:eastAsia="宋体" w:cs="宋体"/>
                <w:i w:val="0"/>
                <w:iCs w:val="0"/>
                <w:color w:val="auto"/>
                <w:sz w:val="18"/>
                <w:szCs w:val="18"/>
                <w:highlight w:val="none"/>
                <w:u w:val="none"/>
              </w:rPr>
            </w:pPr>
          </w:p>
        </w:tc>
      </w:tr>
      <w:tr w14:paraId="3F554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7DB62312">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5DC25B0C">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33061157">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0140EA97">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6225D8B7">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302B80A8">
            <w:pPr>
              <w:jc w:val="center"/>
              <w:rPr>
                <w:rFonts w:hint="eastAsia" w:ascii="宋体" w:hAnsi="宋体" w:eastAsia="宋体" w:cs="宋体"/>
                <w:i w:val="0"/>
                <w:iCs w:val="0"/>
                <w:color w:val="auto"/>
                <w:sz w:val="18"/>
                <w:szCs w:val="18"/>
                <w:highlight w:val="none"/>
                <w:u w:val="none"/>
              </w:rPr>
            </w:pPr>
          </w:p>
        </w:tc>
      </w:tr>
      <w:tr w14:paraId="72354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2E0E8717">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07628AFA">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338E7842">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49B8CC42">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7AA7570A">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7692CF83">
            <w:pPr>
              <w:jc w:val="center"/>
              <w:rPr>
                <w:rFonts w:hint="eastAsia" w:ascii="宋体" w:hAnsi="宋体" w:eastAsia="宋体" w:cs="宋体"/>
                <w:i w:val="0"/>
                <w:iCs w:val="0"/>
                <w:color w:val="auto"/>
                <w:sz w:val="18"/>
                <w:szCs w:val="18"/>
                <w:highlight w:val="none"/>
                <w:u w:val="none"/>
              </w:rPr>
            </w:pPr>
          </w:p>
        </w:tc>
      </w:tr>
      <w:tr w14:paraId="72331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5E1C2FDC">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2D40AF44">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6A8F0BB3">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1F593B31">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1085429E">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577ED77D">
            <w:pPr>
              <w:jc w:val="center"/>
              <w:rPr>
                <w:rFonts w:hint="eastAsia" w:ascii="宋体" w:hAnsi="宋体" w:eastAsia="宋体" w:cs="宋体"/>
                <w:i w:val="0"/>
                <w:iCs w:val="0"/>
                <w:color w:val="auto"/>
                <w:sz w:val="18"/>
                <w:szCs w:val="18"/>
                <w:highlight w:val="none"/>
                <w:u w:val="none"/>
              </w:rPr>
            </w:pPr>
          </w:p>
        </w:tc>
      </w:tr>
      <w:tr w14:paraId="17933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14BE2B4B">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1C3C72D5">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2CFCB0A7">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54233033">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3A395FEF">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5D0DE0EB">
            <w:pPr>
              <w:jc w:val="center"/>
              <w:rPr>
                <w:rFonts w:hint="eastAsia" w:ascii="宋体" w:hAnsi="宋体" w:eastAsia="宋体" w:cs="宋体"/>
                <w:i w:val="0"/>
                <w:iCs w:val="0"/>
                <w:color w:val="auto"/>
                <w:sz w:val="18"/>
                <w:szCs w:val="18"/>
                <w:highlight w:val="none"/>
                <w:u w:val="none"/>
              </w:rPr>
            </w:pPr>
          </w:p>
        </w:tc>
      </w:tr>
      <w:tr w14:paraId="59000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308643DF">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1F93C6E9">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61D30FE3">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419A6E7A">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21432E56">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03FED8F2">
            <w:pPr>
              <w:jc w:val="center"/>
              <w:rPr>
                <w:rFonts w:hint="eastAsia" w:ascii="宋体" w:hAnsi="宋体" w:eastAsia="宋体" w:cs="宋体"/>
                <w:i w:val="0"/>
                <w:iCs w:val="0"/>
                <w:color w:val="auto"/>
                <w:sz w:val="18"/>
                <w:szCs w:val="18"/>
                <w:highlight w:val="none"/>
                <w:u w:val="none"/>
              </w:rPr>
            </w:pPr>
          </w:p>
        </w:tc>
      </w:tr>
      <w:tr w14:paraId="1E7B1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7CF643D8">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1B4977D7">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04358FC6">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5BE53192">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57C16CAE">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0176C5C2">
            <w:pPr>
              <w:jc w:val="center"/>
              <w:rPr>
                <w:rFonts w:hint="eastAsia" w:ascii="宋体" w:hAnsi="宋体" w:eastAsia="宋体" w:cs="宋体"/>
                <w:i w:val="0"/>
                <w:iCs w:val="0"/>
                <w:color w:val="auto"/>
                <w:sz w:val="18"/>
                <w:szCs w:val="18"/>
                <w:highlight w:val="none"/>
                <w:u w:val="none"/>
              </w:rPr>
            </w:pPr>
          </w:p>
        </w:tc>
      </w:tr>
      <w:tr w14:paraId="69621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5512C9DF">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15DD28CD">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38FEA760">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3FF7B351">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7E463B20">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5C3358F2">
            <w:pPr>
              <w:jc w:val="center"/>
              <w:rPr>
                <w:rFonts w:hint="eastAsia" w:ascii="宋体" w:hAnsi="宋体" w:eastAsia="宋体" w:cs="宋体"/>
                <w:i w:val="0"/>
                <w:iCs w:val="0"/>
                <w:color w:val="auto"/>
                <w:sz w:val="18"/>
                <w:szCs w:val="18"/>
                <w:highlight w:val="none"/>
                <w:u w:val="none"/>
              </w:rPr>
            </w:pPr>
          </w:p>
        </w:tc>
      </w:tr>
      <w:tr w14:paraId="1F6DD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12454982">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4A810768">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3AB61753">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415B102E">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56F6C376">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48F9A541">
            <w:pPr>
              <w:jc w:val="center"/>
              <w:rPr>
                <w:rFonts w:hint="eastAsia" w:ascii="宋体" w:hAnsi="宋体" w:eastAsia="宋体" w:cs="宋体"/>
                <w:i w:val="0"/>
                <w:iCs w:val="0"/>
                <w:color w:val="auto"/>
                <w:sz w:val="18"/>
                <w:szCs w:val="18"/>
                <w:highlight w:val="none"/>
                <w:u w:val="none"/>
              </w:rPr>
            </w:pPr>
          </w:p>
        </w:tc>
      </w:tr>
      <w:tr w14:paraId="03337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0F979AEB">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5C3538B5">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78E720A1">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36A51332">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17D20D75">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6CD41926">
            <w:pPr>
              <w:jc w:val="center"/>
              <w:rPr>
                <w:rFonts w:hint="eastAsia" w:ascii="宋体" w:hAnsi="宋体" w:eastAsia="宋体" w:cs="宋体"/>
                <w:i w:val="0"/>
                <w:iCs w:val="0"/>
                <w:color w:val="auto"/>
                <w:sz w:val="18"/>
                <w:szCs w:val="18"/>
                <w:highlight w:val="none"/>
                <w:u w:val="none"/>
              </w:rPr>
            </w:pPr>
          </w:p>
        </w:tc>
      </w:tr>
      <w:tr w14:paraId="66635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2A1786E6">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0C612507">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77E790E4">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6F9C1221">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7F518BF2">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1292103B">
            <w:pPr>
              <w:jc w:val="center"/>
              <w:rPr>
                <w:rFonts w:hint="eastAsia" w:ascii="宋体" w:hAnsi="宋体" w:eastAsia="宋体" w:cs="宋体"/>
                <w:i w:val="0"/>
                <w:iCs w:val="0"/>
                <w:color w:val="auto"/>
                <w:sz w:val="18"/>
                <w:szCs w:val="18"/>
                <w:highlight w:val="none"/>
                <w:u w:val="none"/>
              </w:rPr>
            </w:pPr>
          </w:p>
        </w:tc>
      </w:tr>
      <w:tr w14:paraId="05F45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737DA3AB">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337D40DB">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4787EFD7">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79C135F9">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2A09CCB9">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1B98419A">
            <w:pPr>
              <w:jc w:val="center"/>
              <w:rPr>
                <w:rFonts w:hint="eastAsia" w:ascii="宋体" w:hAnsi="宋体" w:eastAsia="宋体" w:cs="宋体"/>
                <w:i w:val="0"/>
                <w:iCs w:val="0"/>
                <w:color w:val="auto"/>
                <w:sz w:val="18"/>
                <w:szCs w:val="18"/>
                <w:highlight w:val="none"/>
                <w:u w:val="none"/>
              </w:rPr>
            </w:pPr>
          </w:p>
        </w:tc>
      </w:tr>
      <w:tr w14:paraId="69662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0BD249E6">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1039CFBA">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10ABDD9D">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589EBE79">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13084ED4">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5DF8D517">
            <w:pPr>
              <w:jc w:val="center"/>
              <w:rPr>
                <w:rFonts w:hint="eastAsia" w:ascii="宋体" w:hAnsi="宋体" w:eastAsia="宋体" w:cs="宋体"/>
                <w:i w:val="0"/>
                <w:iCs w:val="0"/>
                <w:color w:val="auto"/>
                <w:sz w:val="18"/>
                <w:szCs w:val="18"/>
                <w:highlight w:val="none"/>
                <w:u w:val="none"/>
              </w:rPr>
            </w:pPr>
          </w:p>
        </w:tc>
      </w:tr>
      <w:tr w14:paraId="23D3D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150FB8AE">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510764D7">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2941DB90">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418BC4EB">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320F1B15">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6233F606">
            <w:pPr>
              <w:jc w:val="center"/>
              <w:rPr>
                <w:rFonts w:hint="eastAsia" w:ascii="宋体" w:hAnsi="宋体" w:eastAsia="宋体" w:cs="宋体"/>
                <w:i w:val="0"/>
                <w:iCs w:val="0"/>
                <w:color w:val="auto"/>
                <w:sz w:val="18"/>
                <w:szCs w:val="18"/>
                <w:highlight w:val="none"/>
                <w:u w:val="none"/>
              </w:rPr>
            </w:pPr>
          </w:p>
        </w:tc>
      </w:tr>
      <w:tr w14:paraId="6A4B7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nil"/>
              <w:right w:val="nil"/>
            </w:tcBorders>
            <w:shd w:val="clear" w:color="auto" w:fill="FFFFFF"/>
            <w:noWrap w:val="0"/>
            <w:vAlign w:val="center"/>
          </w:tcPr>
          <w:p w14:paraId="137430A9">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nil"/>
              <w:right w:val="nil"/>
            </w:tcBorders>
            <w:shd w:val="clear" w:color="auto" w:fill="FFFFFF"/>
            <w:noWrap w:val="0"/>
            <w:vAlign w:val="center"/>
          </w:tcPr>
          <w:p w14:paraId="6C872190">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nil"/>
              <w:right w:val="nil"/>
            </w:tcBorders>
            <w:shd w:val="clear" w:color="auto" w:fill="FFFFFF"/>
            <w:noWrap w:val="0"/>
            <w:vAlign w:val="center"/>
          </w:tcPr>
          <w:p w14:paraId="74A3F32C">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nil"/>
              <w:right w:val="nil"/>
            </w:tcBorders>
            <w:shd w:val="clear" w:color="auto" w:fill="FFFFFF"/>
            <w:noWrap w:val="0"/>
            <w:vAlign w:val="center"/>
          </w:tcPr>
          <w:p w14:paraId="15A1038E">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nil"/>
              <w:right w:val="nil"/>
            </w:tcBorders>
            <w:shd w:val="clear" w:color="auto" w:fill="FFFFFF"/>
            <w:noWrap w:val="0"/>
            <w:vAlign w:val="center"/>
          </w:tcPr>
          <w:p w14:paraId="2D76B993">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nil"/>
              <w:right w:val="single" w:color="000000" w:sz="4" w:space="0"/>
            </w:tcBorders>
            <w:shd w:val="clear" w:color="auto" w:fill="FFFFFF"/>
            <w:noWrap w:val="0"/>
            <w:vAlign w:val="center"/>
          </w:tcPr>
          <w:p w14:paraId="6225E799">
            <w:pPr>
              <w:jc w:val="center"/>
              <w:rPr>
                <w:rFonts w:hint="eastAsia" w:ascii="宋体" w:hAnsi="宋体" w:eastAsia="宋体" w:cs="宋体"/>
                <w:i w:val="0"/>
                <w:iCs w:val="0"/>
                <w:color w:val="auto"/>
                <w:sz w:val="18"/>
                <w:szCs w:val="18"/>
                <w:highlight w:val="none"/>
                <w:u w:val="none"/>
              </w:rPr>
            </w:pPr>
          </w:p>
        </w:tc>
      </w:tr>
      <w:tr w14:paraId="7AEAA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000000" w:sz="4" w:space="0"/>
              <w:left w:val="single" w:color="000000" w:sz="4" w:space="0"/>
              <w:bottom w:val="single" w:color="auto" w:sz="4" w:space="0"/>
              <w:right w:val="nil"/>
            </w:tcBorders>
            <w:shd w:val="clear" w:color="auto" w:fill="FFFFFF"/>
            <w:noWrap w:val="0"/>
            <w:vAlign w:val="center"/>
          </w:tcPr>
          <w:p w14:paraId="71006845">
            <w:pPr>
              <w:jc w:val="center"/>
              <w:rPr>
                <w:rFonts w:hint="eastAsia" w:ascii="宋体" w:hAnsi="宋体" w:eastAsia="宋体" w:cs="宋体"/>
                <w:i w:val="0"/>
                <w:iCs w:val="0"/>
                <w:color w:val="auto"/>
                <w:sz w:val="18"/>
                <w:szCs w:val="18"/>
                <w:highlight w:val="none"/>
                <w:u w:val="none"/>
              </w:rPr>
            </w:pPr>
          </w:p>
        </w:tc>
        <w:tc>
          <w:tcPr>
            <w:tcW w:w="2445" w:type="dxa"/>
            <w:tcBorders>
              <w:top w:val="single" w:color="000000" w:sz="4" w:space="0"/>
              <w:left w:val="single" w:color="000000" w:sz="4" w:space="0"/>
              <w:bottom w:val="single" w:color="auto" w:sz="4" w:space="0"/>
              <w:right w:val="nil"/>
            </w:tcBorders>
            <w:shd w:val="clear" w:color="auto" w:fill="FFFFFF"/>
            <w:noWrap w:val="0"/>
            <w:vAlign w:val="center"/>
          </w:tcPr>
          <w:p w14:paraId="3A3130DB">
            <w:pPr>
              <w:jc w:val="left"/>
              <w:rPr>
                <w:rFonts w:hint="eastAsia" w:ascii="宋体" w:hAnsi="宋体" w:eastAsia="宋体" w:cs="宋体"/>
                <w:i w:val="0"/>
                <w:iCs w:val="0"/>
                <w:color w:val="auto"/>
                <w:sz w:val="18"/>
                <w:szCs w:val="18"/>
                <w:highlight w:val="none"/>
                <w:u w:val="none"/>
              </w:rPr>
            </w:pPr>
          </w:p>
        </w:tc>
        <w:tc>
          <w:tcPr>
            <w:tcW w:w="2415" w:type="dxa"/>
            <w:tcBorders>
              <w:top w:val="single" w:color="000000" w:sz="4" w:space="0"/>
              <w:left w:val="single" w:color="000000" w:sz="4" w:space="0"/>
              <w:bottom w:val="single" w:color="auto" w:sz="4" w:space="0"/>
              <w:right w:val="nil"/>
            </w:tcBorders>
            <w:shd w:val="clear" w:color="auto" w:fill="FFFFFF"/>
            <w:noWrap w:val="0"/>
            <w:vAlign w:val="center"/>
          </w:tcPr>
          <w:p w14:paraId="520DE00E">
            <w:pPr>
              <w:jc w:val="left"/>
              <w:rPr>
                <w:rFonts w:hint="eastAsia" w:ascii="宋体" w:hAnsi="宋体" w:eastAsia="宋体" w:cs="宋体"/>
                <w:i w:val="0"/>
                <w:iCs w:val="0"/>
                <w:color w:val="auto"/>
                <w:sz w:val="18"/>
                <w:szCs w:val="18"/>
                <w:highlight w:val="none"/>
                <w:u w:val="none"/>
              </w:rPr>
            </w:pPr>
          </w:p>
        </w:tc>
        <w:tc>
          <w:tcPr>
            <w:tcW w:w="1110" w:type="dxa"/>
            <w:tcBorders>
              <w:top w:val="single" w:color="000000" w:sz="4" w:space="0"/>
              <w:left w:val="single" w:color="000000" w:sz="4" w:space="0"/>
              <w:bottom w:val="single" w:color="auto" w:sz="4" w:space="0"/>
              <w:right w:val="nil"/>
            </w:tcBorders>
            <w:shd w:val="clear" w:color="auto" w:fill="FFFFFF"/>
            <w:noWrap w:val="0"/>
            <w:vAlign w:val="center"/>
          </w:tcPr>
          <w:p w14:paraId="281D426B">
            <w:pPr>
              <w:jc w:val="center"/>
              <w:rPr>
                <w:rFonts w:hint="eastAsia" w:ascii="宋体" w:hAnsi="宋体" w:eastAsia="宋体" w:cs="宋体"/>
                <w:i w:val="0"/>
                <w:iCs w:val="0"/>
                <w:color w:val="auto"/>
                <w:sz w:val="18"/>
                <w:szCs w:val="18"/>
                <w:highlight w:val="none"/>
                <w:u w:val="none"/>
              </w:rPr>
            </w:pPr>
          </w:p>
        </w:tc>
        <w:tc>
          <w:tcPr>
            <w:tcW w:w="1710" w:type="dxa"/>
            <w:tcBorders>
              <w:top w:val="single" w:color="000000" w:sz="4" w:space="0"/>
              <w:left w:val="single" w:color="000000" w:sz="4" w:space="0"/>
              <w:bottom w:val="single" w:color="auto" w:sz="4" w:space="0"/>
              <w:right w:val="nil"/>
            </w:tcBorders>
            <w:shd w:val="clear" w:color="auto" w:fill="FFFFFF"/>
            <w:noWrap w:val="0"/>
            <w:vAlign w:val="center"/>
          </w:tcPr>
          <w:p w14:paraId="02E3DA7D">
            <w:pPr>
              <w:jc w:val="right"/>
              <w:rPr>
                <w:rFonts w:hint="eastAsia" w:ascii="宋体" w:hAnsi="宋体" w:eastAsia="宋体" w:cs="宋体"/>
                <w:i w:val="0"/>
                <w:iCs w:val="0"/>
                <w:color w:val="auto"/>
                <w:sz w:val="18"/>
                <w:szCs w:val="18"/>
                <w:highlight w:val="none"/>
                <w:u w:val="none"/>
              </w:rPr>
            </w:pPr>
          </w:p>
        </w:tc>
        <w:tc>
          <w:tcPr>
            <w:tcW w:w="1455"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69AB3AF0">
            <w:pPr>
              <w:jc w:val="center"/>
              <w:rPr>
                <w:rFonts w:hint="eastAsia" w:ascii="宋体" w:hAnsi="宋体" w:eastAsia="宋体" w:cs="宋体"/>
                <w:i w:val="0"/>
                <w:iCs w:val="0"/>
                <w:color w:val="auto"/>
                <w:sz w:val="18"/>
                <w:szCs w:val="18"/>
                <w:highlight w:val="none"/>
                <w:u w:val="none"/>
              </w:rPr>
            </w:pPr>
          </w:p>
        </w:tc>
      </w:tr>
      <w:tr w14:paraId="77CFA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00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748071">
            <w:pPr>
              <w:jc w:val="center"/>
              <w:rPr>
                <w:rFonts w:hint="eastAsia" w:ascii="宋体" w:hAnsi="宋体" w:eastAsia="宋体" w:cs="宋体"/>
                <w:i w:val="0"/>
                <w:iCs w:val="0"/>
                <w:color w:val="auto"/>
                <w:sz w:val="18"/>
                <w:szCs w:val="18"/>
                <w:highlight w:val="none"/>
                <w:u w:val="none"/>
              </w:rPr>
            </w:pPr>
          </w:p>
        </w:tc>
        <w:tc>
          <w:tcPr>
            <w:tcW w:w="24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2A314C">
            <w:pPr>
              <w:jc w:val="left"/>
              <w:rPr>
                <w:rFonts w:hint="eastAsia" w:ascii="宋体" w:hAnsi="宋体" w:eastAsia="宋体" w:cs="宋体"/>
                <w:i w:val="0"/>
                <w:iCs w:val="0"/>
                <w:color w:val="auto"/>
                <w:sz w:val="18"/>
                <w:szCs w:val="18"/>
                <w:highlight w:val="none"/>
                <w:u w:val="none"/>
              </w:rPr>
            </w:pPr>
          </w:p>
        </w:tc>
        <w:tc>
          <w:tcPr>
            <w:tcW w:w="24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89D322">
            <w:pPr>
              <w:jc w:val="left"/>
              <w:rPr>
                <w:rFonts w:hint="eastAsia" w:ascii="宋体" w:hAnsi="宋体" w:eastAsia="宋体" w:cs="宋体"/>
                <w:i w:val="0"/>
                <w:iCs w:val="0"/>
                <w:color w:val="auto"/>
                <w:sz w:val="18"/>
                <w:szCs w:val="18"/>
                <w:highlight w:val="none"/>
                <w:u w:val="none"/>
              </w:rPr>
            </w:pPr>
          </w:p>
        </w:tc>
        <w:tc>
          <w:tcPr>
            <w:tcW w:w="11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F7E5F8">
            <w:pPr>
              <w:jc w:val="center"/>
              <w:rPr>
                <w:rFonts w:hint="eastAsia" w:ascii="宋体" w:hAnsi="宋体" w:eastAsia="宋体" w:cs="宋体"/>
                <w:i w:val="0"/>
                <w:iCs w:val="0"/>
                <w:color w:val="auto"/>
                <w:sz w:val="18"/>
                <w:szCs w:val="18"/>
                <w:highlight w:val="none"/>
                <w:u w:val="none"/>
              </w:rPr>
            </w:pPr>
          </w:p>
        </w:tc>
        <w:tc>
          <w:tcPr>
            <w:tcW w:w="17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9E54FD">
            <w:pPr>
              <w:jc w:val="right"/>
              <w:rPr>
                <w:rFonts w:hint="eastAsia" w:ascii="宋体" w:hAnsi="宋体" w:eastAsia="宋体" w:cs="宋体"/>
                <w:i w:val="0"/>
                <w:iCs w:val="0"/>
                <w:color w:val="auto"/>
                <w:sz w:val="18"/>
                <w:szCs w:val="18"/>
                <w:highlight w:val="none"/>
                <w:u w:val="none"/>
              </w:rPr>
            </w:pPr>
          </w:p>
        </w:tc>
        <w:tc>
          <w:tcPr>
            <w:tcW w:w="14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55EF40">
            <w:pPr>
              <w:jc w:val="center"/>
              <w:rPr>
                <w:rFonts w:hint="eastAsia" w:ascii="宋体" w:hAnsi="宋体" w:eastAsia="宋体" w:cs="宋体"/>
                <w:i w:val="0"/>
                <w:iCs w:val="0"/>
                <w:color w:val="auto"/>
                <w:sz w:val="18"/>
                <w:szCs w:val="18"/>
                <w:highlight w:val="none"/>
                <w:u w:val="none"/>
              </w:rPr>
            </w:pPr>
          </w:p>
        </w:tc>
      </w:tr>
    </w:tbl>
    <w:p w14:paraId="2282CF8C">
      <w:pPr>
        <w:pStyle w:val="8"/>
        <w:spacing w:line="253" w:lineRule="auto"/>
        <w:rPr>
          <w:color w:val="auto"/>
          <w:highlight w:val="none"/>
        </w:rPr>
        <w:sectPr>
          <w:pgSz w:w="11905" w:h="16840"/>
          <w:pgMar w:top="1134" w:right="1134" w:bottom="1134" w:left="1134" w:header="0" w:footer="1093" w:gutter="0"/>
          <w:pgNumType w:fmt="decimal"/>
          <w:cols w:space="720" w:num="1"/>
        </w:sectPr>
      </w:pPr>
    </w:p>
    <w:tbl>
      <w:tblPr>
        <w:tblStyle w:val="14"/>
        <w:tblW w:w="15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0"/>
        <w:gridCol w:w="2685"/>
        <w:gridCol w:w="1365"/>
        <w:gridCol w:w="765"/>
        <w:gridCol w:w="825"/>
        <w:gridCol w:w="825"/>
        <w:gridCol w:w="825"/>
        <w:gridCol w:w="825"/>
        <w:gridCol w:w="825"/>
        <w:gridCol w:w="825"/>
        <w:gridCol w:w="825"/>
        <w:gridCol w:w="825"/>
        <w:gridCol w:w="825"/>
        <w:gridCol w:w="825"/>
        <w:gridCol w:w="705"/>
        <w:gridCol w:w="825"/>
      </w:tblGrid>
      <w:tr w14:paraId="5C272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5285" w:type="dxa"/>
            <w:gridSpan w:val="16"/>
            <w:tcBorders>
              <w:top w:val="nil"/>
              <w:left w:val="nil"/>
              <w:bottom w:val="nil"/>
              <w:right w:val="nil"/>
            </w:tcBorders>
            <w:shd w:val="clear" w:color="auto" w:fill="FFFFFF"/>
            <w:noWrap w:val="0"/>
            <w:vAlign w:val="center"/>
          </w:tcPr>
          <w:p w14:paraId="215D09EC">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混凝土、砂浆单价计算表</w:t>
            </w:r>
          </w:p>
        </w:tc>
      </w:tr>
      <w:tr w14:paraId="0768B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690" w:type="dxa"/>
            <w:vMerge w:val="restart"/>
            <w:tcBorders>
              <w:top w:val="single" w:color="000000" w:sz="4" w:space="0"/>
              <w:left w:val="single" w:color="000000" w:sz="4" w:space="0"/>
              <w:bottom w:val="nil"/>
              <w:right w:val="nil"/>
            </w:tcBorders>
            <w:shd w:val="clear" w:color="auto" w:fill="FFFFFF"/>
            <w:noWrap w:val="0"/>
            <w:vAlign w:val="center"/>
          </w:tcPr>
          <w:p w14:paraId="4089F8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编号</w:t>
            </w:r>
          </w:p>
        </w:tc>
        <w:tc>
          <w:tcPr>
            <w:tcW w:w="2685" w:type="dxa"/>
            <w:vMerge w:val="restart"/>
            <w:tcBorders>
              <w:top w:val="single" w:color="000000" w:sz="4" w:space="0"/>
              <w:left w:val="single" w:color="000000" w:sz="4" w:space="0"/>
              <w:bottom w:val="nil"/>
              <w:right w:val="nil"/>
            </w:tcBorders>
            <w:shd w:val="clear" w:color="auto" w:fill="FFFFFF"/>
            <w:noWrap w:val="0"/>
            <w:vAlign w:val="center"/>
          </w:tcPr>
          <w:p w14:paraId="56689B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砼强度</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等级</w:t>
            </w:r>
          </w:p>
        </w:tc>
        <w:tc>
          <w:tcPr>
            <w:tcW w:w="1365" w:type="dxa"/>
            <w:vMerge w:val="restart"/>
            <w:tcBorders>
              <w:top w:val="single" w:color="000000" w:sz="4" w:space="0"/>
              <w:left w:val="single" w:color="000000" w:sz="4" w:space="0"/>
              <w:bottom w:val="nil"/>
              <w:right w:val="nil"/>
            </w:tcBorders>
            <w:shd w:val="clear" w:color="auto" w:fill="FFFFFF"/>
            <w:noWrap w:val="0"/>
            <w:vAlign w:val="center"/>
          </w:tcPr>
          <w:p w14:paraId="32E2FF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水泥强</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度等级</w:t>
            </w:r>
          </w:p>
        </w:tc>
        <w:tc>
          <w:tcPr>
            <w:tcW w:w="765" w:type="dxa"/>
            <w:vMerge w:val="restart"/>
            <w:tcBorders>
              <w:top w:val="single" w:color="000000" w:sz="4" w:space="0"/>
              <w:left w:val="single" w:color="000000" w:sz="4" w:space="0"/>
              <w:bottom w:val="nil"/>
              <w:right w:val="nil"/>
            </w:tcBorders>
            <w:shd w:val="clear" w:color="auto" w:fill="FFFFFF"/>
            <w:noWrap w:val="0"/>
            <w:vAlign w:val="center"/>
          </w:tcPr>
          <w:p w14:paraId="0D91E1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级</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配</w:t>
            </w:r>
          </w:p>
        </w:tc>
        <w:tc>
          <w:tcPr>
            <w:tcW w:w="1650" w:type="dxa"/>
            <w:gridSpan w:val="2"/>
            <w:tcBorders>
              <w:top w:val="single" w:color="000000" w:sz="4" w:space="0"/>
              <w:left w:val="single" w:color="000000" w:sz="4" w:space="0"/>
              <w:bottom w:val="nil"/>
              <w:right w:val="nil"/>
            </w:tcBorders>
            <w:shd w:val="clear" w:color="auto" w:fill="FFFFFF"/>
            <w:noWrap w:val="0"/>
            <w:vAlign w:val="center"/>
          </w:tcPr>
          <w:p w14:paraId="79740E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水泥（元/kg）</w:t>
            </w:r>
          </w:p>
        </w:tc>
        <w:tc>
          <w:tcPr>
            <w:tcW w:w="1650" w:type="dxa"/>
            <w:gridSpan w:val="2"/>
            <w:tcBorders>
              <w:top w:val="single" w:color="000000" w:sz="4" w:space="0"/>
              <w:left w:val="single" w:color="000000" w:sz="4" w:space="0"/>
              <w:bottom w:val="nil"/>
              <w:right w:val="nil"/>
            </w:tcBorders>
            <w:shd w:val="clear" w:color="auto" w:fill="FFFFFF"/>
            <w:noWrap w:val="0"/>
            <w:vAlign w:val="center"/>
          </w:tcPr>
          <w:p w14:paraId="3C56C7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砂（元/t）</w:t>
            </w:r>
          </w:p>
        </w:tc>
        <w:tc>
          <w:tcPr>
            <w:tcW w:w="1650" w:type="dxa"/>
            <w:gridSpan w:val="2"/>
            <w:tcBorders>
              <w:top w:val="single" w:color="000000" w:sz="4" w:space="0"/>
              <w:left w:val="single" w:color="000000" w:sz="4" w:space="0"/>
              <w:bottom w:val="nil"/>
              <w:right w:val="nil"/>
            </w:tcBorders>
            <w:shd w:val="clear" w:color="auto" w:fill="FFFFFF"/>
            <w:noWrap w:val="0"/>
            <w:vAlign w:val="center"/>
          </w:tcPr>
          <w:p w14:paraId="128130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碎石（元/t）</w:t>
            </w:r>
          </w:p>
        </w:tc>
        <w:tc>
          <w:tcPr>
            <w:tcW w:w="1650" w:type="dxa"/>
            <w:gridSpan w:val="2"/>
            <w:tcBorders>
              <w:top w:val="single" w:color="000000" w:sz="4" w:space="0"/>
              <w:left w:val="single" w:color="000000" w:sz="4" w:space="0"/>
              <w:bottom w:val="nil"/>
              <w:right w:val="nil"/>
            </w:tcBorders>
            <w:shd w:val="clear" w:color="auto" w:fill="FFFFFF"/>
            <w:noWrap w:val="0"/>
            <w:vAlign w:val="center"/>
          </w:tcPr>
          <w:p w14:paraId="3AA1F2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水（元/m3）</w:t>
            </w:r>
          </w:p>
        </w:tc>
        <w:tc>
          <w:tcPr>
            <w:tcW w:w="1650" w:type="dxa"/>
            <w:gridSpan w:val="2"/>
            <w:tcBorders>
              <w:top w:val="single" w:color="000000" w:sz="4" w:space="0"/>
              <w:left w:val="single" w:color="000000" w:sz="4" w:space="0"/>
              <w:bottom w:val="nil"/>
              <w:right w:val="nil"/>
            </w:tcBorders>
            <w:shd w:val="clear" w:color="auto" w:fill="FFFFFF"/>
            <w:noWrap w:val="0"/>
            <w:vAlign w:val="center"/>
          </w:tcPr>
          <w:p w14:paraId="6D1C4C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外加剂（元/kg）</w:t>
            </w:r>
          </w:p>
        </w:tc>
        <w:tc>
          <w:tcPr>
            <w:tcW w:w="705" w:type="dxa"/>
            <w:vMerge w:val="restart"/>
            <w:tcBorders>
              <w:top w:val="single" w:color="000000" w:sz="4" w:space="0"/>
              <w:left w:val="single" w:color="000000" w:sz="4" w:space="0"/>
              <w:bottom w:val="nil"/>
              <w:right w:val="nil"/>
            </w:tcBorders>
            <w:shd w:val="clear" w:color="auto" w:fill="FFFFFF"/>
            <w:noWrap w:val="0"/>
            <w:vAlign w:val="center"/>
          </w:tcPr>
          <w:p w14:paraId="528826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材料</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价差</w:t>
            </w:r>
          </w:p>
        </w:tc>
        <w:tc>
          <w:tcPr>
            <w:tcW w:w="825" w:type="dxa"/>
            <w:vMerge w:val="restart"/>
            <w:tcBorders>
              <w:top w:val="single" w:color="000000" w:sz="4" w:space="0"/>
              <w:left w:val="single" w:color="000000" w:sz="4" w:space="0"/>
              <w:bottom w:val="nil"/>
              <w:right w:val="single" w:color="000000" w:sz="4" w:space="0"/>
            </w:tcBorders>
            <w:shd w:val="clear" w:color="auto" w:fill="FFFFFF"/>
            <w:noWrap w:val="0"/>
            <w:vAlign w:val="center"/>
          </w:tcPr>
          <w:p w14:paraId="55FDE2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单价</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（元）</w:t>
            </w:r>
          </w:p>
        </w:tc>
      </w:tr>
      <w:tr w14:paraId="6E97E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90" w:type="dxa"/>
            <w:vMerge w:val="continue"/>
            <w:tcBorders>
              <w:top w:val="single" w:color="000000" w:sz="4" w:space="0"/>
              <w:left w:val="single" w:color="000000" w:sz="4" w:space="0"/>
              <w:bottom w:val="nil"/>
              <w:right w:val="nil"/>
            </w:tcBorders>
            <w:shd w:val="clear" w:color="auto" w:fill="FFFFFF"/>
            <w:noWrap w:val="0"/>
            <w:vAlign w:val="center"/>
          </w:tcPr>
          <w:p w14:paraId="57549350">
            <w:pPr>
              <w:jc w:val="center"/>
              <w:rPr>
                <w:rFonts w:hint="eastAsia" w:ascii="宋体" w:hAnsi="宋体" w:eastAsia="宋体" w:cs="宋体"/>
                <w:i w:val="0"/>
                <w:iCs w:val="0"/>
                <w:color w:val="auto"/>
                <w:sz w:val="18"/>
                <w:szCs w:val="18"/>
                <w:highlight w:val="none"/>
                <w:u w:val="none"/>
              </w:rPr>
            </w:pPr>
          </w:p>
        </w:tc>
        <w:tc>
          <w:tcPr>
            <w:tcW w:w="2685" w:type="dxa"/>
            <w:vMerge w:val="continue"/>
            <w:tcBorders>
              <w:top w:val="single" w:color="000000" w:sz="4" w:space="0"/>
              <w:left w:val="single" w:color="000000" w:sz="4" w:space="0"/>
              <w:bottom w:val="nil"/>
              <w:right w:val="nil"/>
            </w:tcBorders>
            <w:shd w:val="clear" w:color="auto" w:fill="FFFFFF"/>
            <w:noWrap w:val="0"/>
            <w:vAlign w:val="center"/>
          </w:tcPr>
          <w:p w14:paraId="1603BD60">
            <w:pPr>
              <w:jc w:val="center"/>
              <w:rPr>
                <w:rFonts w:hint="eastAsia" w:ascii="宋体" w:hAnsi="宋体" w:eastAsia="宋体" w:cs="宋体"/>
                <w:i w:val="0"/>
                <w:iCs w:val="0"/>
                <w:color w:val="auto"/>
                <w:sz w:val="18"/>
                <w:szCs w:val="18"/>
                <w:highlight w:val="none"/>
                <w:u w:val="none"/>
              </w:rPr>
            </w:pPr>
          </w:p>
        </w:tc>
        <w:tc>
          <w:tcPr>
            <w:tcW w:w="1365" w:type="dxa"/>
            <w:vMerge w:val="continue"/>
            <w:tcBorders>
              <w:top w:val="single" w:color="000000" w:sz="4" w:space="0"/>
              <w:left w:val="single" w:color="000000" w:sz="4" w:space="0"/>
              <w:bottom w:val="nil"/>
              <w:right w:val="nil"/>
            </w:tcBorders>
            <w:shd w:val="clear" w:color="auto" w:fill="FFFFFF"/>
            <w:noWrap w:val="0"/>
            <w:vAlign w:val="center"/>
          </w:tcPr>
          <w:p w14:paraId="73DCF06D">
            <w:pPr>
              <w:jc w:val="center"/>
              <w:rPr>
                <w:rFonts w:hint="eastAsia" w:ascii="宋体" w:hAnsi="宋体" w:eastAsia="宋体" w:cs="宋体"/>
                <w:i w:val="0"/>
                <w:iCs w:val="0"/>
                <w:color w:val="auto"/>
                <w:sz w:val="18"/>
                <w:szCs w:val="18"/>
                <w:highlight w:val="none"/>
                <w:u w:val="none"/>
              </w:rPr>
            </w:pPr>
          </w:p>
        </w:tc>
        <w:tc>
          <w:tcPr>
            <w:tcW w:w="765" w:type="dxa"/>
            <w:vMerge w:val="continue"/>
            <w:tcBorders>
              <w:top w:val="single" w:color="000000" w:sz="4" w:space="0"/>
              <w:left w:val="single" w:color="000000" w:sz="4" w:space="0"/>
              <w:bottom w:val="nil"/>
              <w:right w:val="nil"/>
            </w:tcBorders>
            <w:shd w:val="clear" w:color="auto" w:fill="FFFFFF"/>
            <w:noWrap w:val="0"/>
            <w:vAlign w:val="center"/>
          </w:tcPr>
          <w:p w14:paraId="4040CAA8">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05F246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825" w:type="dxa"/>
            <w:tcBorders>
              <w:top w:val="single" w:color="000000" w:sz="4" w:space="0"/>
              <w:left w:val="single" w:color="000000" w:sz="4" w:space="0"/>
              <w:bottom w:val="nil"/>
              <w:right w:val="nil"/>
            </w:tcBorders>
            <w:shd w:val="clear" w:color="auto" w:fill="FFFFFF"/>
            <w:noWrap w:val="0"/>
            <w:vAlign w:val="center"/>
          </w:tcPr>
          <w:p w14:paraId="17EF0A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费用</w:t>
            </w:r>
          </w:p>
        </w:tc>
        <w:tc>
          <w:tcPr>
            <w:tcW w:w="825" w:type="dxa"/>
            <w:tcBorders>
              <w:top w:val="single" w:color="000000" w:sz="4" w:space="0"/>
              <w:left w:val="single" w:color="000000" w:sz="4" w:space="0"/>
              <w:bottom w:val="nil"/>
              <w:right w:val="nil"/>
            </w:tcBorders>
            <w:shd w:val="clear" w:color="auto" w:fill="FFFFFF"/>
            <w:noWrap w:val="0"/>
            <w:vAlign w:val="center"/>
          </w:tcPr>
          <w:p w14:paraId="4BA14F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825" w:type="dxa"/>
            <w:tcBorders>
              <w:top w:val="single" w:color="000000" w:sz="4" w:space="0"/>
              <w:left w:val="single" w:color="000000" w:sz="4" w:space="0"/>
              <w:bottom w:val="nil"/>
              <w:right w:val="nil"/>
            </w:tcBorders>
            <w:shd w:val="clear" w:color="auto" w:fill="FFFFFF"/>
            <w:noWrap w:val="0"/>
            <w:vAlign w:val="center"/>
          </w:tcPr>
          <w:p w14:paraId="0E24AA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费用</w:t>
            </w:r>
          </w:p>
        </w:tc>
        <w:tc>
          <w:tcPr>
            <w:tcW w:w="825" w:type="dxa"/>
            <w:tcBorders>
              <w:top w:val="single" w:color="000000" w:sz="4" w:space="0"/>
              <w:left w:val="single" w:color="000000" w:sz="4" w:space="0"/>
              <w:bottom w:val="nil"/>
              <w:right w:val="nil"/>
            </w:tcBorders>
            <w:shd w:val="clear" w:color="auto" w:fill="FFFFFF"/>
            <w:noWrap w:val="0"/>
            <w:vAlign w:val="center"/>
          </w:tcPr>
          <w:p w14:paraId="0D501A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825" w:type="dxa"/>
            <w:tcBorders>
              <w:top w:val="single" w:color="000000" w:sz="4" w:space="0"/>
              <w:left w:val="single" w:color="000000" w:sz="4" w:space="0"/>
              <w:bottom w:val="nil"/>
              <w:right w:val="nil"/>
            </w:tcBorders>
            <w:shd w:val="clear" w:color="auto" w:fill="FFFFFF"/>
            <w:noWrap w:val="0"/>
            <w:vAlign w:val="center"/>
          </w:tcPr>
          <w:p w14:paraId="0A0AD9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费用</w:t>
            </w:r>
          </w:p>
        </w:tc>
        <w:tc>
          <w:tcPr>
            <w:tcW w:w="825" w:type="dxa"/>
            <w:tcBorders>
              <w:top w:val="single" w:color="000000" w:sz="4" w:space="0"/>
              <w:left w:val="single" w:color="000000" w:sz="4" w:space="0"/>
              <w:bottom w:val="nil"/>
              <w:right w:val="nil"/>
            </w:tcBorders>
            <w:shd w:val="clear" w:color="auto" w:fill="FFFFFF"/>
            <w:noWrap w:val="0"/>
            <w:vAlign w:val="center"/>
          </w:tcPr>
          <w:p w14:paraId="0391B9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825" w:type="dxa"/>
            <w:tcBorders>
              <w:top w:val="single" w:color="000000" w:sz="4" w:space="0"/>
              <w:left w:val="single" w:color="000000" w:sz="4" w:space="0"/>
              <w:bottom w:val="nil"/>
              <w:right w:val="nil"/>
            </w:tcBorders>
            <w:shd w:val="clear" w:color="auto" w:fill="FFFFFF"/>
            <w:noWrap w:val="0"/>
            <w:vAlign w:val="center"/>
          </w:tcPr>
          <w:p w14:paraId="25A741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费用</w:t>
            </w:r>
          </w:p>
        </w:tc>
        <w:tc>
          <w:tcPr>
            <w:tcW w:w="825" w:type="dxa"/>
            <w:tcBorders>
              <w:top w:val="single" w:color="000000" w:sz="4" w:space="0"/>
              <w:left w:val="single" w:color="000000" w:sz="4" w:space="0"/>
              <w:bottom w:val="nil"/>
              <w:right w:val="nil"/>
            </w:tcBorders>
            <w:shd w:val="clear" w:color="auto" w:fill="FFFFFF"/>
            <w:noWrap w:val="0"/>
            <w:vAlign w:val="center"/>
          </w:tcPr>
          <w:p w14:paraId="1BC3F8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825" w:type="dxa"/>
            <w:tcBorders>
              <w:top w:val="single" w:color="000000" w:sz="4" w:space="0"/>
              <w:left w:val="single" w:color="000000" w:sz="4" w:space="0"/>
              <w:bottom w:val="nil"/>
              <w:right w:val="single" w:color="000000" w:sz="4" w:space="0"/>
            </w:tcBorders>
            <w:shd w:val="clear" w:color="auto" w:fill="FFFFFF"/>
            <w:noWrap w:val="0"/>
            <w:vAlign w:val="center"/>
          </w:tcPr>
          <w:p w14:paraId="12A649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费用</w:t>
            </w:r>
          </w:p>
        </w:tc>
        <w:tc>
          <w:tcPr>
            <w:tcW w:w="705" w:type="dxa"/>
            <w:vMerge w:val="continue"/>
            <w:tcBorders>
              <w:top w:val="single" w:color="000000" w:sz="4" w:space="0"/>
              <w:left w:val="single" w:color="000000" w:sz="4" w:space="0"/>
              <w:bottom w:val="nil"/>
              <w:right w:val="nil"/>
            </w:tcBorders>
            <w:shd w:val="clear" w:color="auto" w:fill="FFFFFF"/>
            <w:noWrap w:val="0"/>
            <w:vAlign w:val="center"/>
          </w:tcPr>
          <w:p w14:paraId="3E09FE31">
            <w:pPr>
              <w:jc w:val="center"/>
              <w:rPr>
                <w:rFonts w:hint="eastAsia" w:ascii="宋体" w:hAnsi="宋体" w:eastAsia="宋体" w:cs="宋体"/>
                <w:i w:val="0"/>
                <w:iCs w:val="0"/>
                <w:color w:val="auto"/>
                <w:sz w:val="18"/>
                <w:szCs w:val="18"/>
                <w:highlight w:val="none"/>
                <w:u w:val="none"/>
              </w:rPr>
            </w:pPr>
          </w:p>
        </w:tc>
        <w:tc>
          <w:tcPr>
            <w:tcW w:w="825" w:type="dxa"/>
            <w:vMerge w:val="continue"/>
            <w:tcBorders>
              <w:top w:val="single" w:color="000000" w:sz="4" w:space="0"/>
              <w:left w:val="single" w:color="000000" w:sz="4" w:space="0"/>
              <w:bottom w:val="nil"/>
              <w:right w:val="single" w:color="000000" w:sz="4" w:space="0"/>
            </w:tcBorders>
            <w:shd w:val="clear" w:color="auto" w:fill="FFFFFF"/>
            <w:noWrap w:val="0"/>
            <w:vAlign w:val="center"/>
          </w:tcPr>
          <w:p w14:paraId="275C5883">
            <w:pPr>
              <w:jc w:val="center"/>
              <w:rPr>
                <w:rFonts w:hint="eastAsia" w:ascii="宋体" w:hAnsi="宋体" w:eastAsia="宋体" w:cs="宋体"/>
                <w:i w:val="0"/>
                <w:iCs w:val="0"/>
                <w:color w:val="auto"/>
                <w:sz w:val="18"/>
                <w:szCs w:val="18"/>
                <w:highlight w:val="none"/>
                <w:u w:val="none"/>
              </w:rPr>
            </w:pPr>
          </w:p>
        </w:tc>
      </w:tr>
      <w:tr w14:paraId="2582B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76C400E1">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49F87226">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53D78279">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64137961">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713E381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70C519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5C98A5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81D85A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AF9E83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5B60CD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DEB300A">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168A38D6">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4EA6D927">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56D6D59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F0026A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3E696724">
            <w:pPr>
              <w:jc w:val="right"/>
              <w:rPr>
                <w:rFonts w:hint="eastAsia" w:ascii="宋体" w:hAnsi="宋体" w:eastAsia="宋体" w:cs="宋体"/>
                <w:i w:val="0"/>
                <w:iCs w:val="0"/>
                <w:color w:val="auto"/>
                <w:sz w:val="18"/>
                <w:szCs w:val="18"/>
                <w:highlight w:val="none"/>
                <w:u w:val="none"/>
              </w:rPr>
            </w:pPr>
          </w:p>
        </w:tc>
      </w:tr>
      <w:tr w14:paraId="60816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61A54206">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0163BA35">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6B598B0B">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2512B1CD">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787D25A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C3B013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D7259A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691EB9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FF7CA8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881D87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7AFB543">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2326FE5B">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32EDFC6E">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7E039D3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298E8D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019C4403">
            <w:pPr>
              <w:jc w:val="right"/>
              <w:rPr>
                <w:rFonts w:hint="eastAsia" w:ascii="宋体" w:hAnsi="宋体" w:eastAsia="宋体" w:cs="宋体"/>
                <w:i w:val="0"/>
                <w:iCs w:val="0"/>
                <w:color w:val="auto"/>
                <w:sz w:val="18"/>
                <w:szCs w:val="18"/>
                <w:highlight w:val="none"/>
                <w:u w:val="none"/>
              </w:rPr>
            </w:pPr>
          </w:p>
        </w:tc>
      </w:tr>
      <w:tr w14:paraId="46FAC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336200A5">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101561A0">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627F6006">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2259CCE8">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79D2A8C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DDFE1F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9C6773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511607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EF48F5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C897DE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B15D989">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13A809A5">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4F1E4FEA">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0A69B0B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8B9D7E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53321769">
            <w:pPr>
              <w:jc w:val="right"/>
              <w:rPr>
                <w:rFonts w:hint="eastAsia" w:ascii="宋体" w:hAnsi="宋体" w:eastAsia="宋体" w:cs="宋体"/>
                <w:i w:val="0"/>
                <w:iCs w:val="0"/>
                <w:color w:val="auto"/>
                <w:sz w:val="18"/>
                <w:szCs w:val="18"/>
                <w:highlight w:val="none"/>
                <w:u w:val="none"/>
              </w:rPr>
            </w:pPr>
          </w:p>
        </w:tc>
      </w:tr>
      <w:tr w14:paraId="246D3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5EDA0620">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76DF61E0">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0095258B">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0522B9E6">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6FEEFB2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886A5A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905827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4D88AE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FE169D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1FC0F6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CF64D9F">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4281257A">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5E7111CA">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2319E8A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42EBD9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4264388C">
            <w:pPr>
              <w:jc w:val="right"/>
              <w:rPr>
                <w:rFonts w:hint="eastAsia" w:ascii="宋体" w:hAnsi="宋体" w:eastAsia="宋体" w:cs="宋体"/>
                <w:i w:val="0"/>
                <w:iCs w:val="0"/>
                <w:color w:val="auto"/>
                <w:sz w:val="18"/>
                <w:szCs w:val="18"/>
                <w:highlight w:val="none"/>
                <w:u w:val="none"/>
              </w:rPr>
            </w:pPr>
          </w:p>
        </w:tc>
      </w:tr>
      <w:tr w14:paraId="5009B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4DA6BC50">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2B46ECD3">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5098B652">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776F4AEE">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1E3A9DF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315DD9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491A07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81520C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6FBA95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298E5E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3361705">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7A4D9D1E">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7A580E1B">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5744E77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105D9D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50197B39">
            <w:pPr>
              <w:jc w:val="right"/>
              <w:rPr>
                <w:rFonts w:hint="eastAsia" w:ascii="宋体" w:hAnsi="宋体" w:eastAsia="宋体" w:cs="宋体"/>
                <w:i w:val="0"/>
                <w:iCs w:val="0"/>
                <w:color w:val="auto"/>
                <w:sz w:val="18"/>
                <w:szCs w:val="18"/>
                <w:highlight w:val="none"/>
                <w:u w:val="none"/>
              </w:rPr>
            </w:pPr>
          </w:p>
        </w:tc>
      </w:tr>
      <w:tr w14:paraId="00297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59C93E1E">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08883F36">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10EA02AB">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409FAE81">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38A171F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8DDA56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167F31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243B80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563B1F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1214AE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2FA5D44">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2CC97843">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546E2BC6">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1F52E3B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FD765C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095E54EF">
            <w:pPr>
              <w:jc w:val="right"/>
              <w:rPr>
                <w:rFonts w:hint="eastAsia" w:ascii="宋体" w:hAnsi="宋体" w:eastAsia="宋体" w:cs="宋体"/>
                <w:i w:val="0"/>
                <w:iCs w:val="0"/>
                <w:color w:val="auto"/>
                <w:sz w:val="18"/>
                <w:szCs w:val="18"/>
                <w:highlight w:val="none"/>
                <w:u w:val="none"/>
              </w:rPr>
            </w:pPr>
          </w:p>
        </w:tc>
      </w:tr>
      <w:tr w14:paraId="4C57A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53724395">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0795E5C4">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66838979">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30B69878">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4E175E9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C4645D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2FA9AC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A8835F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F7A33E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41EA74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05DDB6F">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238E7339">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5D3369B9">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62F59C3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6F260E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4209BEA8">
            <w:pPr>
              <w:jc w:val="right"/>
              <w:rPr>
                <w:rFonts w:hint="eastAsia" w:ascii="宋体" w:hAnsi="宋体" w:eastAsia="宋体" w:cs="宋体"/>
                <w:i w:val="0"/>
                <w:iCs w:val="0"/>
                <w:color w:val="auto"/>
                <w:sz w:val="18"/>
                <w:szCs w:val="18"/>
                <w:highlight w:val="none"/>
                <w:u w:val="none"/>
              </w:rPr>
            </w:pPr>
          </w:p>
        </w:tc>
      </w:tr>
      <w:tr w14:paraId="04E85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1D8BC914">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51B21B2B">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7A952CA6">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3DA030DC">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511FB23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A85931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97B04E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DC25CC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98392E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443290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89D5571">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70011C2A">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6F23A212">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1CC1E5C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C811F1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9F40390">
            <w:pPr>
              <w:jc w:val="right"/>
              <w:rPr>
                <w:rFonts w:hint="eastAsia" w:ascii="宋体" w:hAnsi="宋体" w:eastAsia="宋体" w:cs="宋体"/>
                <w:i w:val="0"/>
                <w:iCs w:val="0"/>
                <w:color w:val="auto"/>
                <w:sz w:val="18"/>
                <w:szCs w:val="18"/>
                <w:highlight w:val="none"/>
                <w:u w:val="none"/>
              </w:rPr>
            </w:pPr>
          </w:p>
        </w:tc>
      </w:tr>
      <w:tr w14:paraId="4A9B1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33ABF186">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2BFAD999">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02FEB984">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5D957301">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21BE541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3ABE87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F8AAEE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6BF086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103F96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FAB77C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C0CF6E3">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7FA9B3FC">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2B440BAB">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1F81DD2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611276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05423CA">
            <w:pPr>
              <w:jc w:val="right"/>
              <w:rPr>
                <w:rFonts w:hint="eastAsia" w:ascii="宋体" w:hAnsi="宋体" w:eastAsia="宋体" w:cs="宋体"/>
                <w:i w:val="0"/>
                <w:iCs w:val="0"/>
                <w:color w:val="auto"/>
                <w:sz w:val="18"/>
                <w:szCs w:val="18"/>
                <w:highlight w:val="none"/>
                <w:u w:val="none"/>
              </w:rPr>
            </w:pPr>
          </w:p>
        </w:tc>
      </w:tr>
      <w:tr w14:paraId="28B98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6356B51E">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03C13E0B">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64B5D454">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238AF1D1">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5D155F5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B26BE2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AFE9BD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59302C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BCDB25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B14FC6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CC93201">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4DD051F7">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6F1B16CC">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6695CB4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443EC0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F437C9C">
            <w:pPr>
              <w:jc w:val="right"/>
              <w:rPr>
                <w:rFonts w:hint="eastAsia" w:ascii="宋体" w:hAnsi="宋体" w:eastAsia="宋体" w:cs="宋体"/>
                <w:i w:val="0"/>
                <w:iCs w:val="0"/>
                <w:color w:val="auto"/>
                <w:sz w:val="18"/>
                <w:szCs w:val="18"/>
                <w:highlight w:val="none"/>
                <w:u w:val="none"/>
              </w:rPr>
            </w:pPr>
          </w:p>
        </w:tc>
      </w:tr>
      <w:tr w14:paraId="30CC1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1D6B83D8">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40159E9C">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30ED07F2">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0C25B464">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0AA827D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804138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B1E540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8E6D6E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FD8AFD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4F1B67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AD5A4B5">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5C5B5A59">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5668B394">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005B209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8DB876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58228F39">
            <w:pPr>
              <w:jc w:val="right"/>
              <w:rPr>
                <w:rFonts w:hint="eastAsia" w:ascii="宋体" w:hAnsi="宋体" w:eastAsia="宋体" w:cs="宋体"/>
                <w:i w:val="0"/>
                <w:iCs w:val="0"/>
                <w:color w:val="auto"/>
                <w:sz w:val="18"/>
                <w:szCs w:val="18"/>
                <w:highlight w:val="none"/>
                <w:u w:val="none"/>
              </w:rPr>
            </w:pPr>
          </w:p>
        </w:tc>
      </w:tr>
      <w:tr w14:paraId="1D3A4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nil"/>
              <w:right w:val="nil"/>
            </w:tcBorders>
            <w:shd w:val="clear" w:color="auto" w:fill="FFFFFF"/>
            <w:noWrap w:val="0"/>
            <w:vAlign w:val="center"/>
          </w:tcPr>
          <w:p w14:paraId="31974080">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nil"/>
              <w:right w:val="nil"/>
            </w:tcBorders>
            <w:shd w:val="clear" w:color="auto" w:fill="FFFFFF"/>
            <w:noWrap w:val="0"/>
            <w:vAlign w:val="center"/>
          </w:tcPr>
          <w:p w14:paraId="3C367A52">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nil"/>
              <w:right w:val="nil"/>
            </w:tcBorders>
            <w:shd w:val="clear" w:color="auto" w:fill="FFFFFF"/>
            <w:noWrap w:val="0"/>
            <w:vAlign w:val="center"/>
          </w:tcPr>
          <w:p w14:paraId="0585265D">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nil"/>
              <w:right w:val="nil"/>
            </w:tcBorders>
            <w:shd w:val="clear" w:color="auto" w:fill="FFFFFF"/>
            <w:noWrap w:val="0"/>
            <w:vAlign w:val="center"/>
          </w:tcPr>
          <w:p w14:paraId="350C135D">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ign w:val="center"/>
          </w:tcPr>
          <w:p w14:paraId="7D03E73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E6C5BA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4AE54D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B27437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BB7559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219A08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450B1C8">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52747A3C">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3BF93037">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nil"/>
              <w:right w:val="nil"/>
            </w:tcBorders>
            <w:shd w:val="clear" w:color="auto" w:fill="FFFFFF"/>
            <w:noWrap w:val="0"/>
            <w:vAlign w:val="center"/>
          </w:tcPr>
          <w:p w14:paraId="307B05B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A5E452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1B83EB96">
            <w:pPr>
              <w:jc w:val="right"/>
              <w:rPr>
                <w:rFonts w:hint="eastAsia" w:ascii="宋体" w:hAnsi="宋体" w:eastAsia="宋体" w:cs="宋体"/>
                <w:i w:val="0"/>
                <w:iCs w:val="0"/>
                <w:color w:val="auto"/>
                <w:sz w:val="18"/>
                <w:szCs w:val="18"/>
                <w:highlight w:val="none"/>
                <w:u w:val="none"/>
              </w:rPr>
            </w:pPr>
          </w:p>
        </w:tc>
      </w:tr>
      <w:tr w14:paraId="7AC35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90" w:type="dxa"/>
            <w:tcBorders>
              <w:top w:val="single" w:color="000000" w:sz="4" w:space="0"/>
              <w:left w:val="single" w:color="000000" w:sz="4" w:space="0"/>
              <w:bottom w:val="single" w:color="auto" w:sz="4" w:space="0"/>
              <w:right w:val="nil"/>
            </w:tcBorders>
            <w:shd w:val="clear" w:color="auto" w:fill="FFFFFF"/>
            <w:noWrap w:val="0"/>
            <w:vAlign w:val="center"/>
          </w:tcPr>
          <w:p w14:paraId="16A53979">
            <w:pPr>
              <w:jc w:val="center"/>
              <w:rPr>
                <w:rFonts w:hint="eastAsia" w:ascii="宋体" w:hAnsi="宋体" w:eastAsia="宋体" w:cs="宋体"/>
                <w:i w:val="0"/>
                <w:iCs w:val="0"/>
                <w:color w:val="auto"/>
                <w:sz w:val="18"/>
                <w:szCs w:val="18"/>
                <w:highlight w:val="none"/>
                <w:u w:val="none"/>
              </w:rPr>
            </w:pPr>
          </w:p>
        </w:tc>
        <w:tc>
          <w:tcPr>
            <w:tcW w:w="2685" w:type="dxa"/>
            <w:tcBorders>
              <w:top w:val="single" w:color="000000" w:sz="4" w:space="0"/>
              <w:left w:val="single" w:color="000000" w:sz="4" w:space="0"/>
              <w:bottom w:val="single" w:color="auto" w:sz="4" w:space="0"/>
              <w:right w:val="nil"/>
            </w:tcBorders>
            <w:shd w:val="clear" w:color="auto" w:fill="FFFFFF"/>
            <w:noWrap w:val="0"/>
            <w:vAlign w:val="center"/>
          </w:tcPr>
          <w:p w14:paraId="034C877D">
            <w:pPr>
              <w:jc w:val="left"/>
              <w:rPr>
                <w:rFonts w:hint="eastAsia" w:ascii="宋体" w:hAnsi="宋体" w:eastAsia="宋体" w:cs="宋体"/>
                <w:i w:val="0"/>
                <w:iCs w:val="0"/>
                <w:color w:val="auto"/>
                <w:sz w:val="18"/>
                <w:szCs w:val="18"/>
                <w:highlight w:val="none"/>
                <w:u w:val="none"/>
              </w:rPr>
            </w:pPr>
          </w:p>
        </w:tc>
        <w:tc>
          <w:tcPr>
            <w:tcW w:w="1365" w:type="dxa"/>
            <w:tcBorders>
              <w:top w:val="single" w:color="000000" w:sz="4" w:space="0"/>
              <w:left w:val="single" w:color="000000" w:sz="4" w:space="0"/>
              <w:bottom w:val="single" w:color="auto" w:sz="4" w:space="0"/>
              <w:right w:val="nil"/>
            </w:tcBorders>
            <w:shd w:val="clear" w:color="auto" w:fill="FFFFFF"/>
            <w:noWrap w:val="0"/>
            <w:vAlign w:val="center"/>
          </w:tcPr>
          <w:p w14:paraId="35599BA1">
            <w:pPr>
              <w:jc w:val="center"/>
              <w:rPr>
                <w:rFonts w:hint="eastAsia" w:ascii="宋体" w:hAnsi="宋体" w:eastAsia="宋体" w:cs="宋体"/>
                <w:i w:val="0"/>
                <w:iCs w:val="0"/>
                <w:color w:val="auto"/>
                <w:sz w:val="18"/>
                <w:szCs w:val="18"/>
                <w:highlight w:val="none"/>
                <w:u w:val="none"/>
              </w:rPr>
            </w:pPr>
          </w:p>
        </w:tc>
        <w:tc>
          <w:tcPr>
            <w:tcW w:w="765" w:type="dxa"/>
            <w:tcBorders>
              <w:top w:val="single" w:color="000000" w:sz="4" w:space="0"/>
              <w:left w:val="single" w:color="000000" w:sz="4" w:space="0"/>
              <w:bottom w:val="single" w:color="auto" w:sz="4" w:space="0"/>
              <w:right w:val="nil"/>
            </w:tcBorders>
            <w:shd w:val="clear" w:color="auto" w:fill="FFFFFF"/>
            <w:noWrap w:val="0"/>
            <w:vAlign w:val="center"/>
          </w:tcPr>
          <w:p w14:paraId="3CB03597">
            <w:pPr>
              <w:jc w:val="center"/>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single" w:color="auto" w:sz="4" w:space="0"/>
              <w:right w:val="nil"/>
            </w:tcBorders>
            <w:shd w:val="clear" w:color="auto" w:fill="FFFFFF"/>
            <w:noWrap/>
            <w:vAlign w:val="center"/>
          </w:tcPr>
          <w:p w14:paraId="51B81EF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793CE3D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4BEF819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70626D3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24FC697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15A60A8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3A072F75">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single" w:color="auto" w:sz="4" w:space="0"/>
              <w:right w:val="nil"/>
            </w:tcBorders>
            <w:shd w:val="clear" w:color="auto" w:fill="FFFFFF"/>
            <w:noWrap w:val="0"/>
            <w:vAlign w:val="center"/>
          </w:tcPr>
          <w:p w14:paraId="473AACB5">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single" w:color="auto" w:sz="4" w:space="0"/>
              <w:right w:val="nil"/>
            </w:tcBorders>
            <w:shd w:val="clear" w:color="auto" w:fill="FFFFFF"/>
            <w:noWrap w:val="0"/>
            <w:vAlign w:val="center"/>
          </w:tcPr>
          <w:p w14:paraId="00845E72">
            <w:pPr>
              <w:jc w:val="right"/>
              <w:rPr>
                <w:rFonts w:hint="eastAsia" w:ascii="宋体" w:hAnsi="宋体" w:eastAsia="宋体" w:cs="宋体"/>
                <w:i w:val="0"/>
                <w:iCs w:val="0"/>
                <w:color w:val="auto"/>
                <w:sz w:val="18"/>
                <w:szCs w:val="18"/>
                <w:highlight w:val="none"/>
                <w:u w:val="none"/>
              </w:rPr>
            </w:pPr>
          </w:p>
        </w:tc>
        <w:tc>
          <w:tcPr>
            <w:tcW w:w="825" w:type="dxa"/>
            <w:tcBorders>
              <w:top w:val="single" w:color="000000" w:sz="4" w:space="0"/>
              <w:left w:val="single" w:color="000000" w:sz="4" w:space="0"/>
              <w:bottom w:val="single" w:color="auto" w:sz="4" w:space="0"/>
              <w:right w:val="nil"/>
            </w:tcBorders>
            <w:shd w:val="clear" w:color="auto" w:fill="FFFFFF"/>
            <w:noWrap w:val="0"/>
            <w:vAlign w:val="center"/>
          </w:tcPr>
          <w:p w14:paraId="3C4E798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4D85088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single" w:color="000000" w:sz="4" w:space="0"/>
            </w:tcBorders>
            <w:shd w:val="clear" w:color="auto" w:fill="FFFFFF"/>
            <w:noWrap/>
            <w:vAlign w:val="center"/>
          </w:tcPr>
          <w:p w14:paraId="54F0D35E">
            <w:pPr>
              <w:jc w:val="right"/>
              <w:rPr>
                <w:rFonts w:hint="eastAsia" w:ascii="宋体" w:hAnsi="宋体" w:eastAsia="宋体" w:cs="宋体"/>
                <w:i w:val="0"/>
                <w:iCs w:val="0"/>
                <w:color w:val="auto"/>
                <w:sz w:val="18"/>
                <w:szCs w:val="18"/>
                <w:highlight w:val="none"/>
                <w:u w:val="none"/>
              </w:rPr>
            </w:pPr>
          </w:p>
        </w:tc>
      </w:tr>
    </w:tbl>
    <w:p w14:paraId="47E65542">
      <w:pPr>
        <w:pStyle w:val="8"/>
        <w:spacing w:line="253" w:lineRule="auto"/>
        <w:rPr>
          <w:color w:val="auto"/>
          <w:highlight w:val="none"/>
        </w:rPr>
        <w:sectPr>
          <w:pgSz w:w="16840" w:h="11905" w:orient="landscape"/>
          <w:pgMar w:top="1587" w:right="400" w:bottom="1442" w:left="1255" w:header="0" w:footer="1093" w:gutter="0"/>
          <w:pgNumType w:fmt="decimal"/>
          <w:cols w:space="720" w:num="1"/>
        </w:sectPr>
      </w:pPr>
    </w:p>
    <w:tbl>
      <w:tblPr>
        <w:tblStyle w:val="14"/>
        <w:tblW w:w="152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00"/>
        <w:gridCol w:w="2430"/>
        <w:gridCol w:w="735"/>
        <w:gridCol w:w="720"/>
        <w:gridCol w:w="720"/>
        <w:gridCol w:w="720"/>
        <w:gridCol w:w="720"/>
        <w:gridCol w:w="720"/>
        <w:gridCol w:w="690"/>
        <w:gridCol w:w="720"/>
        <w:gridCol w:w="720"/>
        <w:gridCol w:w="720"/>
        <w:gridCol w:w="720"/>
        <w:gridCol w:w="720"/>
        <w:gridCol w:w="720"/>
        <w:gridCol w:w="720"/>
        <w:gridCol w:w="720"/>
        <w:gridCol w:w="720"/>
        <w:gridCol w:w="720"/>
      </w:tblGrid>
      <w:tr w14:paraId="3381A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5255" w:type="dxa"/>
            <w:gridSpan w:val="19"/>
            <w:tcBorders>
              <w:top w:val="nil"/>
              <w:left w:val="nil"/>
              <w:bottom w:val="nil"/>
              <w:right w:val="nil"/>
            </w:tcBorders>
            <w:shd w:val="clear" w:color="auto" w:fill="FFFFFF"/>
            <w:noWrap w:val="0"/>
            <w:vAlign w:val="center"/>
          </w:tcPr>
          <w:p w14:paraId="42341CF5">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snapToGrid w:val="0"/>
                <w:color w:val="auto"/>
                <w:kern w:val="0"/>
                <w:sz w:val="32"/>
                <w:szCs w:val="32"/>
                <w:highlight w:val="none"/>
                <w:u w:val="none"/>
                <w:lang w:val="en-US" w:eastAsia="zh-CN" w:bidi="ar"/>
              </w:rPr>
              <w:t>机械台班预算单价计算表</w:t>
            </w:r>
          </w:p>
        </w:tc>
      </w:tr>
      <w:tr w14:paraId="24632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00" w:type="dxa"/>
            <w:vMerge w:val="restart"/>
            <w:tcBorders>
              <w:top w:val="single" w:color="000000" w:sz="4" w:space="0"/>
              <w:left w:val="single" w:color="000000" w:sz="4" w:space="0"/>
              <w:bottom w:val="nil"/>
              <w:right w:val="nil"/>
            </w:tcBorders>
            <w:shd w:val="clear" w:color="auto" w:fill="FFFFFF"/>
            <w:noWrap w:val="0"/>
            <w:vAlign w:val="center"/>
          </w:tcPr>
          <w:p w14:paraId="7FE169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定额</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编号</w:t>
            </w:r>
          </w:p>
        </w:tc>
        <w:tc>
          <w:tcPr>
            <w:tcW w:w="2430" w:type="dxa"/>
            <w:vMerge w:val="restart"/>
            <w:tcBorders>
              <w:top w:val="single" w:color="000000" w:sz="4" w:space="0"/>
              <w:left w:val="single" w:color="000000" w:sz="4" w:space="0"/>
              <w:bottom w:val="nil"/>
              <w:right w:val="nil"/>
            </w:tcBorders>
            <w:shd w:val="clear" w:color="auto" w:fill="FFFFFF"/>
            <w:noWrap w:val="0"/>
            <w:vAlign w:val="center"/>
          </w:tcPr>
          <w:p w14:paraId="3266B0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机械名称</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及规格</w:t>
            </w:r>
          </w:p>
        </w:tc>
        <w:tc>
          <w:tcPr>
            <w:tcW w:w="735" w:type="dxa"/>
            <w:vMerge w:val="restart"/>
            <w:tcBorders>
              <w:top w:val="single" w:color="000000" w:sz="4" w:space="0"/>
              <w:left w:val="single" w:color="000000" w:sz="4" w:space="0"/>
              <w:bottom w:val="nil"/>
              <w:right w:val="nil"/>
            </w:tcBorders>
            <w:shd w:val="clear" w:color="auto" w:fill="FFFFFF"/>
            <w:noWrap w:val="0"/>
            <w:vAlign w:val="center"/>
          </w:tcPr>
          <w:p w14:paraId="52A27C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台班费</w:t>
            </w:r>
          </w:p>
        </w:tc>
        <w:tc>
          <w:tcPr>
            <w:tcW w:w="720" w:type="dxa"/>
            <w:vMerge w:val="restart"/>
            <w:tcBorders>
              <w:top w:val="single" w:color="000000" w:sz="4" w:space="0"/>
              <w:left w:val="single" w:color="000000" w:sz="4" w:space="0"/>
              <w:bottom w:val="nil"/>
              <w:right w:val="nil"/>
            </w:tcBorders>
            <w:shd w:val="clear" w:color="auto" w:fill="FFFFFF"/>
            <w:noWrap w:val="0"/>
            <w:vAlign w:val="center"/>
          </w:tcPr>
          <w:p w14:paraId="45F16C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一类</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费用</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10770" w:type="dxa"/>
            <w:gridSpan w:val="15"/>
            <w:tcBorders>
              <w:top w:val="single" w:color="000000" w:sz="4" w:space="0"/>
              <w:left w:val="single" w:color="000000" w:sz="4" w:space="0"/>
              <w:bottom w:val="nil"/>
              <w:right w:val="single" w:color="000000" w:sz="4" w:space="0"/>
            </w:tcBorders>
            <w:shd w:val="clear" w:color="auto" w:fill="FFFFFF"/>
            <w:noWrap w:val="0"/>
            <w:vAlign w:val="center"/>
          </w:tcPr>
          <w:p w14:paraId="65103D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二类费用</w:t>
            </w:r>
          </w:p>
        </w:tc>
      </w:tr>
      <w:tr w14:paraId="1DF4E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00" w:type="dxa"/>
            <w:vMerge w:val="continue"/>
            <w:tcBorders>
              <w:top w:val="single" w:color="000000" w:sz="4" w:space="0"/>
              <w:left w:val="single" w:color="000000" w:sz="4" w:space="0"/>
              <w:bottom w:val="nil"/>
              <w:right w:val="nil"/>
            </w:tcBorders>
            <w:shd w:val="clear" w:color="auto" w:fill="FFFFFF"/>
            <w:noWrap w:val="0"/>
            <w:vAlign w:val="center"/>
          </w:tcPr>
          <w:p w14:paraId="02BB2289">
            <w:pPr>
              <w:jc w:val="center"/>
              <w:rPr>
                <w:rFonts w:hint="eastAsia" w:ascii="宋体" w:hAnsi="宋体" w:eastAsia="宋体" w:cs="宋体"/>
                <w:i w:val="0"/>
                <w:iCs w:val="0"/>
                <w:color w:val="auto"/>
                <w:sz w:val="18"/>
                <w:szCs w:val="18"/>
                <w:highlight w:val="none"/>
                <w:u w:val="none"/>
              </w:rPr>
            </w:pPr>
          </w:p>
        </w:tc>
        <w:tc>
          <w:tcPr>
            <w:tcW w:w="2430" w:type="dxa"/>
            <w:vMerge w:val="continue"/>
            <w:tcBorders>
              <w:top w:val="single" w:color="000000" w:sz="4" w:space="0"/>
              <w:left w:val="single" w:color="000000" w:sz="4" w:space="0"/>
              <w:bottom w:val="nil"/>
              <w:right w:val="nil"/>
            </w:tcBorders>
            <w:shd w:val="clear" w:color="auto" w:fill="FFFFFF"/>
            <w:noWrap w:val="0"/>
            <w:vAlign w:val="center"/>
          </w:tcPr>
          <w:p w14:paraId="56061ABD">
            <w:pPr>
              <w:jc w:val="center"/>
              <w:rPr>
                <w:rFonts w:hint="eastAsia" w:ascii="宋体" w:hAnsi="宋体" w:eastAsia="宋体" w:cs="宋体"/>
                <w:i w:val="0"/>
                <w:iCs w:val="0"/>
                <w:color w:val="auto"/>
                <w:sz w:val="18"/>
                <w:szCs w:val="18"/>
                <w:highlight w:val="none"/>
                <w:u w:val="none"/>
              </w:rPr>
            </w:pPr>
          </w:p>
        </w:tc>
        <w:tc>
          <w:tcPr>
            <w:tcW w:w="735" w:type="dxa"/>
            <w:vMerge w:val="continue"/>
            <w:tcBorders>
              <w:top w:val="single" w:color="000000" w:sz="4" w:space="0"/>
              <w:left w:val="single" w:color="000000" w:sz="4" w:space="0"/>
              <w:bottom w:val="nil"/>
              <w:right w:val="nil"/>
            </w:tcBorders>
            <w:shd w:val="clear" w:color="auto" w:fill="FFFFFF"/>
            <w:noWrap w:val="0"/>
            <w:vAlign w:val="center"/>
          </w:tcPr>
          <w:p w14:paraId="26AC8791">
            <w:pPr>
              <w:jc w:val="center"/>
              <w:rPr>
                <w:rFonts w:hint="eastAsia" w:ascii="宋体" w:hAnsi="宋体" w:eastAsia="宋体" w:cs="宋体"/>
                <w:i w:val="0"/>
                <w:iCs w:val="0"/>
                <w:color w:val="auto"/>
                <w:sz w:val="18"/>
                <w:szCs w:val="18"/>
                <w:highlight w:val="none"/>
                <w:u w:val="none"/>
              </w:rPr>
            </w:pPr>
          </w:p>
        </w:tc>
        <w:tc>
          <w:tcPr>
            <w:tcW w:w="720" w:type="dxa"/>
            <w:vMerge w:val="continue"/>
            <w:tcBorders>
              <w:top w:val="single" w:color="000000" w:sz="4" w:space="0"/>
              <w:left w:val="single" w:color="000000" w:sz="4" w:space="0"/>
              <w:bottom w:val="nil"/>
              <w:right w:val="nil"/>
            </w:tcBorders>
            <w:shd w:val="clear" w:color="auto" w:fill="FFFFFF"/>
            <w:noWrap w:val="0"/>
            <w:vAlign w:val="center"/>
          </w:tcPr>
          <w:p w14:paraId="24FE64B6">
            <w:pPr>
              <w:jc w:val="center"/>
              <w:rPr>
                <w:rFonts w:hint="eastAsia" w:ascii="宋体" w:hAnsi="宋体" w:eastAsia="宋体" w:cs="宋体"/>
                <w:i w:val="0"/>
                <w:iCs w:val="0"/>
                <w:color w:val="auto"/>
                <w:sz w:val="18"/>
                <w:szCs w:val="18"/>
                <w:highlight w:val="none"/>
                <w:u w:val="none"/>
              </w:rPr>
            </w:pPr>
          </w:p>
        </w:tc>
        <w:tc>
          <w:tcPr>
            <w:tcW w:w="720" w:type="dxa"/>
            <w:vMerge w:val="restart"/>
            <w:tcBorders>
              <w:top w:val="single" w:color="000000" w:sz="4" w:space="0"/>
              <w:left w:val="single" w:color="000000" w:sz="4" w:space="0"/>
              <w:bottom w:val="nil"/>
              <w:right w:val="nil"/>
            </w:tcBorders>
            <w:shd w:val="clear" w:color="auto" w:fill="FFFFFF"/>
            <w:noWrap w:val="0"/>
            <w:vAlign w:val="center"/>
          </w:tcPr>
          <w:p w14:paraId="5C052A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二类费</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1440" w:type="dxa"/>
            <w:gridSpan w:val="2"/>
            <w:tcBorders>
              <w:top w:val="single" w:color="000000" w:sz="4" w:space="0"/>
              <w:left w:val="single" w:color="000000" w:sz="4" w:space="0"/>
              <w:bottom w:val="nil"/>
              <w:right w:val="nil"/>
            </w:tcBorders>
            <w:shd w:val="clear" w:color="auto" w:fill="FFFFFF"/>
            <w:noWrap w:val="0"/>
            <w:vAlign w:val="center"/>
          </w:tcPr>
          <w:p w14:paraId="62A27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人工费</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(元/日)</w:t>
            </w:r>
          </w:p>
        </w:tc>
        <w:tc>
          <w:tcPr>
            <w:tcW w:w="720" w:type="dxa"/>
            <w:vMerge w:val="restart"/>
            <w:tcBorders>
              <w:top w:val="single" w:color="000000" w:sz="4" w:space="0"/>
              <w:left w:val="single" w:color="000000" w:sz="4" w:space="0"/>
              <w:bottom w:val="nil"/>
              <w:right w:val="nil"/>
            </w:tcBorders>
            <w:shd w:val="clear" w:color="auto" w:fill="FFFFFF"/>
            <w:noWrap w:val="0"/>
            <w:vAlign w:val="center"/>
          </w:tcPr>
          <w:p w14:paraId="182196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动力</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燃料费</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690" w:type="dxa"/>
            <w:tcBorders>
              <w:top w:val="single" w:color="000000" w:sz="4" w:space="0"/>
              <w:left w:val="single" w:color="000000" w:sz="4" w:space="0"/>
              <w:bottom w:val="nil"/>
              <w:right w:val="nil"/>
            </w:tcBorders>
            <w:shd w:val="clear" w:color="auto" w:fill="FFFFFF"/>
            <w:noWrap w:val="0"/>
            <w:vAlign w:val="center"/>
          </w:tcPr>
          <w:p w14:paraId="3E069B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材料</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价差</w:t>
            </w:r>
          </w:p>
        </w:tc>
        <w:tc>
          <w:tcPr>
            <w:tcW w:w="1440" w:type="dxa"/>
            <w:gridSpan w:val="2"/>
            <w:tcBorders>
              <w:top w:val="single" w:color="000000" w:sz="4" w:space="0"/>
              <w:left w:val="single" w:color="000000" w:sz="4" w:space="0"/>
              <w:bottom w:val="nil"/>
              <w:right w:val="nil"/>
            </w:tcBorders>
            <w:shd w:val="clear" w:color="auto" w:fill="FFFFFF"/>
            <w:noWrap w:val="0"/>
            <w:vAlign w:val="center"/>
          </w:tcPr>
          <w:p w14:paraId="6E8C6B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汽油</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(元/kg)</w:t>
            </w:r>
          </w:p>
        </w:tc>
        <w:tc>
          <w:tcPr>
            <w:tcW w:w="1440" w:type="dxa"/>
            <w:gridSpan w:val="2"/>
            <w:tcBorders>
              <w:top w:val="single" w:color="000000" w:sz="4" w:space="0"/>
              <w:left w:val="single" w:color="000000" w:sz="4" w:space="0"/>
              <w:bottom w:val="nil"/>
              <w:right w:val="nil"/>
            </w:tcBorders>
            <w:shd w:val="clear" w:color="auto" w:fill="FFFFFF"/>
            <w:noWrap w:val="0"/>
            <w:vAlign w:val="center"/>
          </w:tcPr>
          <w:p w14:paraId="5CD51D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柴油</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(元/kg)</w:t>
            </w:r>
          </w:p>
        </w:tc>
        <w:tc>
          <w:tcPr>
            <w:tcW w:w="1440" w:type="dxa"/>
            <w:gridSpan w:val="2"/>
            <w:tcBorders>
              <w:top w:val="single" w:color="000000" w:sz="4" w:space="0"/>
              <w:left w:val="single" w:color="000000" w:sz="4" w:space="0"/>
              <w:bottom w:val="nil"/>
              <w:right w:val="nil"/>
            </w:tcBorders>
            <w:shd w:val="clear" w:color="auto" w:fill="FFFFFF"/>
            <w:noWrap w:val="0"/>
            <w:vAlign w:val="center"/>
          </w:tcPr>
          <w:p w14:paraId="19E61C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电</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(元/kw.h)</w:t>
            </w:r>
          </w:p>
        </w:tc>
        <w:tc>
          <w:tcPr>
            <w:tcW w:w="1440" w:type="dxa"/>
            <w:gridSpan w:val="2"/>
            <w:tcBorders>
              <w:top w:val="single" w:color="000000" w:sz="4" w:space="0"/>
              <w:left w:val="single" w:color="000000" w:sz="4" w:space="0"/>
              <w:bottom w:val="nil"/>
              <w:right w:val="nil"/>
            </w:tcBorders>
            <w:shd w:val="clear" w:color="auto" w:fill="FFFFFF"/>
            <w:noWrap w:val="0"/>
            <w:vAlign w:val="center"/>
          </w:tcPr>
          <w:p w14:paraId="56150B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水</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(元/m3)</w:t>
            </w:r>
          </w:p>
        </w:tc>
        <w:tc>
          <w:tcPr>
            <w:tcW w:w="1440" w:type="dxa"/>
            <w:gridSpan w:val="2"/>
            <w:tcBorders>
              <w:top w:val="single" w:color="000000" w:sz="4" w:space="0"/>
              <w:left w:val="single" w:color="000000" w:sz="4" w:space="0"/>
              <w:bottom w:val="nil"/>
              <w:right w:val="single" w:color="000000" w:sz="4" w:space="0"/>
            </w:tcBorders>
            <w:shd w:val="clear" w:color="auto" w:fill="FFFFFF"/>
            <w:noWrap w:val="0"/>
            <w:vAlign w:val="center"/>
          </w:tcPr>
          <w:p w14:paraId="1A6505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风</w:t>
            </w:r>
            <w:r>
              <w:rPr>
                <w:rFonts w:hint="eastAsia" w:ascii="宋体" w:hAnsi="宋体" w:eastAsia="宋体" w:cs="宋体"/>
                <w:i w:val="0"/>
                <w:iCs w:val="0"/>
                <w:snapToGrid w:val="0"/>
                <w:color w:val="auto"/>
                <w:kern w:val="0"/>
                <w:sz w:val="18"/>
                <w:szCs w:val="18"/>
                <w:highlight w:val="none"/>
                <w:u w:val="none"/>
                <w:lang w:val="en-US" w:eastAsia="zh-CN" w:bidi="ar"/>
              </w:rPr>
              <w:br w:type="textWrapping"/>
            </w:r>
            <w:r>
              <w:rPr>
                <w:rFonts w:hint="eastAsia" w:ascii="宋体" w:hAnsi="宋体" w:eastAsia="宋体" w:cs="宋体"/>
                <w:i w:val="0"/>
                <w:iCs w:val="0"/>
                <w:snapToGrid w:val="0"/>
                <w:color w:val="auto"/>
                <w:kern w:val="0"/>
                <w:sz w:val="18"/>
                <w:szCs w:val="18"/>
                <w:highlight w:val="none"/>
                <w:u w:val="none"/>
                <w:lang w:val="en-US" w:eastAsia="zh-CN" w:bidi="ar"/>
              </w:rPr>
              <w:t>(元/m3)</w:t>
            </w:r>
          </w:p>
        </w:tc>
      </w:tr>
      <w:tr w14:paraId="0B362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00" w:type="dxa"/>
            <w:vMerge w:val="continue"/>
            <w:tcBorders>
              <w:top w:val="single" w:color="000000" w:sz="4" w:space="0"/>
              <w:left w:val="single" w:color="000000" w:sz="4" w:space="0"/>
              <w:bottom w:val="nil"/>
              <w:right w:val="nil"/>
            </w:tcBorders>
            <w:shd w:val="clear" w:color="auto" w:fill="FFFFFF"/>
            <w:noWrap w:val="0"/>
            <w:vAlign w:val="center"/>
          </w:tcPr>
          <w:p w14:paraId="31315939">
            <w:pPr>
              <w:jc w:val="center"/>
              <w:rPr>
                <w:rFonts w:hint="eastAsia" w:ascii="宋体" w:hAnsi="宋体" w:eastAsia="宋体" w:cs="宋体"/>
                <w:i w:val="0"/>
                <w:iCs w:val="0"/>
                <w:color w:val="auto"/>
                <w:sz w:val="18"/>
                <w:szCs w:val="18"/>
                <w:highlight w:val="none"/>
                <w:u w:val="none"/>
              </w:rPr>
            </w:pPr>
          </w:p>
        </w:tc>
        <w:tc>
          <w:tcPr>
            <w:tcW w:w="2430" w:type="dxa"/>
            <w:vMerge w:val="continue"/>
            <w:tcBorders>
              <w:top w:val="single" w:color="000000" w:sz="4" w:space="0"/>
              <w:left w:val="single" w:color="000000" w:sz="4" w:space="0"/>
              <w:bottom w:val="nil"/>
              <w:right w:val="nil"/>
            </w:tcBorders>
            <w:shd w:val="clear" w:color="auto" w:fill="FFFFFF"/>
            <w:noWrap w:val="0"/>
            <w:vAlign w:val="center"/>
          </w:tcPr>
          <w:p w14:paraId="407F045D">
            <w:pPr>
              <w:jc w:val="center"/>
              <w:rPr>
                <w:rFonts w:hint="eastAsia" w:ascii="宋体" w:hAnsi="宋体" w:eastAsia="宋体" w:cs="宋体"/>
                <w:i w:val="0"/>
                <w:iCs w:val="0"/>
                <w:color w:val="auto"/>
                <w:sz w:val="18"/>
                <w:szCs w:val="18"/>
                <w:highlight w:val="none"/>
                <w:u w:val="none"/>
              </w:rPr>
            </w:pPr>
          </w:p>
        </w:tc>
        <w:tc>
          <w:tcPr>
            <w:tcW w:w="735" w:type="dxa"/>
            <w:vMerge w:val="continue"/>
            <w:tcBorders>
              <w:top w:val="single" w:color="000000" w:sz="4" w:space="0"/>
              <w:left w:val="single" w:color="000000" w:sz="4" w:space="0"/>
              <w:bottom w:val="nil"/>
              <w:right w:val="nil"/>
            </w:tcBorders>
            <w:shd w:val="clear" w:color="auto" w:fill="FFFFFF"/>
            <w:noWrap w:val="0"/>
            <w:vAlign w:val="center"/>
          </w:tcPr>
          <w:p w14:paraId="5E932D02">
            <w:pPr>
              <w:jc w:val="center"/>
              <w:rPr>
                <w:rFonts w:hint="eastAsia" w:ascii="宋体" w:hAnsi="宋体" w:eastAsia="宋体" w:cs="宋体"/>
                <w:i w:val="0"/>
                <w:iCs w:val="0"/>
                <w:color w:val="auto"/>
                <w:sz w:val="18"/>
                <w:szCs w:val="18"/>
                <w:highlight w:val="none"/>
                <w:u w:val="none"/>
              </w:rPr>
            </w:pPr>
          </w:p>
        </w:tc>
        <w:tc>
          <w:tcPr>
            <w:tcW w:w="720" w:type="dxa"/>
            <w:vMerge w:val="continue"/>
            <w:tcBorders>
              <w:top w:val="single" w:color="000000" w:sz="4" w:space="0"/>
              <w:left w:val="single" w:color="000000" w:sz="4" w:space="0"/>
              <w:bottom w:val="nil"/>
              <w:right w:val="nil"/>
            </w:tcBorders>
            <w:shd w:val="clear" w:color="auto" w:fill="FFFFFF"/>
            <w:noWrap w:val="0"/>
            <w:vAlign w:val="center"/>
          </w:tcPr>
          <w:p w14:paraId="3C20A458">
            <w:pPr>
              <w:jc w:val="center"/>
              <w:rPr>
                <w:rFonts w:hint="eastAsia" w:ascii="宋体" w:hAnsi="宋体" w:eastAsia="宋体" w:cs="宋体"/>
                <w:i w:val="0"/>
                <w:iCs w:val="0"/>
                <w:color w:val="auto"/>
                <w:sz w:val="18"/>
                <w:szCs w:val="18"/>
                <w:highlight w:val="none"/>
                <w:u w:val="none"/>
              </w:rPr>
            </w:pPr>
          </w:p>
        </w:tc>
        <w:tc>
          <w:tcPr>
            <w:tcW w:w="720" w:type="dxa"/>
            <w:vMerge w:val="continue"/>
            <w:tcBorders>
              <w:top w:val="single" w:color="000000" w:sz="4" w:space="0"/>
              <w:left w:val="single" w:color="000000" w:sz="4" w:space="0"/>
              <w:bottom w:val="nil"/>
              <w:right w:val="nil"/>
            </w:tcBorders>
            <w:shd w:val="clear" w:color="auto" w:fill="FFFFFF"/>
            <w:noWrap w:val="0"/>
            <w:vAlign w:val="center"/>
          </w:tcPr>
          <w:p w14:paraId="208C57C7">
            <w:pPr>
              <w:jc w:val="center"/>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17D750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工日</w:t>
            </w: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3686BE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金额</w:t>
            </w:r>
          </w:p>
        </w:tc>
        <w:tc>
          <w:tcPr>
            <w:tcW w:w="720" w:type="dxa"/>
            <w:vMerge w:val="continue"/>
            <w:tcBorders>
              <w:top w:val="single" w:color="000000" w:sz="4" w:space="0"/>
              <w:left w:val="single" w:color="000000" w:sz="4" w:space="0"/>
              <w:bottom w:val="nil"/>
              <w:right w:val="nil"/>
            </w:tcBorders>
            <w:shd w:val="clear" w:color="auto" w:fill="FFFFFF"/>
            <w:noWrap w:val="0"/>
            <w:vAlign w:val="center"/>
          </w:tcPr>
          <w:p w14:paraId="216D80AB">
            <w:pPr>
              <w:jc w:val="center"/>
              <w:rPr>
                <w:rFonts w:hint="eastAsia" w:ascii="宋体" w:hAnsi="宋体" w:eastAsia="宋体" w:cs="宋体"/>
                <w:i w:val="0"/>
                <w:iCs w:val="0"/>
                <w:color w:val="auto"/>
                <w:sz w:val="18"/>
                <w:szCs w:val="18"/>
                <w:highlight w:val="none"/>
                <w:u w:val="none"/>
              </w:rPr>
            </w:pPr>
          </w:p>
        </w:tc>
        <w:tc>
          <w:tcPr>
            <w:tcW w:w="690" w:type="dxa"/>
            <w:tcBorders>
              <w:top w:val="single" w:color="000000" w:sz="4" w:space="0"/>
              <w:left w:val="single" w:color="000000" w:sz="4" w:space="0"/>
              <w:bottom w:val="nil"/>
              <w:right w:val="nil"/>
            </w:tcBorders>
            <w:shd w:val="clear" w:color="auto" w:fill="FFFFFF"/>
            <w:noWrap w:val="0"/>
            <w:vAlign w:val="center"/>
          </w:tcPr>
          <w:p w14:paraId="35AFCC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金额</w:t>
            </w:r>
          </w:p>
        </w:tc>
        <w:tc>
          <w:tcPr>
            <w:tcW w:w="720" w:type="dxa"/>
            <w:tcBorders>
              <w:top w:val="single" w:color="000000" w:sz="4" w:space="0"/>
              <w:left w:val="single" w:color="000000" w:sz="4" w:space="0"/>
              <w:bottom w:val="nil"/>
              <w:right w:val="nil"/>
            </w:tcBorders>
            <w:shd w:val="clear" w:color="auto" w:fill="FFFFFF"/>
            <w:noWrap w:val="0"/>
            <w:vAlign w:val="center"/>
          </w:tcPr>
          <w:p w14:paraId="1E4ADC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720" w:type="dxa"/>
            <w:tcBorders>
              <w:top w:val="single" w:color="000000" w:sz="4" w:space="0"/>
              <w:left w:val="single" w:color="000000" w:sz="4" w:space="0"/>
              <w:bottom w:val="nil"/>
              <w:right w:val="nil"/>
            </w:tcBorders>
            <w:shd w:val="clear" w:color="auto" w:fill="FFFFFF"/>
            <w:noWrap w:val="0"/>
            <w:vAlign w:val="center"/>
          </w:tcPr>
          <w:p w14:paraId="7FE095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金额</w:t>
            </w:r>
          </w:p>
        </w:tc>
        <w:tc>
          <w:tcPr>
            <w:tcW w:w="720" w:type="dxa"/>
            <w:tcBorders>
              <w:top w:val="single" w:color="000000" w:sz="4" w:space="0"/>
              <w:left w:val="single" w:color="000000" w:sz="4" w:space="0"/>
              <w:bottom w:val="nil"/>
              <w:right w:val="nil"/>
            </w:tcBorders>
            <w:shd w:val="clear" w:color="auto" w:fill="FFFFFF"/>
            <w:noWrap w:val="0"/>
            <w:vAlign w:val="center"/>
          </w:tcPr>
          <w:p w14:paraId="01D684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720" w:type="dxa"/>
            <w:tcBorders>
              <w:top w:val="single" w:color="000000" w:sz="4" w:space="0"/>
              <w:left w:val="single" w:color="000000" w:sz="4" w:space="0"/>
              <w:bottom w:val="nil"/>
              <w:right w:val="nil"/>
            </w:tcBorders>
            <w:shd w:val="clear" w:color="auto" w:fill="FFFFFF"/>
            <w:noWrap w:val="0"/>
            <w:vAlign w:val="center"/>
          </w:tcPr>
          <w:p w14:paraId="2617F6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金额</w:t>
            </w:r>
          </w:p>
        </w:tc>
        <w:tc>
          <w:tcPr>
            <w:tcW w:w="720" w:type="dxa"/>
            <w:tcBorders>
              <w:top w:val="single" w:color="000000" w:sz="4" w:space="0"/>
              <w:left w:val="single" w:color="000000" w:sz="4" w:space="0"/>
              <w:bottom w:val="nil"/>
              <w:right w:val="nil"/>
            </w:tcBorders>
            <w:shd w:val="clear" w:color="auto" w:fill="FFFFFF"/>
            <w:noWrap w:val="0"/>
            <w:vAlign w:val="center"/>
          </w:tcPr>
          <w:p w14:paraId="21B92B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720" w:type="dxa"/>
            <w:tcBorders>
              <w:top w:val="single" w:color="000000" w:sz="4" w:space="0"/>
              <w:left w:val="single" w:color="000000" w:sz="4" w:space="0"/>
              <w:bottom w:val="nil"/>
              <w:right w:val="nil"/>
            </w:tcBorders>
            <w:shd w:val="clear" w:color="auto" w:fill="FFFFFF"/>
            <w:noWrap w:val="0"/>
            <w:vAlign w:val="center"/>
          </w:tcPr>
          <w:p w14:paraId="3A04D9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金额</w:t>
            </w:r>
          </w:p>
        </w:tc>
        <w:tc>
          <w:tcPr>
            <w:tcW w:w="720" w:type="dxa"/>
            <w:tcBorders>
              <w:top w:val="single" w:color="000000" w:sz="4" w:space="0"/>
              <w:left w:val="single" w:color="000000" w:sz="4" w:space="0"/>
              <w:bottom w:val="nil"/>
              <w:right w:val="nil"/>
            </w:tcBorders>
            <w:shd w:val="clear" w:color="auto" w:fill="FFFFFF"/>
            <w:noWrap w:val="0"/>
            <w:vAlign w:val="center"/>
          </w:tcPr>
          <w:p w14:paraId="78B9D6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720" w:type="dxa"/>
            <w:tcBorders>
              <w:top w:val="single" w:color="000000" w:sz="4" w:space="0"/>
              <w:left w:val="single" w:color="000000" w:sz="4" w:space="0"/>
              <w:bottom w:val="nil"/>
              <w:right w:val="nil"/>
            </w:tcBorders>
            <w:shd w:val="clear" w:color="auto" w:fill="FFFFFF"/>
            <w:noWrap w:val="0"/>
            <w:vAlign w:val="center"/>
          </w:tcPr>
          <w:p w14:paraId="664234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金额</w:t>
            </w:r>
          </w:p>
        </w:tc>
        <w:tc>
          <w:tcPr>
            <w:tcW w:w="720" w:type="dxa"/>
            <w:tcBorders>
              <w:top w:val="single" w:color="000000" w:sz="4" w:space="0"/>
              <w:left w:val="single" w:color="000000" w:sz="4" w:space="0"/>
              <w:bottom w:val="nil"/>
              <w:right w:val="nil"/>
            </w:tcBorders>
            <w:shd w:val="clear" w:color="auto" w:fill="FFFFFF"/>
            <w:noWrap w:val="0"/>
            <w:vAlign w:val="center"/>
          </w:tcPr>
          <w:p w14:paraId="770AC2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用量</w:t>
            </w: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56CA05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金额</w:t>
            </w:r>
          </w:p>
        </w:tc>
      </w:tr>
      <w:tr w14:paraId="6CE52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353888AF">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610D94B5">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EAF2AA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15DDFC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F3D74C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81DFA2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43FA50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EFB30E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7C6A1C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4C80EE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4FFDF4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8D086E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91C963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C8D8E25">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78AB5E87">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039E49C9">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234866B5">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237988DF">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728AF146">
            <w:pPr>
              <w:jc w:val="right"/>
              <w:rPr>
                <w:rFonts w:hint="eastAsia" w:ascii="宋体" w:hAnsi="宋体" w:eastAsia="宋体" w:cs="宋体"/>
                <w:i w:val="0"/>
                <w:iCs w:val="0"/>
                <w:color w:val="auto"/>
                <w:sz w:val="18"/>
                <w:szCs w:val="18"/>
                <w:highlight w:val="none"/>
                <w:u w:val="none"/>
              </w:rPr>
            </w:pPr>
          </w:p>
        </w:tc>
      </w:tr>
      <w:tr w14:paraId="68A2B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3E1D176A">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02A1580E">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B2DC9E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7EE7DE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AF3E9F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5BF588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89FEFB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33E3EC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712A89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9FF85E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FA6F3B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A4CEE8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2609F5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BC4223A">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3FA8CB72">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0F4AED4F">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37AEDECC">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657A02AB">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521537BE">
            <w:pPr>
              <w:jc w:val="right"/>
              <w:rPr>
                <w:rFonts w:hint="eastAsia" w:ascii="宋体" w:hAnsi="宋体" w:eastAsia="宋体" w:cs="宋体"/>
                <w:i w:val="0"/>
                <w:iCs w:val="0"/>
                <w:color w:val="auto"/>
                <w:sz w:val="18"/>
                <w:szCs w:val="18"/>
                <w:highlight w:val="none"/>
                <w:u w:val="none"/>
              </w:rPr>
            </w:pPr>
          </w:p>
        </w:tc>
      </w:tr>
      <w:tr w14:paraId="639E2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76056B30">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4DB9FDA6">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0F17C5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437D7A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A55A40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8DEC81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483E92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E9D424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27F527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2A55A7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CB9822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40857B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8460EE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C0C4294">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3E06E2FC">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451D17B7">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2C1CC71E">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737535D2">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4D9A8077">
            <w:pPr>
              <w:jc w:val="right"/>
              <w:rPr>
                <w:rFonts w:hint="eastAsia" w:ascii="宋体" w:hAnsi="宋体" w:eastAsia="宋体" w:cs="宋体"/>
                <w:i w:val="0"/>
                <w:iCs w:val="0"/>
                <w:color w:val="auto"/>
                <w:sz w:val="18"/>
                <w:szCs w:val="18"/>
                <w:highlight w:val="none"/>
                <w:u w:val="none"/>
              </w:rPr>
            </w:pPr>
          </w:p>
        </w:tc>
      </w:tr>
      <w:tr w14:paraId="1068B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5E5EE7CD">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7A633D9B">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830338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59D612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7F9672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63AB53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63F6C9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5BCDF8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1FD0E7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0EBB9B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F7CB0F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36F388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BB15F6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80333E7">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1127572F">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3AAC03E1">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5434EBB7">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69875ED2">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6D4079C7">
            <w:pPr>
              <w:jc w:val="right"/>
              <w:rPr>
                <w:rFonts w:hint="eastAsia" w:ascii="宋体" w:hAnsi="宋体" w:eastAsia="宋体" w:cs="宋体"/>
                <w:i w:val="0"/>
                <w:iCs w:val="0"/>
                <w:color w:val="auto"/>
                <w:sz w:val="18"/>
                <w:szCs w:val="18"/>
                <w:highlight w:val="none"/>
                <w:u w:val="none"/>
              </w:rPr>
            </w:pPr>
          </w:p>
        </w:tc>
      </w:tr>
      <w:tr w14:paraId="5A1A4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02C1E7FC">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1C6AC27C">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2017D9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E76235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AA9751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7C308E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E440F1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13F14D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F88D0F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C42818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201760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09C784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3F381A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450BC9B">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39858A3B">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3C82519A">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40EC150D">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6729EDA1">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5454E1BB">
            <w:pPr>
              <w:jc w:val="right"/>
              <w:rPr>
                <w:rFonts w:hint="eastAsia" w:ascii="宋体" w:hAnsi="宋体" w:eastAsia="宋体" w:cs="宋体"/>
                <w:i w:val="0"/>
                <w:iCs w:val="0"/>
                <w:color w:val="auto"/>
                <w:sz w:val="18"/>
                <w:szCs w:val="18"/>
                <w:highlight w:val="none"/>
                <w:u w:val="none"/>
              </w:rPr>
            </w:pPr>
          </w:p>
        </w:tc>
      </w:tr>
      <w:tr w14:paraId="7C5B9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0A292B16">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1DAC27E5">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D632BA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7F493C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6F8EE3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188B72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086675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C74898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F8A6E3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75F818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04CFDF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A09EC9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D4DD09B">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C75FDA4">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70FD9C60">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735853E2">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3847083F">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26B029C4">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07AC6561">
            <w:pPr>
              <w:jc w:val="right"/>
              <w:rPr>
                <w:rFonts w:hint="eastAsia" w:ascii="宋体" w:hAnsi="宋体" w:eastAsia="宋体" w:cs="宋体"/>
                <w:i w:val="0"/>
                <w:iCs w:val="0"/>
                <w:color w:val="auto"/>
                <w:sz w:val="18"/>
                <w:szCs w:val="18"/>
                <w:highlight w:val="none"/>
                <w:u w:val="none"/>
              </w:rPr>
            </w:pPr>
          </w:p>
        </w:tc>
      </w:tr>
      <w:tr w14:paraId="50AAD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662CB86B">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60B01482">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8464D0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0F5BF1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CD5841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6E6114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6F49A7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0E7456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18EFE3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D85804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4378F1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4527AA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B3E05CE">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030F7E7">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54562C5B">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18513A3F">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0FE3A2F4">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0EE81982">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00F9A4CE">
            <w:pPr>
              <w:jc w:val="right"/>
              <w:rPr>
                <w:rFonts w:hint="eastAsia" w:ascii="宋体" w:hAnsi="宋体" w:eastAsia="宋体" w:cs="宋体"/>
                <w:i w:val="0"/>
                <w:iCs w:val="0"/>
                <w:color w:val="auto"/>
                <w:sz w:val="18"/>
                <w:szCs w:val="18"/>
                <w:highlight w:val="none"/>
                <w:u w:val="none"/>
              </w:rPr>
            </w:pPr>
          </w:p>
        </w:tc>
      </w:tr>
      <w:tr w14:paraId="6782A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4A1DBF75">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1106F8D5">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476414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CDFEDE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7E8717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5E2035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550130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4617F9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074F23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B277E9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075AA4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D4F10E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5E6BBC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A35175B">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591576E3">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1CA768EF">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1982AE59">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3CE060A6">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7F4E719C">
            <w:pPr>
              <w:jc w:val="right"/>
              <w:rPr>
                <w:rFonts w:hint="eastAsia" w:ascii="宋体" w:hAnsi="宋体" w:eastAsia="宋体" w:cs="宋体"/>
                <w:i w:val="0"/>
                <w:iCs w:val="0"/>
                <w:color w:val="auto"/>
                <w:sz w:val="18"/>
                <w:szCs w:val="18"/>
                <w:highlight w:val="none"/>
                <w:u w:val="none"/>
              </w:rPr>
            </w:pPr>
          </w:p>
        </w:tc>
      </w:tr>
      <w:tr w14:paraId="43340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43967A38">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1F189CEC">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18363E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DD3A66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8B8F5B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A338FA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D522CA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B86B9C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075C27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5D8AE6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68662B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E78135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B608A13">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679E535">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4170E29D">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5589E109">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5AEF9639">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47A914AC">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4B300641">
            <w:pPr>
              <w:jc w:val="right"/>
              <w:rPr>
                <w:rFonts w:hint="eastAsia" w:ascii="宋体" w:hAnsi="宋体" w:eastAsia="宋体" w:cs="宋体"/>
                <w:i w:val="0"/>
                <w:iCs w:val="0"/>
                <w:color w:val="auto"/>
                <w:sz w:val="18"/>
                <w:szCs w:val="18"/>
                <w:highlight w:val="none"/>
                <w:u w:val="none"/>
              </w:rPr>
            </w:pPr>
          </w:p>
        </w:tc>
      </w:tr>
      <w:tr w14:paraId="47DCD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52BE328E">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7FB2ABF1">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F8AE7F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18D947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4EE23E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C4FEC8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452CB2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176D14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4F7BC5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5DFF3C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6161E64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35B56BD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FD7510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1DD2A492">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0B73F44A">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78CD37CC">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594F2CC4">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4C322BEE">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3CDE2CEA">
            <w:pPr>
              <w:jc w:val="right"/>
              <w:rPr>
                <w:rFonts w:hint="eastAsia" w:ascii="宋体" w:hAnsi="宋体" w:eastAsia="宋体" w:cs="宋体"/>
                <w:i w:val="0"/>
                <w:iCs w:val="0"/>
                <w:color w:val="auto"/>
                <w:sz w:val="18"/>
                <w:szCs w:val="18"/>
                <w:highlight w:val="none"/>
                <w:u w:val="none"/>
              </w:rPr>
            </w:pPr>
          </w:p>
        </w:tc>
      </w:tr>
      <w:tr w14:paraId="18671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nil"/>
              <w:right w:val="nil"/>
            </w:tcBorders>
            <w:shd w:val="clear" w:color="auto" w:fill="FFFFFF"/>
            <w:noWrap w:val="0"/>
            <w:vAlign w:val="center"/>
          </w:tcPr>
          <w:p w14:paraId="48C9680C">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nil"/>
              <w:right w:val="nil"/>
            </w:tcBorders>
            <w:shd w:val="clear" w:color="auto" w:fill="FFFFFF"/>
            <w:noWrap w:val="0"/>
            <w:vAlign w:val="center"/>
          </w:tcPr>
          <w:p w14:paraId="6E5BB487">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5F42BD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A00C51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5CE323A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DCDCC2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64AC8C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012783C">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99916B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6205430">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23E2A267">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7FA7F355">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4E0819B9">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nil"/>
              <w:right w:val="nil"/>
            </w:tcBorders>
            <w:shd w:val="clear" w:color="auto" w:fill="FFFFFF"/>
            <w:noWrap/>
            <w:vAlign w:val="center"/>
          </w:tcPr>
          <w:p w14:paraId="03785FC8">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2017C476">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4C0830DF">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1321B5DE">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nil"/>
            </w:tcBorders>
            <w:shd w:val="clear" w:color="auto" w:fill="FFFFFF"/>
            <w:noWrap w:val="0"/>
            <w:vAlign w:val="center"/>
          </w:tcPr>
          <w:p w14:paraId="73A385E2">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nil"/>
              <w:right w:val="single" w:color="000000" w:sz="4" w:space="0"/>
            </w:tcBorders>
            <w:shd w:val="clear" w:color="auto" w:fill="FFFFFF"/>
            <w:noWrap w:val="0"/>
            <w:vAlign w:val="center"/>
          </w:tcPr>
          <w:p w14:paraId="15E3EA74">
            <w:pPr>
              <w:jc w:val="right"/>
              <w:rPr>
                <w:rFonts w:hint="eastAsia" w:ascii="宋体" w:hAnsi="宋体" w:eastAsia="宋体" w:cs="宋体"/>
                <w:i w:val="0"/>
                <w:iCs w:val="0"/>
                <w:color w:val="auto"/>
                <w:sz w:val="18"/>
                <w:szCs w:val="18"/>
                <w:highlight w:val="none"/>
                <w:u w:val="none"/>
              </w:rPr>
            </w:pPr>
          </w:p>
        </w:tc>
      </w:tr>
      <w:tr w14:paraId="4C9C7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00" w:type="dxa"/>
            <w:tcBorders>
              <w:top w:val="single" w:color="000000" w:sz="4" w:space="0"/>
              <w:left w:val="single" w:color="000000" w:sz="4" w:space="0"/>
              <w:bottom w:val="single" w:color="auto" w:sz="4" w:space="0"/>
              <w:right w:val="nil"/>
            </w:tcBorders>
            <w:shd w:val="clear" w:color="auto" w:fill="FFFFFF"/>
            <w:noWrap w:val="0"/>
            <w:vAlign w:val="center"/>
          </w:tcPr>
          <w:p w14:paraId="69E7C279">
            <w:pPr>
              <w:jc w:val="center"/>
              <w:rPr>
                <w:rFonts w:hint="eastAsia" w:ascii="宋体" w:hAnsi="宋体" w:eastAsia="宋体" w:cs="宋体"/>
                <w:i w:val="0"/>
                <w:iCs w:val="0"/>
                <w:color w:val="auto"/>
                <w:sz w:val="18"/>
                <w:szCs w:val="18"/>
                <w:highlight w:val="none"/>
                <w:u w:val="none"/>
              </w:rPr>
            </w:pPr>
          </w:p>
        </w:tc>
        <w:tc>
          <w:tcPr>
            <w:tcW w:w="2430" w:type="dxa"/>
            <w:tcBorders>
              <w:top w:val="single" w:color="000000" w:sz="4" w:space="0"/>
              <w:left w:val="single" w:color="000000" w:sz="4" w:space="0"/>
              <w:bottom w:val="single" w:color="auto" w:sz="4" w:space="0"/>
              <w:right w:val="nil"/>
            </w:tcBorders>
            <w:shd w:val="clear" w:color="auto" w:fill="FFFFFF"/>
            <w:noWrap w:val="0"/>
            <w:vAlign w:val="center"/>
          </w:tcPr>
          <w:p w14:paraId="3D7A51F9">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7F3E540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3FD2929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3E068F61">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3BB3958D">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77BC5574">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65692A8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68E9456A">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151A527F">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7D4DB698">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585AF6D2">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7CD08C56">
            <w:pPr>
              <w:jc w:val="righ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auto" w:sz="4" w:space="0"/>
              <w:right w:val="nil"/>
            </w:tcBorders>
            <w:shd w:val="clear" w:color="auto" w:fill="FFFFFF"/>
            <w:noWrap/>
            <w:vAlign w:val="center"/>
          </w:tcPr>
          <w:p w14:paraId="11B33783">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single" w:color="auto" w:sz="4" w:space="0"/>
              <w:right w:val="nil"/>
            </w:tcBorders>
            <w:shd w:val="clear" w:color="auto" w:fill="FFFFFF"/>
            <w:noWrap w:val="0"/>
            <w:vAlign w:val="center"/>
          </w:tcPr>
          <w:p w14:paraId="0AB792E6">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single" w:color="auto" w:sz="4" w:space="0"/>
              <w:right w:val="nil"/>
            </w:tcBorders>
            <w:shd w:val="clear" w:color="auto" w:fill="FFFFFF"/>
            <w:noWrap w:val="0"/>
            <w:vAlign w:val="center"/>
          </w:tcPr>
          <w:p w14:paraId="34A6BC3F">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single" w:color="auto" w:sz="4" w:space="0"/>
              <w:right w:val="nil"/>
            </w:tcBorders>
            <w:shd w:val="clear" w:color="auto" w:fill="FFFFFF"/>
            <w:noWrap w:val="0"/>
            <w:vAlign w:val="center"/>
          </w:tcPr>
          <w:p w14:paraId="38B6283C">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single" w:color="auto" w:sz="4" w:space="0"/>
              <w:right w:val="nil"/>
            </w:tcBorders>
            <w:shd w:val="clear" w:color="auto" w:fill="FFFFFF"/>
            <w:noWrap w:val="0"/>
            <w:vAlign w:val="center"/>
          </w:tcPr>
          <w:p w14:paraId="630BBED2">
            <w:pPr>
              <w:jc w:val="right"/>
              <w:rPr>
                <w:rFonts w:hint="eastAsia" w:ascii="宋体" w:hAnsi="宋体" w:eastAsia="宋体" w:cs="宋体"/>
                <w:i w:val="0"/>
                <w:iCs w:val="0"/>
                <w:color w:val="auto"/>
                <w:sz w:val="18"/>
                <w:szCs w:val="18"/>
                <w:highlight w:val="none"/>
                <w:u w:val="none"/>
              </w:rPr>
            </w:pPr>
          </w:p>
        </w:tc>
        <w:tc>
          <w:tcPr>
            <w:tcW w:w="720"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1CCA5B4B">
            <w:pPr>
              <w:jc w:val="right"/>
              <w:rPr>
                <w:rFonts w:hint="eastAsia" w:ascii="宋体" w:hAnsi="宋体" w:eastAsia="宋体" w:cs="宋体"/>
                <w:i w:val="0"/>
                <w:iCs w:val="0"/>
                <w:color w:val="auto"/>
                <w:sz w:val="18"/>
                <w:szCs w:val="18"/>
                <w:highlight w:val="none"/>
                <w:u w:val="none"/>
              </w:rPr>
            </w:pPr>
          </w:p>
        </w:tc>
      </w:tr>
    </w:tbl>
    <w:p w14:paraId="44520078">
      <w:pPr>
        <w:pStyle w:val="8"/>
        <w:spacing w:line="253" w:lineRule="auto"/>
        <w:rPr>
          <w:color w:val="auto"/>
          <w:highlight w:val="none"/>
        </w:rPr>
        <w:sectPr>
          <w:pgSz w:w="16840" w:h="11905" w:orient="landscape"/>
          <w:pgMar w:top="1587" w:right="400" w:bottom="1442" w:left="1255" w:header="0" w:footer="1093" w:gutter="0"/>
          <w:pgNumType w:fmt="decimal"/>
          <w:cols w:space="720" w:num="1"/>
        </w:sectPr>
      </w:pPr>
    </w:p>
    <w:p w14:paraId="798F8AE3">
      <w:pPr>
        <w:pStyle w:val="8"/>
        <w:spacing w:line="253" w:lineRule="auto"/>
        <w:rPr>
          <w:color w:val="auto"/>
          <w:highlight w:val="none"/>
        </w:rPr>
      </w:pPr>
    </w:p>
    <w:p w14:paraId="2BBB0411">
      <w:pPr>
        <w:pStyle w:val="8"/>
        <w:spacing w:line="254" w:lineRule="auto"/>
        <w:rPr>
          <w:color w:val="auto"/>
          <w:highlight w:val="none"/>
        </w:rPr>
      </w:pPr>
    </w:p>
    <w:p w14:paraId="6AA8BE0E">
      <w:pPr>
        <w:spacing w:before="87" w:line="228" w:lineRule="auto"/>
        <w:ind w:left="3281"/>
        <w:outlineLvl w:val="0"/>
        <w:rPr>
          <w:rFonts w:ascii="宋体" w:hAnsi="宋体" w:eastAsia="宋体" w:cs="宋体"/>
          <w:color w:val="auto"/>
          <w:sz w:val="27"/>
          <w:szCs w:val="27"/>
          <w:highlight w:val="none"/>
        </w:rPr>
      </w:pPr>
      <w:bookmarkStart w:id="210" w:name="_Toc25381"/>
      <w:r>
        <w:rPr>
          <w:rFonts w:ascii="宋体" w:hAnsi="宋体" w:eastAsia="宋体" w:cs="宋体"/>
          <w:b/>
          <w:bCs/>
          <w:color w:val="auto"/>
          <w:spacing w:val="6"/>
          <w:sz w:val="27"/>
          <w:szCs w:val="27"/>
          <w:highlight w:val="none"/>
        </w:rPr>
        <w:t>六、施工组织设计</w:t>
      </w:r>
      <w:bookmarkEnd w:id="210"/>
    </w:p>
    <w:p w14:paraId="1A541785">
      <w:pPr>
        <w:pStyle w:val="8"/>
        <w:spacing w:line="246" w:lineRule="auto"/>
        <w:rPr>
          <w:color w:val="auto"/>
          <w:highlight w:val="none"/>
        </w:rPr>
      </w:pPr>
    </w:p>
    <w:p w14:paraId="1B3D329D">
      <w:pPr>
        <w:spacing w:before="78" w:line="359" w:lineRule="auto"/>
        <w:ind w:left="8" w:firstLine="489"/>
        <w:jc w:val="both"/>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  </w:t>
      </w:r>
      <w:r>
        <w:rPr>
          <w:rFonts w:ascii="宋体" w:hAnsi="宋体" w:eastAsia="宋体" w:cs="宋体"/>
          <w:color w:val="auto"/>
          <w:spacing w:val="-1"/>
          <w:sz w:val="24"/>
          <w:szCs w:val="24"/>
          <w:highlight w:val="none"/>
        </w:rPr>
        <w:t>投标人编制施工组织设计时应采用文字并结合图表形式说明工程的施工组织、</w:t>
      </w:r>
      <w:r>
        <w:rPr>
          <w:rFonts w:ascii="宋体" w:hAnsi="宋体" w:eastAsia="宋体" w:cs="宋体"/>
          <w:color w:val="auto"/>
          <w:spacing w:val="12"/>
          <w:sz w:val="24"/>
          <w:szCs w:val="24"/>
          <w:highlight w:val="none"/>
        </w:rPr>
        <w:t xml:space="preserve"> </w:t>
      </w:r>
      <w:r>
        <w:rPr>
          <w:rFonts w:ascii="宋体" w:hAnsi="宋体" w:eastAsia="宋体" w:cs="宋体"/>
          <w:color w:val="auto"/>
          <w:spacing w:val="-9"/>
          <w:sz w:val="24"/>
          <w:szCs w:val="24"/>
          <w:highlight w:val="none"/>
        </w:rPr>
        <w:t>施工方法、技术组织措施，同时应对关键工序、复杂环节重点提出相应技术措施， 如</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冬雨季施工技术、减少噪音、降低环境污染、地下管线及其它地上地下设施的保护加</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固措施等。施工组织设计还应结合工程特点提出切实可行的工程质量、工程进度、安</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全生产、防汛度汛、文明施工、水土保持、环境保护管理方案等。</w:t>
      </w:r>
    </w:p>
    <w:p w14:paraId="0AF445DE">
      <w:pPr>
        <w:spacing w:before="1" w:line="218"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施工组织设计应附的文字说明及附图见下表（不限于</w:t>
      </w:r>
      <w:r>
        <w:rPr>
          <w:rFonts w:ascii="宋体" w:hAnsi="宋体" w:eastAsia="宋体" w:cs="宋体"/>
          <w:color w:val="auto"/>
          <w:spacing w:val="-3"/>
          <w:sz w:val="24"/>
          <w:szCs w:val="24"/>
          <w:highlight w:val="none"/>
        </w:rPr>
        <w:t>，仅供参考</w:t>
      </w:r>
      <w:r>
        <w:rPr>
          <w:rFonts w:ascii="宋体" w:hAnsi="宋体" w:eastAsia="宋体" w:cs="宋体"/>
          <w:color w:val="auto"/>
          <w:spacing w:val="-1"/>
          <w:sz w:val="24"/>
          <w:szCs w:val="24"/>
          <w:highlight w:val="none"/>
        </w:rPr>
        <w:t>）：</w:t>
      </w:r>
    </w:p>
    <w:p w14:paraId="4490C210">
      <w:pPr>
        <w:spacing w:line="146" w:lineRule="exact"/>
        <w:rPr>
          <w:color w:val="auto"/>
          <w:highlight w:val="none"/>
        </w:rPr>
      </w:pPr>
    </w:p>
    <w:tbl>
      <w:tblPr>
        <w:tblStyle w:val="16"/>
        <w:tblW w:w="8812"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9"/>
        <w:gridCol w:w="7097"/>
        <w:gridCol w:w="926"/>
      </w:tblGrid>
      <w:tr w14:paraId="41817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789" w:type="dxa"/>
            <w:tcBorders>
              <w:top w:val="single" w:color="000000" w:sz="6" w:space="0"/>
              <w:left w:val="single" w:color="000000" w:sz="6" w:space="0"/>
            </w:tcBorders>
            <w:noWrap w:val="0"/>
            <w:vAlign w:val="top"/>
          </w:tcPr>
          <w:p w14:paraId="5F23A47F">
            <w:pPr>
              <w:pStyle w:val="17"/>
              <w:spacing w:before="127" w:line="221" w:lineRule="auto"/>
              <w:ind w:left="151"/>
              <w:rPr>
                <w:color w:val="auto"/>
                <w:sz w:val="24"/>
                <w:szCs w:val="24"/>
                <w:highlight w:val="none"/>
              </w:rPr>
            </w:pPr>
            <w:r>
              <w:rPr>
                <w:b/>
                <w:bCs/>
                <w:color w:val="auto"/>
                <w:spacing w:val="-5"/>
                <w:sz w:val="24"/>
                <w:szCs w:val="24"/>
                <w:highlight w:val="none"/>
              </w:rPr>
              <w:t>序号</w:t>
            </w:r>
          </w:p>
        </w:tc>
        <w:tc>
          <w:tcPr>
            <w:tcW w:w="7097" w:type="dxa"/>
            <w:tcBorders>
              <w:top w:val="single" w:color="000000" w:sz="6" w:space="0"/>
            </w:tcBorders>
            <w:noWrap w:val="0"/>
            <w:vAlign w:val="top"/>
          </w:tcPr>
          <w:p w14:paraId="28FFCBE3">
            <w:pPr>
              <w:pStyle w:val="17"/>
              <w:spacing w:before="127" w:line="222" w:lineRule="auto"/>
              <w:ind w:left="2712"/>
              <w:rPr>
                <w:color w:val="auto"/>
                <w:sz w:val="24"/>
                <w:szCs w:val="24"/>
                <w:highlight w:val="none"/>
              </w:rPr>
            </w:pPr>
            <w:r>
              <w:rPr>
                <w:b/>
                <w:bCs/>
                <w:color w:val="auto"/>
                <w:spacing w:val="-9"/>
                <w:sz w:val="24"/>
                <w:szCs w:val="24"/>
                <w:highlight w:val="none"/>
              </w:rPr>
              <w:t>名</w:t>
            </w:r>
            <w:r>
              <w:rPr>
                <w:color w:val="auto"/>
                <w:spacing w:val="1"/>
                <w:sz w:val="24"/>
                <w:szCs w:val="24"/>
                <w:highlight w:val="none"/>
              </w:rPr>
              <w:t xml:space="preserve">          </w:t>
            </w:r>
            <w:r>
              <w:rPr>
                <w:b/>
                <w:bCs/>
                <w:color w:val="auto"/>
                <w:spacing w:val="-9"/>
                <w:sz w:val="24"/>
                <w:szCs w:val="24"/>
                <w:highlight w:val="none"/>
              </w:rPr>
              <w:t>称</w:t>
            </w:r>
          </w:p>
        </w:tc>
        <w:tc>
          <w:tcPr>
            <w:tcW w:w="926" w:type="dxa"/>
            <w:tcBorders>
              <w:top w:val="single" w:color="000000" w:sz="6" w:space="0"/>
              <w:right w:val="single" w:color="000000" w:sz="6" w:space="0"/>
            </w:tcBorders>
            <w:noWrap w:val="0"/>
            <w:vAlign w:val="top"/>
          </w:tcPr>
          <w:p w14:paraId="372333E0">
            <w:pPr>
              <w:pStyle w:val="17"/>
              <w:spacing w:before="127" w:line="221" w:lineRule="auto"/>
              <w:ind w:left="231"/>
              <w:rPr>
                <w:color w:val="auto"/>
                <w:sz w:val="24"/>
                <w:szCs w:val="24"/>
                <w:highlight w:val="none"/>
              </w:rPr>
            </w:pPr>
            <w:r>
              <w:rPr>
                <w:b/>
                <w:bCs/>
                <w:color w:val="auto"/>
                <w:spacing w:val="-6"/>
                <w:sz w:val="24"/>
                <w:szCs w:val="24"/>
                <w:highlight w:val="none"/>
              </w:rPr>
              <w:t>备注</w:t>
            </w:r>
          </w:p>
        </w:tc>
      </w:tr>
      <w:tr w14:paraId="35FA7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789" w:type="dxa"/>
            <w:tcBorders>
              <w:left w:val="single" w:color="000000" w:sz="6" w:space="0"/>
            </w:tcBorders>
            <w:noWrap w:val="0"/>
            <w:vAlign w:val="top"/>
          </w:tcPr>
          <w:p w14:paraId="3C4FEC5B">
            <w:pPr>
              <w:spacing w:before="163" w:line="188" w:lineRule="auto"/>
              <w:ind w:left="35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1</w:t>
            </w:r>
          </w:p>
        </w:tc>
        <w:tc>
          <w:tcPr>
            <w:tcW w:w="7097" w:type="dxa"/>
            <w:noWrap w:val="0"/>
            <w:vAlign w:val="top"/>
          </w:tcPr>
          <w:p w14:paraId="14FDD314">
            <w:pPr>
              <w:pStyle w:val="17"/>
              <w:spacing w:before="120" w:line="219" w:lineRule="auto"/>
              <w:ind w:left="82"/>
              <w:rPr>
                <w:color w:val="auto"/>
                <w:sz w:val="24"/>
                <w:szCs w:val="24"/>
                <w:highlight w:val="none"/>
              </w:rPr>
            </w:pPr>
            <w:r>
              <w:rPr>
                <w:color w:val="auto"/>
                <w:spacing w:val="-1"/>
                <w:sz w:val="24"/>
                <w:szCs w:val="24"/>
                <w:highlight w:val="none"/>
              </w:rPr>
              <w:t>施工围堰设计说明书及附图（包括加高、维护、拆除）</w:t>
            </w:r>
          </w:p>
        </w:tc>
        <w:tc>
          <w:tcPr>
            <w:tcW w:w="926" w:type="dxa"/>
            <w:tcBorders>
              <w:right w:val="single" w:color="000000" w:sz="6" w:space="0"/>
            </w:tcBorders>
            <w:noWrap w:val="0"/>
            <w:vAlign w:val="top"/>
          </w:tcPr>
          <w:p w14:paraId="1EC3B519">
            <w:pPr>
              <w:rPr>
                <w:rFonts w:ascii="Arial"/>
                <w:color w:val="auto"/>
                <w:sz w:val="21"/>
                <w:highlight w:val="none"/>
              </w:rPr>
            </w:pPr>
          </w:p>
        </w:tc>
      </w:tr>
      <w:tr w14:paraId="2241B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noWrap w:val="0"/>
            <w:vAlign w:val="top"/>
          </w:tcPr>
          <w:p w14:paraId="485E2450">
            <w:pPr>
              <w:spacing w:before="163" w:line="188" w:lineRule="auto"/>
              <w:ind w:left="32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2</w:t>
            </w:r>
          </w:p>
        </w:tc>
        <w:tc>
          <w:tcPr>
            <w:tcW w:w="7097" w:type="dxa"/>
            <w:noWrap w:val="0"/>
            <w:vAlign w:val="top"/>
          </w:tcPr>
          <w:p w14:paraId="59BDDD74">
            <w:pPr>
              <w:pStyle w:val="17"/>
              <w:spacing w:before="121" w:line="219" w:lineRule="auto"/>
              <w:ind w:left="82"/>
              <w:rPr>
                <w:color w:val="auto"/>
                <w:sz w:val="24"/>
                <w:szCs w:val="24"/>
                <w:highlight w:val="none"/>
              </w:rPr>
            </w:pPr>
            <w:r>
              <w:rPr>
                <w:color w:val="auto"/>
                <w:spacing w:val="-1"/>
                <w:sz w:val="24"/>
                <w:szCs w:val="24"/>
                <w:highlight w:val="none"/>
              </w:rPr>
              <w:t>施工排水设计说明书及附图（包括降水方案、场地排水等）</w:t>
            </w:r>
          </w:p>
        </w:tc>
        <w:tc>
          <w:tcPr>
            <w:tcW w:w="926" w:type="dxa"/>
            <w:tcBorders>
              <w:right w:val="single" w:color="000000" w:sz="6" w:space="0"/>
            </w:tcBorders>
            <w:noWrap w:val="0"/>
            <w:vAlign w:val="top"/>
          </w:tcPr>
          <w:p w14:paraId="5F118FA6">
            <w:pPr>
              <w:rPr>
                <w:rFonts w:ascii="Arial"/>
                <w:color w:val="auto"/>
                <w:sz w:val="21"/>
                <w:highlight w:val="none"/>
              </w:rPr>
            </w:pPr>
          </w:p>
        </w:tc>
      </w:tr>
      <w:tr w14:paraId="5C782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789" w:type="dxa"/>
            <w:tcBorders>
              <w:left w:val="single" w:color="000000" w:sz="6" w:space="0"/>
            </w:tcBorders>
            <w:noWrap w:val="0"/>
            <w:vAlign w:val="top"/>
          </w:tcPr>
          <w:p w14:paraId="0EF46553">
            <w:pPr>
              <w:spacing w:before="285" w:line="188" w:lineRule="auto"/>
              <w:ind w:left="33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3</w:t>
            </w:r>
          </w:p>
        </w:tc>
        <w:tc>
          <w:tcPr>
            <w:tcW w:w="7097" w:type="dxa"/>
            <w:noWrap w:val="0"/>
            <w:vAlign w:val="top"/>
          </w:tcPr>
          <w:p w14:paraId="2915FFBA">
            <w:pPr>
              <w:pStyle w:val="17"/>
              <w:spacing w:before="86" w:line="242" w:lineRule="auto"/>
              <w:ind w:left="84" w:right="74" w:hanging="1"/>
              <w:rPr>
                <w:color w:val="auto"/>
                <w:sz w:val="24"/>
                <w:szCs w:val="24"/>
                <w:highlight w:val="none"/>
              </w:rPr>
            </w:pPr>
            <w:r>
              <w:rPr>
                <w:color w:val="auto"/>
                <w:spacing w:val="-7"/>
                <w:sz w:val="24"/>
                <w:szCs w:val="24"/>
                <w:highlight w:val="none"/>
              </w:rPr>
              <w:t>材料采购（黄砂、碎石、块石的产地、矿名等均应</w:t>
            </w:r>
            <w:r>
              <w:rPr>
                <w:color w:val="auto"/>
                <w:spacing w:val="-8"/>
                <w:sz w:val="24"/>
                <w:szCs w:val="24"/>
                <w:highlight w:val="none"/>
              </w:rPr>
              <w:t>明示，</w:t>
            </w:r>
            <w:r>
              <w:rPr>
                <w:color w:val="auto"/>
                <w:spacing w:val="58"/>
                <w:sz w:val="24"/>
                <w:szCs w:val="24"/>
                <w:highlight w:val="none"/>
              </w:rPr>
              <w:t xml:space="preserve"> </w:t>
            </w:r>
            <w:r>
              <w:rPr>
                <w:color w:val="auto"/>
                <w:spacing w:val="-8"/>
                <w:sz w:val="24"/>
                <w:szCs w:val="24"/>
                <w:highlight w:val="none"/>
              </w:rPr>
              <w:t>钢材、水</w:t>
            </w:r>
            <w:r>
              <w:rPr>
                <w:color w:val="auto"/>
                <w:sz w:val="24"/>
                <w:szCs w:val="24"/>
                <w:highlight w:val="none"/>
              </w:rPr>
              <w:t xml:space="preserve"> </w:t>
            </w:r>
            <w:r>
              <w:rPr>
                <w:color w:val="auto"/>
                <w:spacing w:val="-1"/>
                <w:sz w:val="24"/>
                <w:szCs w:val="24"/>
                <w:highlight w:val="none"/>
              </w:rPr>
              <w:t>泥的生产厂家，转运方案：卸料、短驳、运输、道路维护等）</w:t>
            </w:r>
          </w:p>
        </w:tc>
        <w:tc>
          <w:tcPr>
            <w:tcW w:w="926" w:type="dxa"/>
            <w:tcBorders>
              <w:right w:val="single" w:color="000000" w:sz="6" w:space="0"/>
            </w:tcBorders>
            <w:noWrap w:val="0"/>
            <w:vAlign w:val="top"/>
          </w:tcPr>
          <w:p w14:paraId="4AD88821">
            <w:pPr>
              <w:rPr>
                <w:rFonts w:ascii="Arial"/>
                <w:color w:val="auto"/>
                <w:sz w:val="21"/>
                <w:highlight w:val="none"/>
              </w:rPr>
            </w:pPr>
          </w:p>
        </w:tc>
      </w:tr>
      <w:tr w14:paraId="7B339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789" w:type="dxa"/>
            <w:tcBorders>
              <w:left w:val="single" w:color="000000" w:sz="6" w:space="0"/>
            </w:tcBorders>
            <w:noWrap w:val="0"/>
            <w:vAlign w:val="top"/>
          </w:tcPr>
          <w:p w14:paraId="3DAA569F">
            <w:pPr>
              <w:spacing w:before="286" w:line="188" w:lineRule="auto"/>
              <w:ind w:left="32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4</w:t>
            </w:r>
          </w:p>
        </w:tc>
        <w:tc>
          <w:tcPr>
            <w:tcW w:w="7097" w:type="dxa"/>
            <w:noWrap w:val="0"/>
            <w:vAlign w:val="top"/>
          </w:tcPr>
          <w:p w14:paraId="6E310D99">
            <w:pPr>
              <w:pStyle w:val="17"/>
              <w:spacing w:before="89" w:line="241" w:lineRule="auto"/>
              <w:ind w:left="84" w:right="84"/>
              <w:rPr>
                <w:color w:val="auto"/>
                <w:sz w:val="24"/>
                <w:szCs w:val="24"/>
                <w:highlight w:val="none"/>
              </w:rPr>
            </w:pPr>
            <w:r>
              <w:rPr>
                <w:color w:val="auto"/>
                <w:spacing w:val="-2"/>
                <w:sz w:val="24"/>
                <w:szCs w:val="24"/>
                <w:highlight w:val="none"/>
              </w:rPr>
              <w:t>土方工程施工说明书及附图（施工工艺及质量保证措施和有关试验</w:t>
            </w:r>
            <w:r>
              <w:rPr>
                <w:color w:val="auto"/>
                <w:spacing w:val="14"/>
                <w:sz w:val="24"/>
                <w:szCs w:val="24"/>
                <w:highlight w:val="none"/>
              </w:rPr>
              <w:t xml:space="preserve"> </w:t>
            </w:r>
            <w:r>
              <w:rPr>
                <w:color w:val="auto"/>
                <w:spacing w:val="-2"/>
                <w:sz w:val="24"/>
                <w:szCs w:val="24"/>
                <w:highlight w:val="none"/>
              </w:rPr>
              <w:t>要求，施工进度工期计划等）</w:t>
            </w:r>
          </w:p>
        </w:tc>
        <w:tc>
          <w:tcPr>
            <w:tcW w:w="926" w:type="dxa"/>
            <w:tcBorders>
              <w:right w:val="single" w:color="000000" w:sz="6" w:space="0"/>
            </w:tcBorders>
            <w:noWrap w:val="0"/>
            <w:vAlign w:val="top"/>
          </w:tcPr>
          <w:p w14:paraId="2820BB33">
            <w:pPr>
              <w:rPr>
                <w:rFonts w:ascii="Arial"/>
                <w:color w:val="auto"/>
                <w:sz w:val="21"/>
                <w:highlight w:val="none"/>
              </w:rPr>
            </w:pPr>
          </w:p>
        </w:tc>
      </w:tr>
      <w:tr w14:paraId="669AD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789" w:type="dxa"/>
            <w:tcBorders>
              <w:left w:val="single" w:color="000000" w:sz="6" w:space="0"/>
            </w:tcBorders>
            <w:noWrap w:val="0"/>
            <w:vAlign w:val="top"/>
          </w:tcPr>
          <w:p w14:paraId="765911F8">
            <w:pPr>
              <w:spacing w:before="290" w:line="185" w:lineRule="auto"/>
              <w:ind w:left="33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5</w:t>
            </w:r>
          </w:p>
        </w:tc>
        <w:tc>
          <w:tcPr>
            <w:tcW w:w="7097" w:type="dxa"/>
            <w:noWrap w:val="0"/>
            <w:vAlign w:val="top"/>
          </w:tcPr>
          <w:p w14:paraId="77A2B11A">
            <w:pPr>
              <w:pStyle w:val="17"/>
              <w:spacing w:before="89" w:line="241" w:lineRule="auto"/>
              <w:ind w:left="83" w:right="84"/>
              <w:rPr>
                <w:color w:val="auto"/>
                <w:sz w:val="24"/>
                <w:szCs w:val="24"/>
                <w:highlight w:val="none"/>
              </w:rPr>
            </w:pPr>
            <w:r>
              <w:rPr>
                <w:color w:val="auto"/>
                <w:spacing w:val="-2"/>
                <w:sz w:val="24"/>
                <w:szCs w:val="24"/>
                <w:highlight w:val="none"/>
              </w:rPr>
              <w:t>基坑支护、地基加固工程施工说明书及附图（施工工艺及质量保证</w:t>
            </w:r>
            <w:r>
              <w:rPr>
                <w:color w:val="auto"/>
                <w:spacing w:val="15"/>
                <w:sz w:val="24"/>
                <w:szCs w:val="24"/>
                <w:highlight w:val="none"/>
              </w:rPr>
              <w:t xml:space="preserve"> </w:t>
            </w:r>
            <w:r>
              <w:rPr>
                <w:color w:val="auto"/>
                <w:spacing w:val="-2"/>
                <w:sz w:val="24"/>
                <w:szCs w:val="24"/>
                <w:highlight w:val="none"/>
              </w:rPr>
              <w:t>措施和有关试验要求，施工进度工期计划等）</w:t>
            </w:r>
          </w:p>
        </w:tc>
        <w:tc>
          <w:tcPr>
            <w:tcW w:w="926" w:type="dxa"/>
            <w:tcBorders>
              <w:right w:val="single" w:color="000000" w:sz="6" w:space="0"/>
            </w:tcBorders>
            <w:noWrap w:val="0"/>
            <w:vAlign w:val="top"/>
          </w:tcPr>
          <w:p w14:paraId="1B345407">
            <w:pPr>
              <w:rPr>
                <w:rFonts w:ascii="Arial"/>
                <w:color w:val="auto"/>
                <w:sz w:val="21"/>
                <w:highlight w:val="none"/>
              </w:rPr>
            </w:pPr>
          </w:p>
        </w:tc>
      </w:tr>
      <w:tr w14:paraId="041B9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789" w:type="dxa"/>
            <w:tcBorders>
              <w:left w:val="single" w:color="000000" w:sz="6" w:space="0"/>
            </w:tcBorders>
            <w:noWrap w:val="0"/>
            <w:vAlign w:val="top"/>
          </w:tcPr>
          <w:p w14:paraId="5CE72953">
            <w:pPr>
              <w:spacing w:before="287" w:line="188" w:lineRule="auto"/>
              <w:ind w:left="33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6</w:t>
            </w:r>
          </w:p>
        </w:tc>
        <w:tc>
          <w:tcPr>
            <w:tcW w:w="7097" w:type="dxa"/>
            <w:noWrap w:val="0"/>
            <w:vAlign w:val="top"/>
          </w:tcPr>
          <w:p w14:paraId="38CD2B28">
            <w:pPr>
              <w:pStyle w:val="17"/>
              <w:spacing w:before="90" w:line="241" w:lineRule="auto"/>
              <w:ind w:left="86" w:right="86" w:hanging="1"/>
              <w:rPr>
                <w:color w:val="auto"/>
                <w:sz w:val="24"/>
                <w:szCs w:val="24"/>
                <w:highlight w:val="none"/>
              </w:rPr>
            </w:pPr>
            <w:r>
              <w:rPr>
                <w:color w:val="auto"/>
                <w:spacing w:val="-2"/>
                <w:sz w:val="24"/>
                <w:szCs w:val="24"/>
                <w:highlight w:val="none"/>
              </w:rPr>
              <w:t>主体建筑物工程施工说明书及附图（施工工艺及质量保证措施和有</w:t>
            </w:r>
            <w:r>
              <w:rPr>
                <w:color w:val="auto"/>
                <w:spacing w:val="11"/>
                <w:sz w:val="24"/>
                <w:szCs w:val="24"/>
                <w:highlight w:val="none"/>
              </w:rPr>
              <w:t xml:space="preserve"> </w:t>
            </w:r>
            <w:r>
              <w:rPr>
                <w:color w:val="auto"/>
                <w:spacing w:val="-2"/>
                <w:sz w:val="24"/>
                <w:szCs w:val="24"/>
                <w:highlight w:val="none"/>
              </w:rPr>
              <w:t>关试验要求，施工进度工期计划等）</w:t>
            </w:r>
          </w:p>
        </w:tc>
        <w:tc>
          <w:tcPr>
            <w:tcW w:w="926" w:type="dxa"/>
            <w:tcBorders>
              <w:right w:val="single" w:color="000000" w:sz="6" w:space="0"/>
            </w:tcBorders>
            <w:noWrap w:val="0"/>
            <w:vAlign w:val="top"/>
          </w:tcPr>
          <w:p w14:paraId="5C2C9CEF">
            <w:pPr>
              <w:rPr>
                <w:rFonts w:ascii="Arial"/>
                <w:color w:val="auto"/>
                <w:sz w:val="21"/>
                <w:highlight w:val="none"/>
              </w:rPr>
            </w:pPr>
          </w:p>
        </w:tc>
      </w:tr>
      <w:tr w14:paraId="4D95A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noWrap w:val="0"/>
            <w:vAlign w:val="top"/>
          </w:tcPr>
          <w:p w14:paraId="55151571">
            <w:pPr>
              <w:spacing w:before="171" w:line="185" w:lineRule="auto"/>
              <w:ind w:left="333"/>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7</w:t>
            </w:r>
          </w:p>
        </w:tc>
        <w:tc>
          <w:tcPr>
            <w:tcW w:w="7097" w:type="dxa"/>
            <w:noWrap w:val="0"/>
            <w:vAlign w:val="top"/>
          </w:tcPr>
          <w:p w14:paraId="64666FAC">
            <w:pPr>
              <w:pStyle w:val="17"/>
              <w:spacing w:before="124" w:line="219" w:lineRule="auto"/>
              <w:ind w:left="85"/>
              <w:rPr>
                <w:color w:val="auto"/>
                <w:sz w:val="24"/>
                <w:szCs w:val="24"/>
                <w:highlight w:val="none"/>
              </w:rPr>
            </w:pPr>
            <w:r>
              <w:rPr>
                <w:color w:val="auto"/>
                <w:spacing w:val="-1"/>
                <w:sz w:val="24"/>
                <w:szCs w:val="24"/>
                <w:highlight w:val="none"/>
              </w:rPr>
              <w:t>金属结构制造和安装计划、措施及附图</w:t>
            </w:r>
          </w:p>
        </w:tc>
        <w:tc>
          <w:tcPr>
            <w:tcW w:w="926" w:type="dxa"/>
            <w:tcBorders>
              <w:right w:val="single" w:color="000000" w:sz="6" w:space="0"/>
            </w:tcBorders>
            <w:noWrap w:val="0"/>
            <w:vAlign w:val="top"/>
          </w:tcPr>
          <w:p w14:paraId="7B85CC10">
            <w:pPr>
              <w:rPr>
                <w:rFonts w:ascii="Arial"/>
                <w:color w:val="auto"/>
                <w:sz w:val="21"/>
                <w:highlight w:val="none"/>
              </w:rPr>
            </w:pPr>
          </w:p>
        </w:tc>
      </w:tr>
      <w:tr w14:paraId="7AA3C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noWrap w:val="0"/>
            <w:vAlign w:val="top"/>
          </w:tcPr>
          <w:p w14:paraId="5D94B26B">
            <w:pPr>
              <w:spacing w:before="169" w:line="188" w:lineRule="auto"/>
              <w:ind w:left="33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8</w:t>
            </w:r>
          </w:p>
        </w:tc>
        <w:tc>
          <w:tcPr>
            <w:tcW w:w="7097" w:type="dxa"/>
            <w:noWrap w:val="0"/>
            <w:vAlign w:val="top"/>
          </w:tcPr>
          <w:p w14:paraId="2F208632">
            <w:pPr>
              <w:pStyle w:val="17"/>
              <w:spacing w:before="125" w:line="219" w:lineRule="auto"/>
              <w:ind w:left="82"/>
              <w:rPr>
                <w:color w:val="auto"/>
                <w:sz w:val="24"/>
                <w:szCs w:val="24"/>
                <w:highlight w:val="none"/>
              </w:rPr>
            </w:pPr>
            <w:r>
              <w:rPr>
                <w:color w:val="auto"/>
                <w:spacing w:val="-1"/>
                <w:sz w:val="24"/>
                <w:szCs w:val="24"/>
                <w:highlight w:val="none"/>
              </w:rPr>
              <w:t>机电设备安装、调试方案、施工进度计划说明书</w:t>
            </w:r>
          </w:p>
        </w:tc>
        <w:tc>
          <w:tcPr>
            <w:tcW w:w="926" w:type="dxa"/>
            <w:tcBorders>
              <w:right w:val="single" w:color="000000" w:sz="6" w:space="0"/>
            </w:tcBorders>
            <w:noWrap w:val="0"/>
            <w:vAlign w:val="top"/>
          </w:tcPr>
          <w:p w14:paraId="1DF6B1DE">
            <w:pPr>
              <w:rPr>
                <w:rFonts w:ascii="Arial"/>
                <w:color w:val="auto"/>
                <w:sz w:val="21"/>
                <w:highlight w:val="none"/>
              </w:rPr>
            </w:pPr>
          </w:p>
        </w:tc>
      </w:tr>
      <w:tr w14:paraId="3B2D3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789" w:type="dxa"/>
            <w:tcBorders>
              <w:left w:val="single" w:color="000000" w:sz="6" w:space="0"/>
            </w:tcBorders>
            <w:noWrap w:val="0"/>
            <w:vAlign w:val="top"/>
          </w:tcPr>
          <w:p w14:paraId="242C1D36">
            <w:pPr>
              <w:spacing w:before="271" w:line="188" w:lineRule="auto"/>
              <w:ind w:left="33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9</w:t>
            </w:r>
          </w:p>
        </w:tc>
        <w:tc>
          <w:tcPr>
            <w:tcW w:w="7097" w:type="dxa"/>
            <w:noWrap w:val="0"/>
            <w:vAlign w:val="top"/>
          </w:tcPr>
          <w:p w14:paraId="42F2755C">
            <w:pPr>
              <w:pStyle w:val="17"/>
              <w:spacing w:before="73" w:line="235" w:lineRule="auto"/>
              <w:ind w:left="86" w:right="74"/>
              <w:rPr>
                <w:color w:val="auto"/>
                <w:sz w:val="24"/>
                <w:szCs w:val="24"/>
                <w:highlight w:val="none"/>
              </w:rPr>
            </w:pPr>
            <w:r>
              <w:rPr>
                <w:color w:val="auto"/>
                <w:spacing w:val="-1"/>
                <w:sz w:val="24"/>
                <w:szCs w:val="24"/>
                <w:highlight w:val="none"/>
              </w:rPr>
              <w:t>建筑与装修工程施工说明书（施工工艺及质量保证措</w:t>
            </w:r>
            <w:r>
              <w:rPr>
                <w:color w:val="auto"/>
                <w:spacing w:val="-2"/>
                <w:sz w:val="24"/>
                <w:szCs w:val="24"/>
                <w:highlight w:val="none"/>
              </w:rPr>
              <w:t>施，施工进度</w:t>
            </w:r>
            <w:r>
              <w:rPr>
                <w:color w:val="auto"/>
                <w:sz w:val="24"/>
                <w:szCs w:val="24"/>
                <w:highlight w:val="none"/>
              </w:rPr>
              <w:t xml:space="preserve"> </w:t>
            </w:r>
            <w:r>
              <w:rPr>
                <w:color w:val="auto"/>
                <w:spacing w:val="-4"/>
                <w:sz w:val="24"/>
                <w:szCs w:val="24"/>
                <w:highlight w:val="none"/>
              </w:rPr>
              <w:t>工期计划等）</w:t>
            </w:r>
          </w:p>
        </w:tc>
        <w:tc>
          <w:tcPr>
            <w:tcW w:w="926" w:type="dxa"/>
            <w:tcBorders>
              <w:right w:val="single" w:color="000000" w:sz="6" w:space="0"/>
            </w:tcBorders>
            <w:noWrap w:val="0"/>
            <w:vAlign w:val="top"/>
          </w:tcPr>
          <w:p w14:paraId="3B98813E">
            <w:pPr>
              <w:rPr>
                <w:rFonts w:ascii="Arial"/>
                <w:color w:val="auto"/>
                <w:sz w:val="21"/>
                <w:highlight w:val="none"/>
              </w:rPr>
            </w:pPr>
          </w:p>
        </w:tc>
      </w:tr>
      <w:tr w14:paraId="600AF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noWrap w:val="0"/>
            <w:vAlign w:val="top"/>
          </w:tcPr>
          <w:p w14:paraId="181CC506">
            <w:pPr>
              <w:spacing w:before="171"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10</w:t>
            </w:r>
          </w:p>
        </w:tc>
        <w:tc>
          <w:tcPr>
            <w:tcW w:w="7097" w:type="dxa"/>
            <w:noWrap w:val="0"/>
            <w:vAlign w:val="top"/>
          </w:tcPr>
          <w:p w14:paraId="2729DC99">
            <w:pPr>
              <w:pStyle w:val="17"/>
              <w:spacing w:before="127" w:line="220" w:lineRule="auto"/>
              <w:ind w:left="86"/>
              <w:rPr>
                <w:color w:val="auto"/>
                <w:sz w:val="24"/>
                <w:szCs w:val="24"/>
                <w:highlight w:val="none"/>
              </w:rPr>
            </w:pPr>
            <w:r>
              <w:rPr>
                <w:color w:val="auto"/>
                <w:spacing w:val="-2"/>
                <w:sz w:val="24"/>
                <w:szCs w:val="24"/>
                <w:highlight w:val="none"/>
              </w:rPr>
              <w:t>工程质量管理方案</w:t>
            </w:r>
          </w:p>
        </w:tc>
        <w:tc>
          <w:tcPr>
            <w:tcW w:w="926" w:type="dxa"/>
            <w:tcBorders>
              <w:right w:val="single" w:color="000000" w:sz="6" w:space="0"/>
            </w:tcBorders>
            <w:noWrap w:val="0"/>
            <w:vAlign w:val="top"/>
          </w:tcPr>
          <w:p w14:paraId="6BA4ABEE">
            <w:pPr>
              <w:rPr>
                <w:rFonts w:ascii="Arial"/>
                <w:color w:val="auto"/>
                <w:sz w:val="21"/>
                <w:highlight w:val="none"/>
              </w:rPr>
            </w:pPr>
          </w:p>
        </w:tc>
      </w:tr>
      <w:tr w14:paraId="72FA9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noWrap w:val="0"/>
            <w:vAlign w:val="top"/>
          </w:tcPr>
          <w:p w14:paraId="0B56DE0C">
            <w:pPr>
              <w:spacing w:before="172"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11</w:t>
            </w:r>
          </w:p>
        </w:tc>
        <w:tc>
          <w:tcPr>
            <w:tcW w:w="7097" w:type="dxa"/>
            <w:noWrap w:val="0"/>
            <w:vAlign w:val="top"/>
          </w:tcPr>
          <w:p w14:paraId="543BDF68">
            <w:pPr>
              <w:pStyle w:val="17"/>
              <w:spacing w:before="130" w:line="220" w:lineRule="auto"/>
              <w:ind w:left="88"/>
              <w:rPr>
                <w:color w:val="auto"/>
                <w:sz w:val="24"/>
                <w:szCs w:val="24"/>
                <w:highlight w:val="none"/>
              </w:rPr>
            </w:pPr>
            <w:r>
              <w:rPr>
                <w:color w:val="auto"/>
                <w:spacing w:val="-2"/>
                <w:sz w:val="24"/>
                <w:szCs w:val="24"/>
                <w:highlight w:val="none"/>
              </w:rPr>
              <w:t>安全生产管理方案</w:t>
            </w:r>
          </w:p>
        </w:tc>
        <w:tc>
          <w:tcPr>
            <w:tcW w:w="926" w:type="dxa"/>
            <w:tcBorders>
              <w:right w:val="single" w:color="000000" w:sz="6" w:space="0"/>
            </w:tcBorders>
            <w:noWrap w:val="0"/>
            <w:vAlign w:val="top"/>
          </w:tcPr>
          <w:p w14:paraId="614B84D9">
            <w:pPr>
              <w:rPr>
                <w:rFonts w:ascii="Arial"/>
                <w:color w:val="auto"/>
                <w:sz w:val="21"/>
                <w:highlight w:val="none"/>
              </w:rPr>
            </w:pPr>
          </w:p>
        </w:tc>
      </w:tr>
      <w:tr w14:paraId="68234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noWrap w:val="0"/>
            <w:vAlign w:val="top"/>
          </w:tcPr>
          <w:p w14:paraId="63038C9D">
            <w:pPr>
              <w:spacing w:before="173"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12</w:t>
            </w:r>
          </w:p>
        </w:tc>
        <w:tc>
          <w:tcPr>
            <w:tcW w:w="7097" w:type="dxa"/>
            <w:noWrap w:val="0"/>
            <w:vAlign w:val="top"/>
          </w:tcPr>
          <w:p w14:paraId="757E0D5A">
            <w:pPr>
              <w:pStyle w:val="17"/>
              <w:spacing w:before="130" w:line="220" w:lineRule="auto"/>
              <w:ind w:left="98"/>
              <w:rPr>
                <w:color w:val="auto"/>
                <w:sz w:val="24"/>
                <w:szCs w:val="24"/>
                <w:highlight w:val="none"/>
              </w:rPr>
            </w:pPr>
            <w:r>
              <w:rPr>
                <w:color w:val="auto"/>
                <w:spacing w:val="-5"/>
                <w:sz w:val="24"/>
                <w:szCs w:val="24"/>
                <w:highlight w:val="none"/>
              </w:rPr>
              <w:t>防汛度汛</w:t>
            </w:r>
          </w:p>
        </w:tc>
        <w:tc>
          <w:tcPr>
            <w:tcW w:w="926" w:type="dxa"/>
            <w:tcBorders>
              <w:right w:val="single" w:color="000000" w:sz="6" w:space="0"/>
            </w:tcBorders>
            <w:noWrap w:val="0"/>
            <w:vAlign w:val="top"/>
          </w:tcPr>
          <w:p w14:paraId="005B5D49">
            <w:pPr>
              <w:rPr>
                <w:rFonts w:ascii="Arial"/>
                <w:color w:val="auto"/>
                <w:sz w:val="21"/>
                <w:highlight w:val="none"/>
              </w:rPr>
            </w:pPr>
          </w:p>
        </w:tc>
      </w:tr>
      <w:tr w14:paraId="2D755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noWrap w:val="0"/>
            <w:vAlign w:val="top"/>
          </w:tcPr>
          <w:p w14:paraId="08EC1917">
            <w:pPr>
              <w:spacing w:before="174"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13</w:t>
            </w:r>
          </w:p>
        </w:tc>
        <w:tc>
          <w:tcPr>
            <w:tcW w:w="7097" w:type="dxa"/>
            <w:noWrap w:val="0"/>
            <w:vAlign w:val="top"/>
          </w:tcPr>
          <w:p w14:paraId="7DFC4923">
            <w:pPr>
              <w:pStyle w:val="17"/>
              <w:spacing w:before="132" w:line="219" w:lineRule="auto"/>
              <w:ind w:left="88"/>
              <w:rPr>
                <w:color w:val="auto"/>
                <w:sz w:val="24"/>
                <w:szCs w:val="24"/>
                <w:highlight w:val="none"/>
              </w:rPr>
            </w:pPr>
            <w:r>
              <w:rPr>
                <w:color w:val="auto"/>
                <w:spacing w:val="-1"/>
                <w:sz w:val="24"/>
                <w:szCs w:val="24"/>
                <w:highlight w:val="none"/>
              </w:rPr>
              <w:t>安全、文明工地建设措施，为其它承包人提供方便的措施等</w:t>
            </w:r>
          </w:p>
        </w:tc>
        <w:tc>
          <w:tcPr>
            <w:tcW w:w="926" w:type="dxa"/>
            <w:tcBorders>
              <w:right w:val="single" w:color="000000" w:sz="6" w:space="0"/>
            </w:tcBorders>
            <w:noWrap w:val="0"/>
            <w:vAlign w:val="top"/>
          </w:tcPr>
          <w:p w14:paraId="44F5A056">
            <w:pPr>
              <w:rPr>
                <w:rFonts w:ascii="Arial"/>
                <w:color w:val="auto"/>
                <w:sz w:val="21"/>
                <w:highlight w:val="none"/>
              </w:rPr>
            </w:pPr>
          </w:p>
        </w:tc>
      </w:tr>
      <w:tr w14:paraId="6F704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789" w:type="dxa"/>
            <w:tcBorders>
              <w:left w:val="single" w:color="000000" w:sz="6" w:space="0"/>
            </w:tcBorders>
            <w:noWrap w:val="0"/>
            <w:vAlign w:val="top"/>
          </w:tcPr>
          <w:p w14:paraId="219DCF99">
            <w:pPr>
              <w:spacing w:before="170" w:line="192" w:lineRule="auto"/>
              <w:ind w:left="29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
                <w:sz w:val="24"/>
                <w:szCs w:val="24"/>
                <w:highlight w:val="none"/>
              </w:rPr>
              <w:t>l4</w:t>
            </w:r>
          </w:p>
        </w:tc>
        <w:tc>
          <w:tcPr>
            <w:tcW w:w="7097" w:type="dxa"/>
            <w:noWrap w:val="0"/>
            <w:vAlign w:val="top"/>
          </w:tcPr>
          <w:p w14:paraId="7602E7F1">
            <w:pPr>
              <w:pStyle w:val="17"/>
              <w:spacing w:before="131" w:line="220" w:lineRule="auto"/>
              <w:ind w:left="86"/>
              <w:rPr>
                <w:color w:val="auto"/>
                <w:sz w:val="24"/>
                <w:szCs w:val="24"/>
                <w:highlight w:val="none"/>
              </w:rPr>
            </w:pPr>
            <w:r>
              <w:rPr>
                <w:color w:val="auto"/>
                <w:spacing w:val="-1"/>
                <w:sz w:val="24"/>
                <w:szCs w:val="24"/>
                <w:highlight w:val="none"/>
              </w:rPr>
              <w:t>水土保持、环境保护管理方案</w:t>
            </w:r>
          </w:p>
        </w:tc>
        <w:tc>
          <w:tcPr>
            <w:tcW w:w="926" w:type="dxa"/>
            <w:tcBorders>
              <w:right w:val="single" w:color="000000" w:sz="6" w:space="0"/>
            </w:tcBorders>
            <w:noWrap w:val="0"/>
            <w:vAlign w:val="top"/>
          </w:tcPr>
          <w:p w14:paraId="41D4CC48">
            <w:pPr>
              <w:rPr>
                <w:rFonts w:ascii="Arial"/>
                <w:color w:val="auto"/>
                <w:sz w:val="21"/>
                <w:highlight w:val="none"/>
              </w:rPr>
            </w:pPr>
          </w:p>
        </w:tc>
      </w:tr>
      <w:tr w14:paraId="1B078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89" w:type="dxa"/>
            <w:tcBorders>
              <w:left w:val="single" w:color="000000" w:sz="6" w:space="0"/>
            </w:tcBorders>
            <w:noWrap w:val="0"/>
            <w:vAlign w:val="top"/>
          </w:tcPr>
          <w:p w14:paraId="44F9D52A">
            <w:pPr>
              <w:spacing w:before="176"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15</w:t>
            </w:r>
          </w:p>
        </w:tc>
        <w:tc>
          <w:tcPr>
            <w:tcW w:w="7097" w:type="dxa"/>
            <w:noWrap w:val="0"/>
            <w:vAlign w:val="top"/>
          </w:tcPr>
          <w:p w14:paraId="22458A41">
            <w:pPr>
              <w:pStyle w:val="17"/>
              <w:spacing w:before="135" w:line="220" w:lineRule="auto"/>
              <w:ind w:left="84"/>
              <w:rPr>
                <w:color w:val="auto"/>
                <w:sz w:val="24"/>
                <w:szCs w:val="24"/>
                <w:highlight w:val="none"/>
              </w:rPr>
            </w:pPr>
            <w:r>
              <w:rPr>
                <w:color w:val="auto"/>
                <w:spacing w:val="-1"/>
                <w:sz w:val="24"/>
                <w:szCs w:val="24"/>
                <w:highlight w:val="none"/>
              </w:rPr>
              <w:t>其它有关工程的施工工艺及进度计划</w:t>
            </w:r>
          </w:p>
        </w:tc>
        <w:tc>
          <w:tcPr>
            <w:tcW w:w="926" w:type="dxa"/>
            <w:tcBorders>
              <w:right w:val="single" w:color="000000" w:sz="6" w:space="0"/>
            </w:tcBorders>
            <w:noWrap w:val="0"/>
            <w:vAlign w:val="top"/>
          </w:tcPr>
          <w:p w14:paraId="4E996778">
            <w:pPr>
              <w:rPr>
                <w:rFonts w:ascii="Arial"/>
                <w:color w:val="auto"/>
                <w:sz w:val="21"/>
                <w:highlight w:val="none"/>
              </w:rPr>
            </w:pPr>
          </w:p>
        </w:tc>
      </w:tr>
      <w:tr w14:paraId="32D0E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89" w:type="dxa"/>
            <w:tcBorders>
              <w:left w:val="single" w:color="000000" w:sz="6" w:space="0"/>
              <w:bottom w:val="single" w:color="000000" w:sz="6" w:space="0"/>
            </w:tcBorders>
            <w:noWrap w:val="0"/>
            <w:vAlign w:val="top"/>
          </w:tcPr>
          <w:p w14:paraId="0D65EC5E">
            <w:pPr>
              <w:spacing w:before="177" w:line="188" w:lineRule="auto"/>
              <w:ind w:left="29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8"/>
                <w:sz w:val="24"/>
                <w:szCs w:val="24"/>
                <w:highlight w:val="none"/>
              </w:rPr>
              <w:t>16</w:t>
            </w:r>
          </w:p>
        </w:tc>
        <w:tc>
          <w:tcPr>
            <w:tcW w:w="7097" w:type="dxa"/>
            <w:tcBorders>
              <w:bottom w:val="single" w:color="000000" w:sz="6" w:space="0"/>
            </w:tcBorders>
            <w:noWrap w:val="0"/>
            <w:vAlign w:val="top"/>
          </w:tcPr>
          <w:p w14:paraId="7DCE699B">
            <w:pPr>
              <w:pStyle w:val="17"/>
              <w:spacing w:before="134" w:line="220" w:lineRule="auto"/>
              <w:ind w:left="84"/>
              <w:rPr>
                <w:color w:val="auto"/>
                <w:sz w:val="24"/>
                <w:szCs w:val="24"/>
                <w:highlight w:val="none"/>
              </w:rPr>
            </w:pPr>
            <w:r>
              <w:rPr>
                <w:color w:val="auto"/>
                <w:spacing w:val="-2"/>
                <w:sz w:val="24"/>
                <w:szCs w:val="24"/>
                <w:highlight w:val="none"/>
              </w:rPr>
              <w:t>有关施工建议</w:t>
            </w:r>
          </w:p>
        </w:tc>
        <w:tc>
          <w:tcPr>
            <w:tcW w:w="926" w:type="dxa"/>
            <w:tcBorders>
              <w:bottom w:val="single" w:color="000000" w:sz="6" w:space="0"/>
              <w:right w:val="single" w:color="000000" w:sz="6" w:space="0"/>
            </w:tcBorders>
            <w:noWrap w:val="0"/>
            <w:vAlign w:val="top"/>
          </w:tcPr>
          <w:p w14:paraId="31F2508A">
            <w:pPr>
              <w:rPr>
                <w:rFonts w:ascii="Arial"/>
                <w:color w:val="auto"/>
                <w:sz w:val="21"/>
                <w:highlight w:val="none"/>
              </w:rPr>
            </w:pPr>
          </w:p>
        </w:tc>
      </w:tr>
    </w:tbl>
    <w:p w14:paraId="446AF4FD">
      <w:pPr>
        <w:pStyle w:val="8"/>
        <w:rPr>
          <w:color w:val="auto"/>
          <w:highlight w:val="none"/>
        </w:rPr>
      </w:pPr>
    </w:p>
    <w:p w14:paraId="0651CF91">
      <w:pPr>
        <w:rPr>
          <w:color w:val="auto"/>
          <w:highlight w:val="none"/>
        </w:rPr>
        <w:sectPr>
          <w:pgSz w:w="11905" w:h="16840"/>
          <w:pgMar w:top="400" w:right="1442" w:bottom="1255" w:left="1587" w:header="0" w:footer="1093" w:gutter="0"/>
          <w:pgNumType w:fmt="decimal"/>
          <w:cols w:space="720" w:num="1"/>
        </w:sectPr>
      </w:pPr>
    </w:p>
    <w:p w14:paraId="080B1F01">
      <w:pPr>
        <w:pStyle w:val="8"/>
        <w:spacing w:line="280" w:lineRule="auto"/>
        <w:rPr>
          <w:color w:val="auto"/>
          <w:highlight w:val="none"/>
        </w:rPr>
      </w:pPr>
    </w:p>
    <w:p w14:paraId="6EB29641">
      <w:pPr>
        <w:pStyle w:val="8"/>
        <w:spacing w:line="280" w:lineRule="auto"/>
        <w:rPr>
          <w:color w:val="auto"/>
          <w:highlight w:val="none"/>
        </w:rPr>
      </w:pPr>
    </w:p>
    <w:p w14:paraId="1B72D69D">
      <w:pPr>
        <w:pStyle w:val="8"/>
        <w:spacing w:line="281" w:lineRule="auto"/>
        <w:rPr>
          <w:color w:val="auto"/>
          <w:highlight w:val="none"/>
        </w:rPr>
      </w:pPr>
    </w:p>
    <w:p w14:paraId="5F20D3EC">
      <w:pPr>
        <w:pStyle w:val="8"/>
        <w:spacing w:line="281" w:lineRule="auto"/>
        <w:rPr>
          <w:color w:val="auto"/>
          <w:highlight w:val="none"/>
        </w:rPr>
      </w:pPr>
    </w:p>
    <w:p w14:paraId="53706DF2">
      <w:pPr>
        <w:pStyle w:val="8"/>
        <w:spacing w:line="281" w:lineRule="auto"/>
        <w:rPr>
          <w:color w:val="auto"/>
          <w:highlight w:val="none"/>
        </w:rPr>
      </w:pPr>
    </w:p>
    <w:p w14:paraId="4666C899">
      <w:pPr>
        <w:spacing w:before="78" w:line="359" w:lineRule="auto"/>
        <w:ind w:left="309" w:right="420" w:hanging="1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2  </w:t>
      </w:r>
      <w:r>
        <w:rPr>
          <w:rFonts w:ascii="宋体" w:hAnsi="宋体" w:eastAsia="宋体" w:cs="宋体"/>
          <w:color w:val="auto"/>
          <w:spacing w:val="-1"/>
          <w:sz w:val="24"/>
          <w:szCs w:val="24"/>
          <w:highlight w:val="none"/>
        </w:rPr>
        <w:t>施工组织设计除采用文字表述外，应附下列图表，图表及</w:t>
      </w:r>
      <w:r>
        <w:rPr>
          <w:rFonts w:ascii="宋体" w:hAnsi="宋体" w:eastAsia="宋体" w:cs="宋体"/>
          <w:color w:val="auto"/>
          <w:spacing w:val="-2"/>
          <w:sz w:val="24"/>
          <w:szCs w:val="24"/>
          <w:highlight w:val="none"/>
        </w:rPr>
        <w:t>格式要求附后。</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附件一：拟投入本标段的主要施工设备表</w:t>
      </w:r>
    </w:p>
    <w:p w14:paraId="13265523">
      <w:pPr>
        <w:spacing w:before="1" w:line="218" w:lineRule="auto"/>
        <w:ind w:left="31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附件二：拟投入本标段的试验和检测仪器设备表</w:t>
      </w:r>
    </w:p>
    <w:p w14:paraId="2CF4AD30">
      <w:pPr>
        <w:spacing w:before="182" w:line="219" w:lineRule="auto"/>
        <w:ind w:left="31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附件三：拟投入本标段的劳动力计划表</w:t>
      </w:r>
    </w:p>
    <w:p w14:paraId="14943074">
      <w:pPr>
        <w:spacing w:before="182" w:line="219" w:lineRule="auto"/>
        <w:ind w:left="31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附件四：计划开工日期、完工日期和施工进度表</w:t>
      </w:r>
    </w:p>
    <w:p w14:paraId="3BC429B2">
      <w:pPr>
        <w:spacing w:before="182" w:line="219" w:lineRule="auto"/>
        <w:ind w:left="3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附件五：施工总平面图</w:t>
      </w:r>
    </w:p>
    <w:p w14:paraId="75B0ABA7">
      <w:pPr>
        <w:spacing w:before="182" w:line="219" w:lineRule="auto"/>
        <w:ind w:left="3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附表六：临时用地表</w:t>
      </w:r>
    </w:p>
    <w:p w14:paraId="0AB5CFDB">
      <w:pPr>
        <w:spacing w:line="219" w:lineRule="auto"/>
        <w:rPr>
          <w:rFonts w:ascii="宋体" w:hAnsi="宋体" w:eastAsia="宋体" w:cs="宋体"/>
          <w:color w:val="auto"/>
          <w:sz w:val="24"/>
          <w:szCs w:val="24"/>
          <w:highlight w:val="none"/>
        </w:rPr>
        <w:sectPr>
          <w:footerReference r:id="rId119" w:type="default"/>
          <w:pgSz w:w="11905" w:h="16840"/>
          <w:pgMar w:top="400" w:right="1529" w:bottom="1255" w:left="1785" w:header="0" w:footer="1093" w:gutter="0"/>
          <w:pgNumType w:fmt="decimal"/>
          <w:cols w:space="720" w:num="1"/>
        </w:sectPr>
      </w:pPr>
    </w:p>
    <w:p w14:paraId="303600A2">
      <w:pPr>
        <w:pStyle w:val="8"/>
        <w:spacing w:line="247" w:lineRule="auto"/>
        <w:rPr>
          <w:color w:val="auto"/>
          <w:highlight w:val="none"/>
        </w:rPr>
      </w:pPr>
    </w:p>
    <w:p w14:paraId="73EF5EF8">
      <w:pPr>
        <w:pStyle w:val="8"/>
        <w:spacing w:line="248" w:lineRule="auto"/>
        <w:rPr>
          <w:color w:val="auto"/>
          <w:highlight w:val="none"/>
        </w:rPr>
      </w:pPr>
    </w:p>
    <w:p w14:paraId="1A90030B">
      <w:pPr>
        <w:pStyle w:val="8"/>
        <w:spacing w:line="248" w:lineRule="auto"/>
        <w:rPr>
          <w:color w:val="auto"/>
          <w:highlight w:val="none"/>
        </w:rPr>
      </w:pPr>
    </w:p>
    <w:p w14:paraId="40CAD8E7">
      <w:pPr>
        <w:pStyle w:val="8"/>
        <w:spacing w:line="248" w:lineRule="auto"/>
        <w:rPr>
          <w:color w:val="auto"/>
          <w:highlight w:val="none"/>
        </w:rPr>
      </w:pPr>
    </w:p>
    <w:p w14:paraId="4EB3C419">
      <w:pPr>
        <w:spacing w:before="78" w:line="219" w:lineRule="auto"/>
        <w:ind w:left="28"/>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附件一：</w:t>
      </w:r>
    </w:p>
    <w:p w14:paraId="01B88B78">
      <w:pPr>
        <w:spacing w:before="182" w:line="219" w:lineRule="auto"/>
        <w:ind w:left="2716"/>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拟投入本标段的主要施工设备表</w:t>
      </w:r>
    </w:p>
    <w:p w14:paraId="554C2FAB">
      <w:pPr>
        <w:spacing w:line="146" w:lineRule="exact"/>
        <w:rPr>
          <w:color w:val="auto"/>
          <w:highlight w:val="none"/>
        </w:rPr>
      </w:pPr>
    </w:p>
    <w:tbl>
      <w:tblPr>
        <w:tblStyle w:val="16"/>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1072"/>
        <w:gridCol w:w="719"/>
        <w:gridCol w:w="739"/>
        <w:gridCol w:w="739"/>
        <w:gridCol w:w="856"/>
        <w:gridCol w:w="1270"/>
        <w:gridCol w:w="882"/>
        <w:gridCol w:w="979"/>
        <w:gridCol w:w="987"/>
      </w:tblGrid>
      <w:tr w14:paraId="3FB7EF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662" w:type="dxa"/>
            <w:tcBorders>
              <w:top w:val="single" w:color="000000" w:sz="6" w:space="0"/>
              <w:left w:val="single" w:color="000000" w:sz="6" w:space="0"/>
            </w:tcBorders>
            <w:noWrap w:val="0"/>
            <w:textDirection w:val="tbRlV"/>
            <w:vAlign w:val="top"/>
          </w:tcPr>
          <w:p w14:paraId="5DD1A8B6">
            <w:pPr>
              <w:pStyle w:val="17"/>
              <w:spacing w:before="209" w:line="210" w:lineRule="auto"/>
              <w:ind w:left="195"/>
              <w:rPr>
                <w:color w:val="auto"/>
                <w:sz w:val="24"/>
                <w:szCs w:val="24"/>
                <w:highlight w:val="none"/>
              </w:rPr>
            </w:pPr>
            <w:r>
              <w:rPr>
                <w:color w:val="auto"/>
                <w:spacing w:val="35"/>
                <w:sz w:val="24"/>
                <w:szCs w:val="24"/>
                <w:highlight w:val="none"/>
              </w:rPr>
              <w:t>序号</w:t>
            </w:r>
          </w:p>
        </w:tc>
        <w:tc>
          <w:tcPr>
            <w:tcW w:w="1072" w:type="dxa"/>
            <w:tcBorders>
              <w:top w:val="single" w:color="000000" w:sz="6" w:space="0"/>
            </w:tcBorders>
            <w:noWrap w:val="0"/>
            <w:vAlign w:val="top"/>
          </w:tcPr>
          <w:p w14:paraId="23173887">
            <w:pPr>
              <w:pStyle w:val="17"/>
              <w:spacing w:before="195" w:line="221" w:lineRule="auto"/>
              <w:ind w:left="302"/>
              <w:rPr>
                <w:color w:val="auto"/>
                <w:sz w:val="24"/>
                <w:szCs w:val="24"/>
                <w:highlight w:val="none"/>
              </w:rPr>
            </w:pPr>
            <w:r>
              <w:rPr>
                <w:color w:val="auto"/>
                <w:spacing w:val="-4"/>
                <w:sz w:val="24"/>
                <w:szCs w:val="24"/>
                <w:highlight w:val="none"/>
              </w:rPr>
              <w:t>设备</w:t>
            </w:r>
          </w:p>
          <w:p w14:paraId="5B736241">
            <w:pPr>
              <w:pStyle w:val="17"/>
              <w:spacing w:before="24" w:line="222" w:lineRule="auto"/>
              <w:ind w:left="301"/>
              <w:rPr>
                <w:color w:val="auto"/>
                <w:sz w:val="24"/>
                <w:szCs w:val="24"/>
                <w:highlight w:val="none"/>
              </w:rPr>
            </w:pPr>
            <w:r>
              <w:rPr>
                <w:color w:val="auto"/>
                <w:spacing w:val="-4"/>
                <w:sz w:val="24"/>
                <w:szCs w:val="24"/>
                <w:highlight w:val="none"/>
              </w:rPr>
              <w:t>名称</w:t>
            </w:r>
          </w:p>
        </w:tc>
        <w:tc>
          <w:tcPr>
            <w:tcW w:w="719" w:type="dxa"/>
            <w:tcBorders>
              <w:top w:val="single" w:color="000000" w:sz="6" w:space="0"/>
            </w:tcBorders>
            <w:noWrap w:val="0"/>
            <w:vAlign w:val="top"/>
          </w:tcPr>
          <w:p w14:paraId="1B1575BB">
            <w:pPr>
              <w:pStyle w:val="17"/>
              <w:spacing w:before="195" w:line="221" w:lineRule="auto"/>
              <w:ind w:left="131"/>
              <w:rPr>
                <w:color w:val="auto"/>
                <w:sz w:val="24"/>
                <w:szCs w:val="24"/>
                <w:highlight w:val="none"/>
              </w:rPr>
            </w:pPr>
            <w:r>
              <w:rPr>
                <w:color w:val="auto"/>
                <w:spacing w:val="-5"/>
                <w:sz w:val="24"/>
                <w:szCs w:val="24"/>
                <w:highlight w:val="none"/>
              </w:rPr>
              <w:t>型号</w:t>
            </w:r>
          </w:p>
          <w:p w14:paraId="55B14869">
            <w:pPr>
              <w:pStyle w:val="17"/>
              <w:spacing w:before="24" w:line="220" w:lineRule="auto"/>
              <w:ind w:left="125"/>
              <w:rPr>
                <w:color w:val="auto"/>
                <w:sz w:val="24"/>
                <w:szCs w:val="24"/>
                <w:highlight w:val="none"/>
              </w:rPr>
            </w:pPr>
            <w:r>
              <w:rPr>
                <w:color w:val="auto"/>
                <w:spacing w:val="-3"/>
                <w:sz w:val="24"/>
                <w:szCs w:val="24"/>
                <w:highlight w:val="none"/>
              </w:rPr>
              <w:t>规格</w:t>
            </w:r>
          </w:p>
        </w:tc>
        <w:tc>
          <w:tcPr>
            <w:tcW w:w="739" w:type="dxa"/>
            <w:tcBorders>
              <w:top w:val="single" w:color="000000" w:sz="6" w:space="0"/>
            </w:tcBorders>
            <w:noWrap w:val="0"/>
            <w:vAlign w:val="top"/>
          </w:tcPr>
          <w:p w14:paraId="4FDA01AB">
            <w:pPr>
              <w:spacing w:line="270" w:lineRule="auto"/>
              <w:rPr>
                <w:rFonts w:ascii="Arial"/>
                <w:color w:val="auto"/>
                <w:sz w:val="21"/>
                <w:highlight w:val="none"/>
              </w:rPr>
            </w:pPr>
          </w:p>
          <w:p w14:paraId="6FB312FC">
            <w:pPr>
              <w:pStyle w:val="17"/>
              <w:spacing w:before="78" w:line="220" w:lineRule="auto"/>
              <w:ind w:left="136"/>
              <w:rPr>
                <w:color w:val="auto"/>
                <w:sz w:val="24"/>
                <w:szCs w:val="24"/>
                <w:highlight w:val="none"/>
              </w:rPr>
            </w:pPr>
            <w:r>
              <w:rPr>
                <w:color w:val="auto"/>
                <w:spacing w:val="-3"/>
                <w:sz w:val="24"/>
                <w:szCs w:val="24"/>
                <w:highlight w:val="none"/>
              </w:rPr>
              <w:t>数量</w:t>
            </w:r>
          </w:p>
        </w:tc>
        <w:tc>
          <w:tcPr>
            <w:tcW w:w="739" w:type="dxa"/>
            <w:tcBorders>
              <w:top w:val="single" w:color="000000" w:sz="6" w:space="0"/>
            </w:tcBorders>
            <w:noWrap w:val="0"/>
            <w:vAlign w:val="top"/>
          </w:tcPr>
          <w:p w14:paraId="2A0DFE2C">
            <w:pPr>
              <w:pStyle w:val="17"/>
              <w:spacing w:before="195" w:line="220" w:lineRule="auto"/>
              <w:ind w:left="158"/>
              <w:rPr>
                <w:color w:val="auto"/>
                <w:sz w:val="24"/>
                <w:szCs w:val="24"/>
                <w:highlight w:val="none"/>
              </w:rPr>
            </w:pPr>
            <w:r>
              <w:rPr>
                <w:color w:val="auto"/>
                <w:spacing w:val="-9"/>
                <w:sz w:val="24"/>
                <w:szCs w:val="24"/>
                <w:highlight w:val="none"/>
              </w:rPr>
              <w:t>国别</w:t>
            </w:r>
          </w:p>
          <w:p w14:paraId="6D4F91E5">
            <w:pPr>
              <w:pStyle w:val="17"/>
              <w:spacing w:before="25" w:line="220" w:lineRule="auto"/>
              <w:ind w:left="134"/>
              <w:rPr>
                <w:color w:val="auto"/>
                <w:sz w:val="24"/>
                <w:szCs w:val="24"/>
                <w:highlight w:val="none"/>
              </w:rPr>
            </w:pPr>
            <w:r>
              <w:rPr>
                <w:color w:val="auto"/>
                <w:spacing w:val="-3"/>
                <w:sz w:val="24"/>
                <w:szCs w:val="24"/>
                <w:highlight w:val="none"/>
              </w:rPr>
              <w:t>产地</w:t>
            </w:r>
          </w:p>
        </w:tc>
        <w:tc>
          <w:tcPr>
            <w:tcW w:w="856" w:type="dxa"/>
            <w:tcBorders>
              <w:top w:val="single" w:color="000000" w:sz="6" w:space="0"/>
            </w:tcBorders>
            <w:noWrap w:val="0"/>
            <w:vAlign w:val="top"/>
          </w:tcPr>
          <w:p w14:paraId="65F9E92B">
            <w:pPr>
              <w:pStyle w:val="17"/>
              <w:spacing w:before="195" w:line="220" w:lineRule="auto"/>
              <w:ind w:left="196"/>
              <w:rPr>
                <w:color w:val="auto"/>
                <w:sz w:val="24"/>
                <w:szCs w:val="24"/>
                <w:highlight w:val="none"/>
              </w:rPr>
            </w:pPr>
            <w:r>
              <w:rPr>
                <w:color w:val="auto"/>
                <w:spacing w:val="-3"/>
                <w:sz w:val="24"/>
                <w:szCs w:val="24"/>
                <w:highlight w:val="none"/>
              </w:rPr>
              <w:t>制造</w:t>
            </w:r>
          </w:p>
          <w:p w14:paraId="37589128">
            <w:pPr>
              <w:pStyle w:val="17"/>
              <w:spacing w:before="25" w:line="220" w:lineRule="auto"/>
              <w:ind w:left="196"/>
              <w:rPr>
                <w:color w:val="auto"/>
                <w:sz w:val="24"/>
                <w:szCs w:val="24"/>
                <w:highlight w:val="none"/>
              </w:rPr>
            </w:pPr>
            <w:r>
              <w:rPr>
                <w:color w:val="auto"/>
                <w:spacing w:val="-3"/>
                <w:sz w:val="24"/>
                <w:szCs w:val="24"/>
                <w:highlight w:val="none"/>
              </w:rPr>
              <w:t>年份</w:t>
            </w:r>
          </w:p>
        </w:tc>
        <w:tc>
          <w:tcPr>
            <w:tcW w:w="1270" w:type="dxa"/>
            <w:tcBorders>
              <w:top w:val="single" w:color="000000" w:sz="6" w:space="0"/>
            </w:tcBorders>
            <w:noWrap w:val="0"/>
            <w:vAlign w:val="top"/>
          </w:tcPr>
          <w:p w14:paraId="6D59F23D">
            <w:pPr>
              <w:pStyle w:val="17"/>
              <w:spacing w:before="39"/>
              <w:ind w:left="296" w:right="149" w:hanging="132"/>
              <w:rPr>
                <w:rFonts w:ascii="Times New Roman" w:hAnsi="Times New Roman" w:eastAsia="Times New Roman" w:cs="Times New Roman"/>
                <w:color w:val="auto"/>
                <w:sz w:val="24"/>
                <w:szCs w:val="24"/>
                <w:highlight w:val="none"/>
              </w:rPr>
            </w:pPr>
            <w:r>
              <w:rPr>
                <w:color w:val="auto"/>
                <w:spacing w:val="-3"/>
                <w:sz w:val="24"/>
                <w:szCs w:val="24"/>
                <w:highlight w:val="none"/>
              </w:rPr>
              <w:t>额定功率</w:t>
            </w:r>
            <w:r>
              <w:rPr>
                <w:color w:val="auto"/>
                <w:spacing w:val="1"/>
                <w:sz w:val="24"/>
                <w:szCs w:val="24"/>
                <w:highlight w:val="none"/>
              </w:rPr>
              <w:t xml:space="preserve"> </w:t>
            </w:r>
            <w:r>
              <w:rPr>
                <w:color w:val="auto"/>
                <w:spacing w:val="-4"/>
                <w:sz w:val="24"/>
                <w:szCs w:val="24"/>
                <w:highlight w:val="none"/>
              </w:rPr>
              <w:t xml:space="preserve">（ </w:t>
            </w:r>
            <w:r>
              <w:rPr>
                <w:rFonts w:ascii="Times New Roman" w:hAnsi="Times New Roman" w:eastAsia="Times New Roman" w:cs="Times New Roman"/>
                <w:color w:val="auto"/>
                <w:spacing w:val="-4"/>
                <w:sz w:val="24"/>
                <w:szCs w:val="24"/>
                <w:highlight w:val="none"/>
              </w:rPr>
              <w:t>kW</w:t>
            </w:r>
          </w:p>
          <w:p w14:paraId="340E9B3E">
            <w:pPr>
              <w:pStyle w:val="17"/>
              <w:spacing w:line="206" w:lineRule="auto"/>
              <w:ind w:left="550"/>
              <w:rPr>
                <w:color w:val="auto"/>
                <w:sz w:val="24"/>
                <w:szCs w:val="24"/>
                <w:highlight w:val="none"/>
              </w:rPr>
            </w:pPr>
            <w:r>
              <w:rPr>
                <w:color w:val="auto"/>
                <w:sz w:val="24"/>
                <w:szCs w:val="24"/>
                <w:highlight w:val="none"/>
              </w:rPr>
              <w:t>)</w:t>
            </w:r>
          </w:p>
        </w:tc>
        <w:tc>
          <w:tcPr>
            <w:tcW w:w="882" w:type="dxa"/>
            <w:tcBorders>
              <w:top w:val="single" w:color="000000" w:sz="6" w:space="0"/>
            </w:tcBorders>
            <w:noWrap w:val="0"/>
            <w:vAlign w:val="top"/>
          </w:tcPr>
          <w:p w14:paraId="7C79C4B3">
            <w:pPr>
              <w:pStyle w:val="17"/>
              <w:spacing w:before="194" w:line="220" w:lineRule="auto"/>
              <w:ind w:left="214"/>
              <w:rPr>
                <w:color w:val="auto"/>
                <w:sz w:val="24"/>
                <w:szCs w:val="24"/>
                <w:highlight w:val="none"/>
              </w:rPr>
            </w:pPr>
            <w:r>
              <w:rPr>
                <w:color w:val="auto"/>
                <w:spacing w:val="-3"/>
                <w:sz w:val="24"/>
                <w:szCs w:val="24"/>
                <w:highlight w:val="none"/>
              </w:rPr>
              <w:t>生产</w:t>
            </w:r>
          </w:p>
          <w:p w14:paraId="58F2460D">
            <w:pPr>
              <w:pStyle w:val="17"/>
              <w:spacing w:before="26" w:line="220" w:lineRule="auto"/>
              <w:ind w:left="221"/>
              <w:rPr>
                <w:color w:val="auto"/>
                <w:sz w:val="24"/>
                <w:szCs w:val="24"/>
                <w:highlight w:val="none"/>
              </w:rPr>
            </w:pPr>
            <w:r>
              <w:rPr>
                <w:color w:val="auto"/>
                <w:spacing w:val="-5"/>
                <w:sz w:val="24"/>
                <w:szCs w:val="24"/>
                <w:highlight w:val="none"/>
              </w:rPr>
              <w:t>能力</w:t>
            </w:r>
          </w:p>
        </w:tc>
        <w:tc>
          <w:tcPr>
            <w:tcW w:w="979" w:type="dxa"/>
            <w:tcBorders>
              <w:top w:val="single" w:color="000000" w:sz="6" w:space="0"/>
            </w:tcBorders>
            <w:noWrap w:val="0"/>
            <w:vAlign w:val="top"/>
          </w:tcPr>
          <w:p w14:paraId="3A45C9F1">
            <w:pPr>
              <w:pStyle w:val="17"/>
              <w:spacing w:before="195" w:line="221" w:lineRule="auto"/>
              <w:ind w:left="144"/>
              <w:rPr>
                <w:color w:val="auto"/>
                <w:sz w:val="24"/>
                <w:szCs w:val="24"/>
                <w:highlight w:val="none"/>
              </w:rPr>
            </w:pPr>
            <w:r>
              <w:rPr>
                <w:color w:val="auto"/>
                <w:spacing w:val="-3"/>
                <w:sz w:val="24"/>
                <w:szCs w:val="24"/>
                <w:highlight w:val="none"/>
              </w:rPr>
              <w:t>用于施</w:t>
            </w:r>
          </w:p>
          <w:p w14:paraId="531C4C5A">
            <w:pPr>
              <w:pStyle w:val="17"/>
              <w:spacing w:before="24" w:line="220" w:lineRule="auto"/>
              <w:ind w:left="145"/>
              <w:rPr>
                <w:color w:val="auto"/>
                <w:sz w:val="24"/>
                <w:szCs w:val="24"/>
                <w:highlight w:val="none"/>
              </w:rPr>
            </w:pPr>
            <w:r>
              <w:rPr>
                <w:color w:val="auto"/>
                <w:spacing w:val="-3"/>
                <w:sz w:val="24"/>
                <w:szCs w:val="24"/>
                <w:highlight w:val="none"/>
              </w:rPr>
              <w:t>工部位</w:t>
            </w:r>
          </w:p>
        </w:tc>
        <w:tc>
          <w:tcPr>
            <w:tcW w:w="987" w:type="dxa"/>
            <w:tcBorders>
              <w:top w:val="single" w:color="000000" w:sz="6" w:space="0"/>
              <w:right w:val="single" w:color="000000" w:sz="6" w:space="0"/>
            </w:tcBorders>
            <w:noWrap w:val="0"/>
            <w:vAlign w:val="top"/>
          </w:tcPr>
          <w:p w14:paraId="337B06EE">
            <w:pPr>
              <w:spacing w:line="271" w:lineRule="auto"/>
              <w:rPr>
                <w:rFonts w:ascii="Arial"/>
                <w:color w:val="auto"/>
                <w:sz w:val="21"/>
                <w:highlight w:val="none"/>
              </w:rPr>
            </w:pPr>
          </w:p>
          <w:p w14:paraId="65C9F06C">
            <w:pPr>
              <w:pStyle w:val="17"/>
              <w:spacing w:before="78" w:line="221" w:lineRule="auto"/>
              <w:ind w:left="265"/>
              <w:rPr>
                <w:color w:val="auto"/>
                <w:sz w:val="24"/>
                <w:szCs w:val="24"/>
                <w:highlight w:val="none"/>
              </w:rPr>
            </w:pPr>
            <w:r>
              <w:rPr>
                <w:color w:val="auto"/>
                <w:spacing w:val="-4"/>
                <w:sz w:val="24"/>
                <w:szCs w:val="24"/>
                <w:highlight w:val="none"/>
              </w:rPr>
              <w:t>备注</w:t>
            </w:r>
          </w:p>
        </w:tc>
      </w:tr>
      <w:tr w14:paraId="0292F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Borders>
              <w:left w:val="single" w:color="000000" w:sz="6" w:space="0"/>
            </w:tcBorders>
            <w:noWrap w:val="0"/>
            <w:vAlign w:val="top"/>
          </w:tcPr>
          <w:p w14:paraId="6037C042">
            <w:pPr>
              <w:rPr>
                <w:rFonts w:ascii="Arial"/>
                <w:color w:val="auto"/>
                <w:sz w:val="21"/>
                <w:highlight w:val="none"/>
              </w:rPr>
            </w:pPr>
          </w:p>
        </w:tc>
        <w:tc>
          <w:tcPr>
            <w:tcW w:w="1072" w:type="dxa"/>
            <w:noWrap w:val="0"/>
            <w:vAlign w:val="top"/>
          </w:tcPr>
          <w:p w14:paraId="63C1B45C">
            <w:pPr>
              <w:rPr>
                <w:rFonts w:ascii="Arial"/>
                <w:color w:val="auto"/>
                <w:sz w:val="21"/>
                <w:highlight w:val="none"/>
              </w:rPr>
            </w:pPr>
          </w:p>
        </w:tc>
        <w:tc>
          <w:tcPr>
            <w:tcW w:w="719" w:type="dxa"/>
            <w:noWrap w:val="0"/>
            <w:vAlign w:val="top"/>
          </w:tcPr>
          <w:p w14:paraId="4079A0A8">
            <w:pPr>
              <w:rPr>
                <w:rFonts w:ascii="Arial"/>
                <w:color w:val="auto"/>
                <w:sz w:val="21"/>
                <w:highlight w:val="none"/>
              </w:rPr>
            </w:pPr>
          </w:p>
        </w:tc>
        <w:tc>
          <w:tcPr>
            <w:tcW w:w="739" w:type="dxa"/>
            <w:noWrap w:val="0"/>
            <w:vAlign w:val="top"/>
          </w:tcPr>
          <w:p w14:paraId="34E0B910">
            <w:pPr>
              <w:rPr>
                <w:rFonts w:ascii="Arial"/>
                <w:color w:val="auto"/>
                <w:sz w:val="21"/>
                <w:highlight w:val="none"/>
              </w:rPr>
            </w:pPr>
          </w:p>
        </w:tc>
        <w:tc>
          <w:tcPr>
            <w:tcW w:w="739" w:type="dxa"/>
            <w:noWrap w:val="0"/>
            <w:vAlign w:val="top"/>
          </w:tcPr>
          <w:p w14:paraId="53808983">
            <w:pPr>
              <w:rPr>
                <w:rFonts w:ascii="Arial"/>
                <w:color w:val="auto"/>
                <w:sz w:val="21"/>
                <w:highlight w:val="none"/>
              </w:rPr>
            </w:pPr>
          </w:p>
        </w:tc>
        <w:tc>
          <w:tcPr>
            <w:tcW w:w="856" w:type="dxa"/>
            <w:noWrap w:val="0"/>
            <w:vAlign w:val="top"/>
          </w:tcPr>
          <w:p w14:paraId="6A357974">
            <w:pPr>
              <w:rPr>
                <w:rFonts w:ascii="Arial"/>
                <w:color w:val="auto"/>
                <w:sz w:val="21"/>
                <w:highlight w:val="none"/>
              </w:rPr>
            </w:pPr>
          </w:p>
        </w:tc>
        <w:tc>
          <w:tcPr>
            <w:tcW w:w="1270" w:type="dxa"/>
            <w:noWrap w:val="0"/>
            <w:vAlign w:val="top"/>
          </w:tcPr>
          <w:p w14:paraId="139EEEAC">
            <w:pPr>
              <w:rPr>
                <w:rFonts w:ascii="Arial"/>
                <w:color w:val="auto"/>
                <w:sz w:val="21"/>
                <w:highlight w:val="none"/>
              </w:rPr>
            </w:pPr>
          </w:p>
        </w:tc>
        <w:tc>
          <w:tcPr>
            <w:tcW w:w="882" w:type="dxa"/>
            <w:noWrap w:val="0"/>
            <w:vAlign w:val="top"/>
          </w:tcPr>
          <w:p w14:paraId="21BD651D">
            <w:pPr>
              <w:rPr>
                <w:rFonts w:ascii="Arial"/>
                <w:color w:val="auto"/>
                <w:sz w:val="21"/>
                <w:highlight w:val="none"/>
              </w:rPr>
            </w:pPr>
          </w:p>
        </w:tc>
        <w:tc>
          <w:tcPr>
            <w:tcW w:w="979" w:type="dxa"/>
            <w:noWrap w:val="0"/>
            <w:vAlign w:val="top"/>
          </w:tcPr>
          <w:p w14:paraId="4BEC3760">
            <w:pPr>
              <w:rPr>
                <w:rFonts w:ascii="Arial"/>
                <w:color w:val="auto"/>
                <w:sz w:val="21"/>
                <w:highlight w:val="none"/>
              </w:rPr>
            </w:pPr>
          </w:p>
        </w:tc>
        <w:tc>
          <w:tcPr>
            <w:tcW w:w="987" w:type="dxa"/>
            <w:tcBorders>
              <w:right w:val="single" w:color="000000" w:sz="6" w:space="0"/>
            </w:tcBorders>
            <w:noWrap w:val="0"/>
            <w:vAlign w:val="top"/>
          </w:tcPr>
          <w:p w14:paraId="640E5B38">
            <w:pPr>
              <w:rPr>
                <w:rFonts w:ascii="Arial"/>
                <w:color w:val="auto"/>
                <w:sz w:val="21"/>
                <w:highlight w:val="none"/>
              </w:rPr>
            </w:pPr>
          </w:p>
        </w:tc>
      </w:tr>
      <w:tr w14:paraId="24C98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noWrap w:val="0"/>
            <w:vAlign w:val="top"/>
          </w:tcPr>
          <w:p w14:paraId="45AC70A6">
            <w:pPr>
              <w:rPr>
                <w:rFonts w:ascii="Arial"/>
                <w:color w:val="auto"/>
                <w:sz w:val="21"/>
                <w:highlight w:val="none"/>
              </w:rPr>
            </w:pPr>
          </w:p>
        </w:tc>
        <w:tc>
          <w:tcPr>
            <w:tcW w:w="1072" w:type="dxa"/>
            <w:noWrap w:val="0"/>
            <w:vAlign w:val="top"/>
          </w:tcPr>
          <w:p w14:paraId="5D16DF0A">
            <w:pPr>
              <w:rPr>
                <w:rFonts w:ascii="Arial"/>
                <w:color w:val="auto"/>
                <w:sz w:val="21"/>
                <w:highlight w:val="none"/>
              </w:rPr>
            </w:pPr>
          </w:p>
        </w:tc>
        <w:tc>
          <w:tcPr>
            <w:tcW w:w="719" w:type="dxa"/>
            <w:noWrap w:val="0"/>
            <w:vAlign w:val="top"/>
          </w:tcPr>
          <w:p w14:paraId="460AD54A">
            <w:pPr>
              <w:rPr>
                <w:rFonts w:ascii="Arial"/>
                <w:color w:val="auto"/>
                <w:sz w:val="21"/>
                <w:highlight w:val="none"/>
              </w:rPr>
            </w:pPr>
          </w:p>
        </w:tc>
        <w:tc>
          <w:tcPr>
            <w:tcW w:w="739" w:type="dxa"/>
            <w:noWrap w:val="0"/>
            <w:vAlign w:val="top"/>
          </w:tcPr>
          <w:p w14:paraId="51F7C5D0">
            <w:pPr>
              <w:rPr>
                <w:rFonts w:ascii="Arial"/>
                <w:color w:val="auto"/>
                <w:sz w:val="21"/>
                <w:highlight w:val="none"/>
              </w:rPr>
            </w:pPr>
          </w:p>
        </w:tc>
        <w:tc>
          <w:tcPr>
            <w:tcW w:w="739" w:type="dxa"/>
            <w:noWrap w:val="0"/>
            <w:vAlign w:val="top"/>
          </w:tcPr>
          <w:p w14:paraId="359B947C">
            <w:pPr>
              <w:rPr>
                <w:rFonts w:ascii="Arial"/>
                <w:color w:val="auto"/>
                <w:sz w:val="21"/>
                <w:highlight w:val="none"/>
              </w:rPr>
            </w:pPr>
          </w:p>
        </w:tc>
        <w:tc>
          <w:tcPr>
            <w:tcW w:w="856" w:type="dxa"/>
            <w:noWrap w:val="0"/>
            <w:vAlign w:val="top"/>
          </w:tcPr>
          <w:p w14:paraId="0F24A8C6">
            <w:pPr>
              <w:rPr>
                <w:rFonts w:ascii="Arial"/>
                <w:color w:val="auto"/>
                <w:sz w:val="21"/>
                <w:highlight w:val="none"/>
              </w:rPr>
            </w:pPr>
          </w:p>
        </w:tc>
        <w:tc>
          <w:tcPr>
            <w:tcW w:w="1270" w:type="dxa"/>
            <w:noWrap w:val="0"/>
            <w:vAlign w:val="top"/>
          </w:tcPr>
          <w:p w14:paraId="1A9848A7">
            <w:pPr>
              <w:rPr>
                <w:rFonts w:ascii="Arial"/>
                <w:color w:val="auto"/>
                <w:sz w:val="21"/>
                <w:highlight w:val="none"/>
              </w:rPr>
            </w:pPr>
          </w:p>
        </w:tc>
        <w:tc>
          <w:tcPr>
            <w:tcW w:w="882" w:type="dxa"/>
            <w:noWrap w:val="0"/>
            <w:vAlign w:val="top"/>
          </w:tcPr>
          <w:p w14:paraId="6A65B285">
            <w:pPr>
              <w:rPr>
                <w:rFonts w:ascii="Arial"/>
                <w:color w:val="auto"/>
                <w:sz w:val="21"/>
                <w:highlight w:val="none"/>
              </w:rPr>
            </w:pPr>
          </w:p>
        </w:tc>
        <w:tc>
          <w:tcPr>
            <w:tcW w:w="979" w:type="dxa"/>
            <w:noWrap w:val="0"/>
            <w:vAlign w:val="top"/>
          </w:tcPr>
          <w:p w14:paraId="2ECC9D10">
            <w:pPr>
              <w:rPr>
                <w:rFonts w:ascii="Arial"/>
                <w:color w:val="auto"/>
                <w:sz w:val="21"/>
                <w:highlight w:val="none"/>
              </w:rPr>
            </w:pPr>
          </w:p>
        </w:tc>
        <w:tc>
          <w:tcPr>
            <w:tcW w:w="987" w:type="dxa"/>
            <w:tcBorders>
              <w:right w:val="single" w:color="000000" w:sz="6" w:space="0"/>
            </w:tcBorders>
            <w:noWrap w:val="0"/>
            <w:vAlign w:val="top"/>
          </w:tcPr>
          <w:p w14:paraId="286B619C">
            <w:pPr>
              <w:rPr>
                <w:rFonts w:ascii="Arial"/>
                <w:color w:val="auto"/>
                <w:sz w:val="21"/>
                <w:highlight w:val="none"/>
              </w:rPr>
            </w:pPr>
          </w:p>
        </w:tc>
      </w:tr>
      <w:tr w14:paraId="0033E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Borders>
              <w:left w:val="single" w:color="000000" w:sz="6" w:space="0"/>
            </w:tcBorders>
            <w:noWrap w:val="0"/>
            <w:vAlign w:val="top"/>
          </w:tcPr>
          <w:p w14:paraId="0DB35D00">
            <w:pPr>
              <w:rPr>
                <w:rFonts w:ascii="Arial"/>
                <w:color w:val="auto"/>
                <w:sz w:val="21"/>
                <w:highlight w:val="none"/>
              </w:rPr>
            </w:pPr>
          </w:p>
        </w:tc>
        <w:tc>
          <w:tcPr>
            <w:tcW w:w="1072" w:type="dxa"/>
            <w:noWrap w:val="0"/>
            <w:vAlign w:val="top"/>
          </w:tcPr>
          <w:p w14:paraId="39ACE7AD">
            <w:pPr>
              <w:rPr>
                <w:rFonts w:ascii="Arial"/>
                <w:color w:val="auto"/>
                <w:sz w:val="21"/>
                <w:highlight w:val="none"/>
              </w:rPr>
            </w:pPr>
          </w:p>
        </w:tc>
        <w:tc>
          <w:tcPr>
            <w:tcW w:w="719" w:type="dxa"/>
            <w:noWrap w:val="0"/>
            <w:vAlign w:val="top"/>
          </w:tcPr>
          <w:p w14:paraId="2EDE916E">
            <w:pPr>
              <w:rPr>
                <w:rFonts w:ascii="Arial"/>
                <w:color w:val="auto"/>
                <w:sz w:val="21"/>
                <w:highlight w:val="none"/>
              </w:rPr>
            </w:pPr>
          </w:p>
        </w:tc>
        <w:tc>
          <w:tcPr>
            <w:tcW w:w="739" w:type="dxa"/>
            <w:noWrap w:val="0"/>
            <w:vAlign w:val="top"/>
          </w:tcPr>
          <w:p w14:paraId="211269F7">
            <w:pPr>
              <w:rPr>
                <w:rFonts w:ascii="Arial"/>
                <w:color w:val="auto"/>
                <w:sz w:val="21"/>
                <w:highlight w:val="none"/>
              </w:rPr>
            </w:pPr>
          </w:p>
        </w:tc>
        <w:tc>
          <w:tcPr>
            <w:tcW w:w="739" w:type="dxa"/>
            <w:noWrap w:val="0"/>
            <w:vAlign w:val="top"/>
          </w:tcPr>
          <w:p w14:paraId="5C7D2AAF">
            <w:pPr>
              <w:rPr>
                <w:rFonts w:ascii="Arial"/>
                <w:color w:val="auto"/>
                <w:sz w:val="21"/>
                <w:highlight w:val="none"/>
              </w:rPr>
            </w:pPr>
          </w:p>
        </w:tc>
        <w:tc>
          <w:tcPr>
            <w:tcW w:w="856" w:type="dxa"/>
            <w:noWrap w:val="0"/>
            <w:vAlign w:val="top"/>
          </w:tcPr>
          <w:p w14:paraId="67583240">
            <w:pPr>
              <w:rPr>
                <w:rFonts w:ascii="Arial"/>
                <w:color w:val="auto"/>
                <w:sz w:val="21"/>
                <w:highlight w:val="none"/>
              </w:rPr>
            </w:pPr>
          </w:p>
        </w:tc>
        <w:tc>
          <w:tcPr>
            <w:tcW w:w="1270" w:type="dxa"/>
            <w:noWrap w:val="0"/>
            <w:vAlign w:val="top"/>
          </w:tcPr>
          <w:p w14:paraId="56EAF39C">
            <w:pPr>
              <w:rPr>
                <w:rFonts w:ascii="Arial"/>
                <w:color w:val="auto"/>
                <w:sz w:val="21"/>
                <w:highlight w:val="none"/>
              </w:rPr>
            </w:pPr>
          </w:p>
        </w:tc>
        <w:tc>
          <w:tcPr>
            <w:tcW w:w="882" w:type="dxa"/>
            <w:noWrap w:val="0"/>
            <w:vAlign w:val="top"/>
          </w:tcPr>
          <w:p w14:paraId="23E968DF">
            <w:pPr>
              <w:rPr>
                <w:rFonts w:ascii="Arial"/>
                <w:color w:val="auto"/>
                <w:sz w:val="21"/>
                <w:highlight w:val="none"/>
              </w:rPr>
            </w:pPr>
          </w:p>
        </w:tc>
        <w:tc>
          <w:tcPr>
            <w:tcW w:w="979" w:type="dxa"/>
            <w:noWrap w:val="0"/>
            <w:vAlign w:val="top"/>
          </w:tcPr>
          <w:p w14:paraId="49391226">
            <w:pPr>
              <w:rPr>
                <w:rFonts w:ascii="Arial"/>
                <w:color w:val="auto"/>
                <w:sz w:val="21"/>
                <w:highlight w:val="none"/>
              </w:rPr>
            </w:pPr>
          </w:p>
        </w:tc>
        <w:tc>
          <w:tcPr>
            <w:tcW w:w="987" w:type="dxa"/>
            <w:tcBorders>
              <w:right w:val="single" w:color="000000" w:sz="6" w:space="0"/>
            </w:tcBorders>
            <w:noWrap w:val="0"/>
            <w:vAlign w:val="top"/>
          </w:tcPr>
          <w:p w14:paraId="4354564F">
            <w:pPr>
              <w:rPr>
                <w:rFonts w:ascii="Arial"/>
                <w:color w:val="auto"/>
                <w:sz w:val="21"/>
                <w:highlight w:val="none"/>
              </w:rPr>
            </w:pPr>
          </w:p>
        </w:tc>
      </w:tr>
      <w:tr w14:paraId="6708C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0550FF4D">
            <w:pPr>
              <w:rPr>
                <w:rFonts w:ascii="Arial"/>
                <w:color w:val="auto"/>
                <w:sz w:val="21"/>
                <w:highlight w:val="none"/>
              </w:rPr>
            </w:pPr>
          </w:p>
        </w:tc>
        <w:tc>
          <w:tcPr>
            <w:tcW w:w="1072" w:type="dxa"/>
            <w:noWrap w:val="0"/>
            <w:vAlign w:val="top"/>
          </w:tcPr>
          <w:p w14:paraId="53D4F058">
            <w:pPr>
              <w:rPr>
                <w:rFonts w:ascii="Arial"/>
                <w:color w:val="auto"/>
                <w:sz w:val="21"/>
                <w:highlight w:val="none"/>
              </w:rPr>
            </w:pPr>
          </w:p>
        </w:tc>
        <w:tc>
          <w:tcPr>
            <w:tcW w:w="719" w:type="dxa"/>
            <w:noWrap w:val="0"/>
            <w:vAlign w:val="top"/>
          </w:tcPr>
          <w:p w14:paraId="4E41B376">
            <w:pPr>
              <w:rPr>
                <w:rFonts w:ascii="Arial"/>
                <w:color w:val="auto"/>
                <w:sz w:val="21"/>
                <w:highlight w:val="none"/>
              </w:rPr>
            </w:pPr>
          </w:p>
        </w:tc>
        <w:tc>
          <w:tcPr>
            <w:tcW w:w="739" w:type="dxa"/>
            <w:noWrap w:val="0"/>
            <w:vAlign w:val="top"/>
          </w:tcPr>
          <w:p w14:paraId="08BC03A0">
            <w:pPr>
              <w:rPr>
                <w:rFonts w:ascii="Arial"/>
                <w:color w:val="auto"/>
                <w:sz w:val="21"/>
                <w:highlight w:val="none"/>
              </w:rPr>
            </w:pPr>
          </w:p>
        </w:tc>
        <w:tc>
          <w:tcPr>
            <w:tcW w:w="739" w:type="dxa"/>
            <w:noWrap w:val="0"/>
            <w:vAlign w:val="top"/>
          </w:tcPr>
          <w:p w14:paraId="10F42993">
            <w:pPr>
              <w:rPr>
                <w:rFonts w:ascii="Arial"/>
                <w:color w:val="auto"/>
                <w:sz w:val="21"/>
                <w:highlight w:val="none"/>
              </w:rPr>
            </w:pPr>
          </w:p>
        </w:tc>
        <w:tc>
          <w:tcPr>
            <w:tcW w:w="856" w:type="dxa"/>
            <w:noWrap w:val="0"/>
            <w:vAlign w:val="top"/>
          </w:tcPr>
          <w:p w14:paraId="2BFEAFE4">
            <w:pPr>
              <w:rPr>
                <w:rFonts w:ascii="Arial"/>
                <w:color w:val="auto"/>
                <w:sz w:val="21"/>
                <w:highlight w:val="none"/>
              </w:rPr>
            </w:pPr>
          </w:p>
        </w:tc>
        <w:tc>
          <w:tcPr>
            <w:tcW w:w="1270" w:type="dxa"/>
            <w:noWrap w:val="0"/>
            <w:vAlign w:val="top"/>
          </w:tcPr>
          <w:p w14:paraId="3CBCF6A9">
            <w:pPr>
              <w:rPr>
                <w:rFonts w:ascii="Arial"/>
                <w:color w:val="auto"/>
                <w:sz w:val="21"/>
                <w:highlight w:val="none"/>
              </w:rPr>
            </w:pPr>
          </w:p>
        </w:tc>
        <w:tc>
          <w:tcPr>
            <w:tcW w:w="882" w:type="dxa"/>
            <w:noWrap w:val="0"/>
            <w:vAlign w:val="top"/>
          </w:tcPr>
          <w:p w14:paraId="3F978B1C">
            <w:pPr>
              <w:rPr>
                <w:rFonts w:ascii="Arial"/>
                <w:color w:val="auto"/>
                <w:sz w:val="21"/>
                <w:highlight w:val="none"/>
              </w:rPr>
            </w:pPr>
          </w:p>
        </w:tc>
        <w:tc>
          <w:tcPr>
            <w:tcW w:w="979" w:type="dxa"/>
            <w:noWrap w:val="0"/>
            <w:vAlign w:val="top"/>
          </w:tcPr>
          <w:p w14:paraId="726C30ED">
            <w:pPr>
              <w:rPr>
                <w:rFonts w:ascii="Arial"/>
                <w:color w:val="auto"/>
                <w:sz w:val="21"/>
                <w:highlight w:val="none"/>
              </w:rPr>
            </w:pPr>
          </w:p>
        </w:tc>
        <w:tc>
          <w:tcPr>
            <w:tcW w:w="987" w:type="dxa"/>
            <w:tcBorders>
              <w:right w:val="single" w:color="000000" w:sz="6" w:space="0"/>
            </w:tcBorders>
            <w:noWrap w:val="0"/>
            <w:vAlign w:val="top"/>
          </w:tcPr>
          <w:p w14:paraId="3CC3A5F4">
            <w:pPr>
              <w:rPr>
                <w:rFonts w:ascii="Arial"/>
                <w:color w:val="auto"/>
                <w:sz w:val="21"/>
                <w:highlight w:val="none"/>
              </w:rPr>
            </w:pPr>
          </w:p>
        </w:tc>
      </w:tr>
      <w:tr w14:paraId="33DFF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noWrap w:val="0"/>
            <w:vAlign w:val="top"/>
          </w:tcPr>
          <w:p w14:paraId="27930D9B">
            <w:pPr>
              <w:rPr>
                <w:rFonts w:ascii="Arial"/>
                <w:color w:val="auto"/>
                <w:sz w:val="21"/>
                <w:highlight w:val="none"/>
              </w:rPr>
            </w:pPr>
          </w:p>
        </w:tc>
        <w:tc>
          <w:tcPr>
            <w:tcW w:w="1072" w:type="dxa"/>
            <w:noWrap w:val="0"/>
            <w:vAlign w:val="top"/>
          </w:tcPr>
          <w:p w14:paraId="4393B7E3">
            <w:pPr>
              <w:rPr>
                <w:rFonts w:ascii="Arial"/>
                <w:color w:val="auto"/>
                <w:sz w:val="21"/>
                <w:highlight w:val="none"/>
              </w:rPr>
            </w:pPr>
          </w:p>
        </w:tc>
        <w:tc>
          <w:tcPr>
            <w:tcW w:w="719" w:type="dxa"/>
            <w:noWrap w:val="0"/>
            <w:vAlign w:val="top"/>
          </w:tcPr>
          <w:p w14:paraId="4AB964A3">
            <w:pPr>
              <w:rPr>
                <w:rFonts w:ascii="Arial"/>
                <w:color w:val="auto"/>
                <w:sz w:val="21"/>
                <w:highlight w:val="none"/>
              </w:rPr>
            </w:pPr>
          </w:p>
        </w:tc>
        <w:tc>
          <w:tcPr>
            <w:tcW w:w="739" w:type="dxa"/>
            <w:noWrap w:val="0"/>
            <w:vAlign w:val="top"/>
          </w:tcPr>
          <w:p w14:paraId="194D8966">
            <w:pPr>
              <w:rPr>
                <w:rFonts w:ascii="Arial"/>
                <w:color w:val="auto"/>
                <w:sz w:val="21"/>
                <w:highlight w:val="none"/>
              </w:rPr>
            </w:pPr>
          </w:p>
        </w:tc>
        <w:tc>
          <w:tcPr>
            <w:tcW w:w="739" w:type="dxa"/>
            <w:noWrap w:val="0"/>
            <w:vAlign w:val="top"/>
          </w:tcPr>
          <w:p w14:paraId="5FB5A14E">
            <w:pPr>
              <w:rPr>
                <w:rFonts w:ascii="Arial"/>
                <w:color w:val="auto"/>
                <w:sz w:val="21"/>
                <w:highlight w:val="none"/>
              </w:rPr>
            </w:pPr>
          </w:p>
        </w:tc>
        <w:tc>
          <w:tcPr>
            <w:tcW w:w="856" w:type="dxa"/>
            <w:noWrap w:val="0"/>
            <w:vAlign w:val="top"/>
          </w:tcPr>
          <w:p w14:paraId="1192E0D0">
            <w:pPr>
              <w:rPr>
                <w:rFonts w:ascii="Arial"/>
                <w:color w:val="auto"/>
                <w:sz w:val="21"/>
                <w:highlight w:val="none"/>
              </w:rPr>
            </w:pPr>
          </w:p>
        </w:tc>
        <w:tc>
          <w:tcPr>
            <w:tcW w:w="1270" w:type="dxa"/>
            <w:noWrap w:val="0"/>
            <w:vAlign w:val="top"/>
          </w:tcPr>
          <w:p w14:paraId="5DFD1212">
            <w:pPr>
              <w:rPr>
                <w:rFonts w:ascii="Arial"/>
                <w:color w:val="auto"/>
                <w:sz w:val="21"/>
                <w:highlight w:val="none"/>
              </w:rPr>
            </w:pPr>
          </w:p>
        </w:tc>
        <w:tc>
          <w:tcPr>
            <w:tcW w:w="882" w:type="dxa"/>
            <w:noWrap w:val="0"/>
            <w:vAlign w:val="top"/>
          </w:tcPr>
          <w:p w14:paraId="262629C0">
            <w:pPr>
              <w:rPr>
                <w:rFonts w:ascii="Arial"/>
                <w:color w:val="auto"/>
                <w:sz w:val="21"/>
                <w:highlight w:val="none"/>
              </w:rPr>
            </w:pPr>
          </w:p>
        </w:tc>
        <w:tc>
          <w:tcPr>
            <w:tcW w:w="979" w:type="dxa"/>
            <w:noWrap w:val="0"/>
            <w:vAlign w:val="top"/>
          </w:tcPr>
          <w:p w14:paraId="182DFFD0">
            <w:pPr>
              <w:rPr>
                <w:rFonts w:ascii="Arial"/>
                <w:color w:val="auto"/>
                <w:sz w:val="21"/>
                <w:highlight w:val="none"/>
              </w:rPr>
            </w:pPr>
          </w:p>
        </w:tc>
        <w:tc>
          <w:tcPr>
            <w:tcW w:w="987" w:type="dxa"/>
            <w:tcBorders>
              <w:right w:val="single" w:color="000000" w:sz="6" w:space="0"/>
            </w:tcBorders>
            <w:noWrap w:val="0"/>
            <w:vAlign w:val="top"/>
          </w:tcPr>
          <w:p w14:paraId="411409B0">
            <w:pPr>
              <w:rPr>
                <w:rFonts w:ascii="Arial"/>
                <w:color w:val="auto"/>
                <w:sz w:val="21"/>
                <w:highlight w:val="none"/>
              </w:rPr>
            </w:pPr>
          </w:p>
        </w:tc>
      </w:tr>
      <w:tr w14:paraId="41E96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2F9B8F90">
            <w:pPr>
              <w:rPr>
                <w:rFonts w:ascii="Arial"/>
                <w:color w:val="auto"/>
                <w:sz w:val="21"/>
                <w:highlight w:val="none"/>
              </w:rPr>
            </w:pPr>
          </w:p>
        </w:tc>
        <w:tc>
          <w:tcPr>
            <w:tcW w:w="1072" w:type="dxa"/>
            <w:noWrap w:val="0"/>
            <w:vAlign w:val="top"/>
          </w:tcPr>
          <w:p w14:paraId="383372DB">
            <w:pPr>
              <w:rPr>
                <w:rFonts w:ascii="Arial"/>
                <w:color w:val="auto"/>
                <w:sz w:val="21"/>
                <w:highlight w:val="none"/>
              </w:rPr>
            </w:pPr>
          </w:p>
        </w:tc>
        <w:tc>
          <w:tcPr>
            <w:tcW w:w="719" w:type="dxa"/>
            <w:noWrap w:val="0"/>
            <w:vAlign w:val="top"/>
          </w:tcPr>
          <w:p w14:paraId="078EF01C">
            <w:pPr>
              <w:rPr>
                <w:rFonts w:ascii="Arial"/>
                <w:color w:val="auto"/>
                <w:sz w:val="21"/>
                <w:highlight w:val="none"/>
              </w:rPr>
            </w:pPr>
          </w:p>
        </w:tc>
        <w:tc>
          <w:tcPr>
            <w:tcW w:w="739" w:type="dxa"/>
            <w:noWrap w:val="0"/>
            <w:vAlign w:val="top"/>
          </w:tcPr>
          <w:p w14:paraId="6729D8D8">
            <w:pPr>
              <w:rPr>
                <w:rFonts w:ascii="Arial"/>
                <w:color w:val="auto"/>
                <w:sz w:val="21"/>
                <w:highlight w:val="none"/>
              </w:rPr>
            </w:pPr>
          </w:p>
        </w:tc>
        <w:tc>
          <w:tcPr>
            <w:tcW w:w="739" w:type="dxa"/>
            <w:noWrap w:val="0"/>
            <w:vAlign w:val="top"/>
          </w:tcPr>
          <w:p w14:paraId="7FBFC7ED">
            <w:pPr>
              <w:rPr>
                <w:rFonts w:ascii="Arial"/>
                <w:color w:val="auto"/>
                <w:sz w:val="21"/>
                <w:highlight w:val="none"/>
              </w:rPr>
            </w:pPr>
          </w:p>
        </w:tc>
        <w:tc>
          <w:tcPr>
            <w:tcW w:w="856" w:type="dxa"/>
            <w:noWrap w:val="0"/>
            <w:vAlign w:val="top"/>
          </w:tcPr>
          <w:p w14:paraId="0D600431">
            <w:pPr>
              <w:rPr>
                <w:rFonts w:ascii="Arial"/>
                <w:color w:val="auto"/>
                <w:sz w:val="21"/>
                <w:highlight w:val="none"/>
              </w:rPr>
            </w:pPr>
          </w:p>
        </w:tc>
        <w:tc>
          <w:tcPr>
            <w:tcW w:w="1270" w:type="dxa"/>
            <w:noWrap w:val="0"/>
            <w:vAlign w:val="top"/>
          </w:tcPr>
          <w:p w14:paraId="6CC91FB0">
            <w:pPr>
              <w:rPr>
                <w:rFonts w:ascii="Arial"/>
                <w:color w:val="auto"/>
                <w:sz w:val="21"/>
                <w:highlight w:val="none"/>
              </w:rPr>
            </w:pPr>
          </w:p>
        </w:tc>
        <w:tc>
          <w:tcPr>
            <w:tcW w:w="882" w:type="dxa"/>
            <w:noWrap w:val="0"/>
            <w:vAlign w:val="top"/>
          </w:tcPr>
          <w:p w14:paraId="4A9929A7">
            <w:pPr>
              <w:rPr>
                <w:rFonts w:ascii="Arial"/>
                <w:color w:val="auto"/>
                <w:sz w:val="21"/>
                <w:highlight w:val="none"/>
              </w:rPr>
            </w:pPr>
          </w:p>
        </w:tc>
        <w:tc>
          <w:tcPr>
            <w:tcW w:w="979" w:type="dxa"/>
            <w:noWrap w:val="0"/>
            <w:vAlign w:val="top"/>
          </w:tcPr>
          <w:p w14:paraId="4BA39AE4">
            <w:pPr>
              <w:rPr>
                <w:rFonts w:ascii="Arial"/>
                <w:color w:val="auto"/>
                <w:sz w:val="21"/>
                <w:highlight w:val="none"/>
              </w:rPr>
            </w:pPr>
          </w:p>
        </w:tc>
        <w:tc>
          <w:tcPr>
            <w:tcW w:w="987" w:type="dxa"/>
            <w:tcBorders>
              <w:right w:val="single" w:color="000000" w:sz="6" w:space="0"/>
            </w:tcBorders>
            <w:noWrap w:val="0"/>
            <w:vAlign w:val="top"/>
          </w:tcPr>
          <w:p w14:paraId="2E4D8364">
            <w:pPr>
              <w:rPr>
                <w:rFonts w:ascii="Arial"/>
                <w:color w:val="auto"/>
                <w:sz w:val="21"/>
                <w:highlight w:val="none"/>
              </w:rPr>
            </w:pPr>
          </w:p>
        </w:tc>
      </w:tr>
      <w:tr w14:paraId="023EE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786A0597">
            <w:pPr>
              <w:rPr>
                <w:rFonts w:ascii="Arial"/>
                <w:color w:val="auto"/>
                <w:sz w:val="21"/>
                <w:highlight w:val="none"/>
              </w:rPr>
            </w:pPr>
          </w:p>
        </w:tc>
        <w:tc>
          <w:tcPr>
            <w:tcW w:w="1072" w:type="dxa"/>
            <w:noWrap w:val="0"/>
            <w:vAlign w:val="top"/>
          </w:tcPr>
          <w:p w14:paraId="66C29CE2">
            <w:pPr>
              <w:rPr>
                <w:rFonts w:ascii="Arial"/>
                <w:color w:val="auto"/>
                <w:sz w:val="21"/>
                <w:highlight w:val="none"/>
              </w:rPr>
            </w:pPr>
          </w:p>
        </w:tc>
        <w:tc>
          <w:tcPr>
            <w:tcW w:w="719" w:type="dxa"/>
            <w:noWrap w:val="0"/>
            <w:vAlign w:val="top"/>
          </w:tcPr>
          <w:p w14:paraId="1AF94E20">
            <w:pPr>
              <w:rPr>
                <w:rFonts w:ascii="Arial"/>
                <w:color w:val="auto"/>
                <w:sz w:val="21"/>
                <w:highlight w:val="none"/>
              </w:rPr>
            </w:pPr>
          </w:p>
        </w:tc>
        <w:tc>
          <w:tcPr>
            <w:tcW w:w="739" w:type="dxa"/>
            <w:noWrap w:val="0"/>
            <w:vAlign w:val="top"/>
          </w:tcPr>
          <w:p w14:paraId="6F75300E">
            <w:pPr>
              <w:rPr>
                <w:rFonts w:ascii="Arial"/>
                <w:color w:val="auto"/>
                <w:sz w:val="21"/>
                <w:highlight w:val="none"/>
              </w:rPr>
            </w:pPr>
          </w:p>
        </w:tc>
        <w:tc>
          <w:tcPr>
            <w:tcW w:w="739" w:type="dxa"/>
            <w:noWrap w:val="0"/>
            <w:vAlign w:val="top"/>
          </w:tcPr>
          <w:p w14:paraId="1C6FB45F">
            <w:pPr>
              <w:rPr>
                <w:rFonts w:ascii="Arial"/>
                <w:color w:val="auto"/>
                <w:sz w:val="21"/>
                <w:highlight w:val="none"/>
              </w:rPr>
            </w:pPr>
          </w:p>
        </w:tc>
        <w:tc>
          <w:tcPr>
            <w:tcW w:w="856" w:type="dxa"/>
            <w:noWrap w:val="0"/>
            <w:vAlign w:val="top"/>
          </w:tcPr>
          <w:p w14:paraId="1F07F3B0">
            <w:pPr>
              <w:rPr>
                <w:rFonts w:ascii="Arial"/>
                <w:color w:val="auto"/>
                <w:sz w:val="21"/>
                <w:highlight w:val="none"/>
              </w:rPr>
            </w:pPr>
          </w:p>
        </w:tc>
        <w:tc>
          <w:tcPr>
            <w:tcW w:w="1270" w:type="dxa"/>
            <w:noWrap w:val="0"/>
            <w:vAlign w:val="top"/>
          </w:tcPr>
          <w:p w14:paraId="1922547D">
            <w:pPr>
              <w:rPr>
                <w:rFonts w:ascii="Arial"/>
                <w:color w:val="auto"/>
                <w:sz w:val="21"/>
                <w:highlight w:val="none"/>
              </w:rPr>
            </w:pPr>
          </w:p>
        </w:tc>
        <w:tc>
          <w:tcPr>
            <w:tcW w:w="882" w:type="dxa"/>
            <w:noWrap w:val="0"/>
            <w:vAlign w:val="top"/>
          </w:tcPr>
          <w:p w14:paraId="14914B78">
            <w:pPr>
              <w:rPr>
                <w:rFonts w:ascii="Arial"/>
                <w:color w:val="auto"/>
                <w:sz w:val="21"/>
                <w:highlight w:val="none"/>
              </w:rPr>
            </w:pPr>
          </w:p>
        </w:tc>
        <w:tc>
          <w:tcPr>
            <w:tcW w:w="979" w:type="dxa"/>
            <w:noWrap w:val="0"/>
            <w:vAlign w:val="top"/>
          </w:tcPr>
          <w:p w14:paraId="21C6F077">
            <w:pPr>
              <w:rPr>
                <w:rFonts w:ascii="Arial"/>
                <w:color w:val="auto"/>
                <w:sz w:val="21"/>
                <w:highlight w:val="none"/>
              </w:rPr>
            </w:pPr>
          </w:p>
        </w:tc>
        <w:tc>
          <w:tcPr>
            <w:tcW w:w="987" w:type="dxa"/>
            <w:tcBorders>
              <w:right w:val="single" w:color="000000" w:sz="6" w:space="0"/>
            </w:tcBorders>
            <w:noWrap w:val="0"/>
            <w:vAlign w:val="top"/>
          </w:tcPr>
          <w:p w14:paraId="404564BB">
            <w:pPr>
              <w:rPr>
                <w:rFonts w:ascii="Arial"/>
                <w:color w:val="auto"/>
                <w:sz w:val="21"/>
                <w:highlight w:val="none"/>
              </w:rPr>
            </w:pPr>
          </w:p>
        </w:tc>
      </w:tr>
      <w:tr w14:paraId="7BC87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noWrap w:val="0"/>
            <w:vAlign w:val="top"/>
          </w:tcPr>
          <w:p w14:paraId="144043FD">
            <w:pPr>
              <w:rPr>
                <w:rFonts w:ascii="Arial"/>
                <w:color w:val="auto"/>
                <w:sz w:val="21"/>
                <w:highlight w:val="none"/>
              </w:rPr>
            </w:pPr>
          </w:p>
        </w:tc>
        <w:tc>
          <w:tcPr>
            <w:tcW w:w="1072" w:type="dxa"/>
            <w:noWrap w:val="0"/>
            <w:vAlign w:val="top"/>
          </w:tcPr>
          <w:p w14:paraId="76C5AE67">
            <w:pPr>
              <w:rPr>
                <w:rFonts w:ascii="Arial"/>
                <w:color w:val="auto"/>
                <w:sz w:val="21"/>
                <w:highlight w:val="none"/>
              </w:rPr>
            </w:pPr>
          </w:p>
        </w:tc>
        <w:tc>
          <w:tcPr>
            <w:tcW w:w="719" w:type="dxa"/>
            <w:noWrap w:val="0"/>
            <w:vAlign w:val="top"/>
          </w:tcPr>
          <w:p w14:paraId="629DD845">
            <w:pPr>
              <w:rPr>
                <w:rFonts w:ascii="Arial"/>
                <w:color w:val="auto"/>
                <w:sz w:val="21"/>
                <w:highlight w:val="none"/>
              </w:rPr>
            </w:pPr>
          </w:p>
        </w:tc>
        <w:tc>
          <w:tcPr>
            <w:tcW w:w="739" w:type="dxa"/>
            <w:noWrap w:val="0"/>
            <w:vAlign w:val="top"/>
          </w:tcPr>
          <w:p w14:paraId="31035612">
            <w:pPr>
              <w:rPr>
                <w:rFonts w:ascii="Arial"/>
                <w:color w:val="auto"/>
                <w:sz w:val="21"/>
                <w:highlight w:val="none"/>
              </w:rPr>
            </w:pPr>
          </w:p>
        </w:tc>
        <w:tc>
          <w:tcPr>
            <w:tcW w:w="739" w:type="dxa"/>
            <w:noWrap w:val="0"/>
            <w:vAlign w:val="top"/>
          </w:tcPr>
          <w:p w14:paraId="2B07C479">
            <w:pPr>
              <w:rPr>
                <w:rFonts w:ascii="Arial"/>
                <w:color w:val="auto"/>
                <w:sz w:val="21"/>
                <w:highlight w:val="none"/>
              </w:rPr>
            </w:pPr>
          </w:p>
        </w:tc>
        <w:tc>
          <w:tcPr>
            <w:tcW w:w="856" w:type="dxa"/>
            <w:noWrap w:val="0"/>
            <w:vAlign w:val="top"/>
          </w:tcPr>
          <w:p w14:paraId="19A2FB59">
            <w:pPr>
              <w:rPr>
                <w:rFonts w:ascii="Arial"/>
                <w:color w:val="auto"/>
                <w:sz w:val="21"/>
                <w:highlight w:val="none"/>
              </w:rPr>
            </w:pPr>
          </w:p>
        </w:tc>
        <w:tc>
          <w:tcPr>
            <w:tcW w:w="1270" w:type="dxa"/>
            <w:noWrap w:val="0"/>
            <w:vAlign w:val="top"/>
          </w:tcPr>
          <w:p w14:paraId="385A83C2">
            <w:pPr>
              <w:rPr>
                <w:rFonts w:ascii="Arial"/>
                <w:color w:val="auto"/>
                <w:sz w:val="21"/>
                <w:highlight w:val="none"/>
              </w:rPr>
            </w:pPr>
          </w:p>
        </w:tc>
        <w:tc>
          <w:tcPr>
            <w:tcW w:w="882" w:type="dxa"/>
            <w:noWrap w:val="0"/>
            <w:vAlign w:val="top"/>
          </w:tcPr>
          <w:p w14:paraId="38F1FC54">
            <w:pPr>
              <w:rPr>
                <w:rFonts w:ascii="Arial"/>
                <w:color w:val="auto"/>
                <w:sz w:val="21"/>
                <w:highlight w:val="none"/>
              </w:rPr>
            </w:pPr>
          </w:p>
        </w:tc>
        <w:tc>
          <w:tcPr>
            <w:tcW w:w="979" w:type="dxa"/>
            <w:noWrap w:val="0"/>
            <w:vAlign w:val="top"/>
          </w:tcPr>
          <w:p w14:paraId="52245D01">
            <w:pPr>
              <w:rPr>
                <w:rFonts w:ascii="Arial"/>
                <w:color w:val="auto"/>
                <w:sz w:val="21"/>
                <w:highlight w:val="none"/>
              </w:rPr>
            </w:pPr>
          </w:p>
        </w:tc>
        <w:tc>
          <w:tcPr>
            <w:tcW w:w="987" w:type="dxa"/>
            <w:tcBorders>
              <w:right w:val="single" w:color="000000" w:sz="6" w:space="0"/>
            </w:tcBorders>
            <w:noWrap w:val="0"/>
            <w:vAlign w:val="top"/>
          </w:tcPr>
          <w:p w14:paraId="2CFEC436">
            <w:pPr>
              <w:rPr>
                <w:rFonts w:ascii="Arial"/>
                <w:color w:val="auto"/>
                <w:sz w:val="21"/>
                <w:highlight w:val="none"/>
              </w:rPr>
            </w:pPr>
          </w:p>
        </w:tc>
      </w:tr>
      <w:tr w14:paraId="49574B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503820C6">
            <w:pPr>
              <w:rPr>
                <w:rFonts w:ascii="Arial"/>
                <w:color w:val="auto"/>
                <w:sz w:val="21"/>
                <w:highlight w:val="none"/>
              </w:rPr>
            </w:pPr>
          </w:p>
        </w:tc>
        <w:tc>
          <w:tcPr>
            <w:tcW w:w="1072" w:type="dxa"/>
            <w:noWrap w:val="0"/>
            <w:vAlign w:val="top"/>
          </w:tcPr>
          <w:p w14:paraId="725F5ED2">
            <w:pPr>
              <w:rPr>
                <w:rFonts w:ascii="Arial"/>
                <w:color w:val="auto"/>
                <w:sz w:val="21"/>
                <w:highlight w:val="none"/>
              </w:rPr>
            </w:pPr>
          </w:p>
        </w:tc>
        <w:tc>
          <w:tcPr>
            <w:tcW w:w="719" w:type="dxa"/>
            <w:noWrap w:val="0"/>
            <w:vAlign w:val="top"/>
          </w:tcPr>
          <w:p w14:paraId="2C463298">
            <w:pPr>
              <w:rPr>
                <w:rFonts w:ascii="Arial"/>
                <w:color w:val="auto"/>
                <w:sz w:val="21"/>
                <w:highlight w:val="none"/>
              </w:rPr>
            </w:pPr>
          </w:p>
        </w:tc>
        <w:tc>
          <w:tcPr>
            <w:tcW w:w="739" w:type="dxa"/>
            <w:noWrap w:val="0"/>
            <w:vAlign w:val="top"/>
          </w:tcPr>
          <w:p w14:paraId="6805E876">
            <w:pPr>
              <w:rPr>
                <w:rFonts w:ascii="Arial"/>
                <w:color w:val="auto"/>
                <w:sz w:val="21"/>
                <w:highlight w:val="none"/>
              </w:rPr>
            </w:pPr>
          </w:p>
        </w:tc>
        <w:tc>
          <w:tcPr>
            <w:tcW w:w="739" w:type="dxa"/>
            <w:noWrap w:val="0"/>
            <w:vAlign w:val="top"/>
          </w:tcPr>
          <w:p w14:paraId="710DBCE1">
            <w:pPr>
              <w:rPr>
                <w:rFonts w:ascii="Arial"/>
                <w:color w:val="auto"/>
                <w:sz w:val="21"/>
                <w:highlight w:val="none"/>
              </w:rPr>
            </w:pPr>
          </w:p>
        </w:tc>
        <w:tc>
          <w:tcPr>
            <w:tcW w:w="856" w:type="dxa"/>
            <w:noWrap w:val="0"/>
            <w:vAlign w:val="top"/>
          </w:tcPr>
          <w:p w14:paraId="441E48BC">
            <w:pPr>
              <w:rPr>
                <w:rFonts w:ascii="Arial"/>
                <w:color w:val="auto"/>
                <w:sz w:val="21"/>
                <w:highlight w:val="none"/>
              </w:rPr>
            </w:pPr>
          </w:p>
        </w:tc>
        <w:tc>
          <w:tcPr>
            <w:tcW w:w="1270" w:type="dxa"/>
            <w:noWrap w:val="0"/>
            <w:vAlign w:val="top"/>
          </w:tcPr>
          <w:p w14:paraId="486489C7">
            <w:pPr>
              <w:rPr>
                <w:rFonts w:ascii="Arial"/>
                <w:color w:val="auto"/>
                <w:sz w:val="21"/>
                <w:highlight w:val="none"/>
              </w:rPr>
            </w:pPr>
          </w:p>
        </w:tc>
        <w:tc>
          <w:tcPr>
            <w:tcW w:w="882" w:type="dxa"/>
            <w:noWrap w:val="0"/>
            <w:vAlign w:val="top"/>
          </w:tcPr>
          <w:p w14:paraId="2F229FF1">
            <w:pPr>
              <w:rPr>
                <w:rFonts w:ascii="Arial"/>
                <w:color w:val="auto"/>
                <w:sz w:val="21"/>
                <w:highlight w:val="none"/>
              </w:rPr>
            </w:pPr>
          </w:p>
        </w:tc>
        <w:tc>
          <w:tcPr>
            <w:tcW w:w="979" w:type="dxa"/>
            <w:noWrap w:val="0"/>
            <w:vAlign w:val="top"/>
          </w:tcPr>
          <w:p w14:paraId="4F9F28F6">
            <w:pPr>
              <w:rPr>
                <w:rFonts w:ascii="Arial"/>
                <w:color w:val="auto"/>
                <w:sz w:val="21"/>
                <w:highlight w:val="none"/>
              </w:rPr>
            </w:pPr>
          </w:p>
        </w:tc>
        <w:tc>
          <w:tcPr>
            <w:tcW w:w="987" w:type="dxa"/>
            <w:tcBorders>
              <w:right w:val="single" w:color="000000" w:sz="6" w:space="0"/>
            </w:tcBorders>
            <w:noWrap w:val="0"/>
            <w:vAlign w:val="top"/>
          </w:tcPr>
          <w:p w14:paraId="0FD4A92B">
            <w:pPr>
              <w:rPr>
                <w:rFonts w:ascii="Arial"/>
                <w:color w:val="auto"/>
                <w:sz w:val="21"/>
                <w:highlight w:val="none"/>
              </w:rPr>
            </w:pPr>
          </w:p>
        </w:tc>
      </w:tr>
      <w:tr w14:paraId="2A543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5007F90E">
            <w:pPr>
              <w:rPr>
                <w:rFonts w:ascii="Arial"/>
                <w:color w:val="auto"/>
                <w:sz w:val="21"/>
                <w:highlight w:val="none"/>
              </w:rPr>
            </w:pPr>
          </w:p>
        </w:tc>
        <w:tc>
          <w:tcPr>
            <w:tcW w:w="1072" w:type="dxa"/>
            <w:noWrap w:val="0"/>
            <w:vAlign w:val="top"/>
          </w:tcPr>
          <w:p w14:paraId="1F6B729B">
            <w:pPr>
              <w:rPr>
                <w:rFonts w:ascii="Arial"/>
                <w:color w:val="auto"/>
                <w:sz w:val="21"/>
                <w:highlight w:val="none"/>
              </w:rPr>
            </w:pPr>
          </w:p>
        </w:tc>
        <w:tc>
          <w:tcPr>
            <w:tcW w:w="719" w:type="dxa"/>
            <w:noWrap w:val="0"/>
            <w:vAlign w:val="top"/>
          </w:tcPr>
          <w:p w14:paraId="10FC05B1">
            <w:pPr>
              <w:rPr>
                <w:rFonts w:ascii="Arial"/>
                <w:color w:val="auto"/>
                <w:sz w:val="21"/>
                <w:highlight w:val="none"/>
              </w:rPr>
            </w:pPr>
          </w:p>
        </w:tc>
        <w:tc>
          <w:tcPr>
            <w:tcW w:w="739" w:type="dxa"/>
            <w:noWrap w:val="0"/>
            <w:vAlign w:val="top"/>
          </w:tcPr>
          <w:p w14:paraId="420EFEB1">
            <w:pPr>
              <w:rPr>
                <w:rFonts w:ascii="Arial"/>
                <w:color w:val="auto"/>
                <w:sz w:val="21"/>
                <w:highlight w:val="none"/>
              </w:rPr>
            </w:pPr>
          </w:p>
        </w:tc>
        <w:tc>
          <w:tcPr>
            <w:tcW w:w="739" w:type="dxa"/>
            <w:noWrap w:val="0"/>
            <w:vAlign w:val="top"/>
          </w:tcPr>
          <w:p w14:paraId="09B9D96E">
            <w:pPr>
              <w:rPr>
                <w:rFonts w:ascii="Arial"/>
                <w:color w:val="auto"/>
                <w:sz w:val="21"/>
                <w:highlight w:val="none"/>
              </w:rPr>
            </w:pPr>
          </w:p>
        </w:tc>
        <w:tc>
          <w:tcPr>
            <w:tcW w:w="856" w:type="dxa"/>
            <w:noWrap w:val="0"/>
            <w:vAlign w:val="top"/>
          </w:tcPr>
          <w:p w14:paraId="437EE78E">
            <w:pPr>
              <w:rPr>
                <w:rFonts w:ascii="Arial"/>
                <w:color w:val="auto"/>
                <w:sz w:val="21"/>
                <w:highlight w:val="none"/>
              </w:rPr>
            </w:pPr>
          </w:p>
        </w:tc>
        <w:tc>
          <w:tcPr>
            <w:tcW w:w="1270" w:type="dxa"/>
            <w:noWrap w:val="0"/>
            <w:vAlign w:val="top"/>
          </w:tcPr>
          <w:p w14:paraId="0D18E684">
            <w:pPr>
              <w:rPr>
                <w:rFonts w:ascii="Arial"/>
                <w:color w:val="auto"/>
                <w:sz w:val="21"/>
                <w:highlight w:val="none"/>
              </w:rPr>
            </w:pPr>
          </w:p>
        </w:tc>
        <w:tc>
          <w:tcPr>
            <w:tcW w:w="882" w:type="dxa"/>
            <w:noWrap w:val="0"/>
            <w:vAlign w:val="top"/>
          </w:tcPr>
          <w:p w14:paraId="608257CC">
            <w:pPr>
              <w:rPr>
                <w:rFonts w:ascii="Arial"/>
                <w:color w:val="auto"/>
                <w:sz w:val="21"/>
                <w:highlight w:val="none"/>
              </w:rPr>
            </w:pPr>
          </w:p>
        </w:tc>
        <w:tc>
          <w:tcPr>
            <w:tcW w:w="979" w:type="dxa"/>
            <w:noWrap w:val="0"/>
            <w:vAlign w:val="top"/>
          </w:tcPr>
          <w:p w14:paraId="35C176B4">
            <w:pPr>
              <w:rPr>
                <w:rFonts w:ascii="Arial"/>
                <w:color w:val="auto"/>
                <w:sz w:val="21"/>
                <w:highlight w:val="none"/>
              </w:rPr>
            </w:pPr>
          </w:p>
        </w:tc>
        <w:tc>
          <w:tcPr>
            <w:tcW w:w="987" w:type="dxa"/>
            <w:tcBorders>
              <w:right w:val="single" w:color="000000" w:sz="6" w:space="0"/>
            </w:tcBorders>
            <w:noWrap w:val="0"/>
            <w:vAlign w:val="top"/>
          </w:tcPr>
          <w:p w14:paraId="6473CA33">
            <w:pPr>
              <w:rPr>
                <w:rFonts w:ascii="Arial"/>
                <w:color w:val="auto"/>
                <w:sz w:val="21"/>
                <w:highlight w:val="none"/>
              </w:rPr>
            </w:pPr>
          </w:p>
        </w:tc>
      </w:tr>
      <w:tr w14:paraId="02B41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noWrap w:val="0"/>
            <w:vAlign w:val="top"/>
          </w:tcPr>
          <w:p w14:paraId="376BA00F">
            <w:pPr>
              <w:rPr>
                <w:rFonts w:ascii="Arial"/>
                <w:color w:val="auto"/>
                <w:sz w:val="21"/>
                <w:highlight w:val="none"/>
              </w:rPr>
            </w:pPr>
          </w:p>
        </w:tc>
        <w:tc>
          <w:tcPr>
            <w:tcW w:w="1072" w:type="dxa"/>
            <w:noWrap w:val="0"/>
            <w:vAlign w:val="top"/>
          </w:tcPr>
          <w:p w14:paraId="6B644A81">
            <w:pPr>
              <w:rPr>
                <w:rFonts w:ascii="Arial"/>
                <w:color w:val="auto"/>
                <w:sz w:val="21"/>
                <w:highlight w:val="none"/>
              </w:rPr>
            </w:pPr>
          </w:p>
        </w:tc>
        <w:tc>
          <w:tcPr>
            <w:tcW w:w="719" w:type="dxa"/>
            <w:noWrap w:val="0"/>
            <w:vAlign w:val="top"/>
          </w:tcPr>
          <w:p w14:paraId="715D1C96">
            <w:pPr>
              <w:rPr>
                <w:rFonts w:ascii="Arial"/>
                <w:color w:val="auto"/>
                <w:sz w:val="21"/>
                <w:highlight w:val="none"/>
              </w:rPr>
            </w:pPr>
          </w:p>
        </w:tc>
        <w:tc>
          <w:tcPr>
            <w:tcW w:w="739" w:type="dxa"/>
            <w:noWrap w:val="0"/>
            <w:vAlign w:val="top"/>
          </w:tcPr>
          <w:p w14:paraId="15C2D60D">
            <w:pPr>
              <w:rPr>
                <w:rFonts w:ascii="Arial"/>
                <w:color w:val="auto"/>
                <w:sz w:val="21"/>
                <w:highlight w:val="none"/>
              </w:rPr>
            </w:pPr>
          </w:p>
        </w:tc>
        <w:tc>
          <w:tcPr>
            <w:tcW w:w="739" w:type="dxa"/>
            <w:noWrap w:val="0"/>
            <w:vAlign w:val="top"/>
          </w:tcPr>
          <w:p w14:paraId="248B6F57">
            <w:pPr>
              <w:rPr>
                <w:rFonts w:ascii="Arial"/>
                <w:color w:val="auto"/>
                <w:sz w:val="21"/>
                <w:highlight w:val="none"/>
              </w:rPr>
            </w:pPr>
          </w:p>
        </w:tc>
        <w:tc>
          <w:tcPr>
            <w:tcW w:w="856" w:type="dxa"/>
            <w:noWrap w:val="0"/>
            <w:vAlign w:val="top"/>
          </w:tcPr>
          <w:p w14:paraId="175BDF8A">
            <w:pPr>
              <w:rPr>
                <w:rFonts w:ascii="Arial"/>
                <w:color w:val="auto"/>
                <w:sz w:val="21"/>
                <w:highlight w:val="none"/>
              </w:rPr>
            </w:pPr>
          </w:p>
        </w:tc>
        <w:tc>
          <w:tcPr>
            <w:tcW w:w="1270" w:type="dxa"/>
            <w:noWrap w:val="0"/>
            <w:vAlign w:val="top"/>
          </w:tcPr>
          <w:p w14:paraId="2EB82124">
            <w:pPr>
              <w:rPr>
                <w:rFonts w:ascii="Arial"/>
                <w:color w:val="auto"/>
                <w:sz w:val="21"/>
                <w:highlight w:val="none"/>
              </w:rPr>
            </w:pPr>
          </w:p>
        </w:tc>
        <w:tc>
          <w:tcPr>
            <w:tcW w:w="882" w:type="dxa"/>
            <w:noWrap w:val="0"/>
            <w:vAlign w:val="top"/>
          </w:tcPr>
          <w:p w14:paraId="10750F89">
            <w:pPr>
              <w:rPr>
                <w:rFonts w:ascii="Arial"/>
                <w:color w:val="auto"/>
                <w:sz w:val="21"/>
                <w:highlight w:val="none"/>
              </w:rPr>
            </w:pPr>
          </w:p>
        </w:tc>
        <w:tc>
          <w:tcPr>
            <w:tcW w:w="979" w:type="dxa"/>
            <w:noWrap w:val="0"/>
            <w:vAlign w:val="top"/>
          </w:tcPr>
          <w:p w14:paraId="31D56D65">
            <w:pPr>
              <w:rPr>
                <w:rFonts w:ascii="Arial"/>
                <w:color w:val="auto"/>
                <w:sz w:val="21"/>
                <w:highlight w:val="none"/>
              </w:rPr>
            </w:pPr>
          </w:p>
        </w:tc>
        <w:tc>
          <w:tcPr>
            <w:tcW w:w="987" w:type="dxa"/>
            <w:tcBorders>
              <w:right w:val="single" w:color="000000" w:sz="6" w:space="0"/>
            </w:tcBorders>
            <w:noWrap w:val="0"/>
            <w:vAlign w:val="top"/>
          </w:tcPr>
          <w:p w14:paraId="3DC1B857">
            <w:pPr>
              <w:rPr>
                <w:rFonts w:ascii="Arial"/>
                <w:color w:val="auto"/>
                <w:sz w:val="21"/>
                <w:highlight w:val="none"/>
              </w:rPr>
            </w:pPr>
          </w:p>
        </w:tc>
      </w:tr>
      <w:tr w14:paraId="1EEB9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006DB941">
            <w:pPr>
              <w:rPr>
                <w:rFonts w:ascii="Arial"/>
                <w:color w:val="auto"/>
                <w:sz w:val="21"/>
                <w:highlight w:val="none"/>
              </w:rPr>
            </w:pPr>
          </w:p>
        </w:tc>
        <w:tc>
          <w:tcPr>
            <w:tcW w:w="1072" w:type="dxa"/>
            <w:noWrap w:val="0"/>
            <w:vAlign w:val="top"/>
          </w:tcPr>
          <w:p w14:paraId="5C2F035B">
            <w:pPr>
              <w:rPr>
                <w:rFonts w:ascii="Arial"/>
                <w:color w:val="auto"/>
                <w:sz w:val="21"/>
                <w:highlight w:val="none"/>
              </w:rPr>
            </w:pPr>
          </w:p>
        </w:tc>
        <w:tc>
          <w:tcPr>
            <w:tcW w:w="719" w:type="dxa"/>
            <w:noWrap w:val="0"/>
            <w:vAlign w:val="top"/>
          </w:tcPr>
          <w:p w14:paraId="2D2A85F4">
            <w:pPr>
              <w:rPr>
                <w:rFonts w:ascii="Arial"/>
                <w:color w:val="auto"/>
                <w:sz w:val="21"/>
                <w:highlight w:val="none"/>
              </w:rPr>
            </w:pPr>
          </w:p>
        </w:tc>
        <w:tc>
          <w:tcPr>
            <w:tcW w:w="739" w:type="dxa"/>
            <w:noWrap w:val="0"/>
            <w:vAlign w:val="top"/>
          </w:tcPr>
          <w:p w14:paraId="72C2CE13">
            <w:pPr>
              <w:rPr>
                <w:rFonts w:ascii="Arial"/>
                <w:color w:val="auto"/>
                <w:sz w:val="21"/>
                <w:highlight w:val="none"/>
              </w:rPr>
            </w:pPr>
          </w:p>
        </w:tc>
        <w:tc>
          <w:tcPr>
            <w:tcW w:w="739" w:type="dxa"/>
            <w:noWrap w:val="0"/>
            <w:vAlign w:val="top"/>
          </w:tcPr>
          <w:p w14:paraId="11027F34">
            <w:pPr>
              <w:rPr>
                <w:rFonts w:ascii="Arial"/>
                <w:color w:val="auto"/>
                <w:sz w:val="21"/>
                <w:highlight w:val="none"/>
              </w:rPr>
            </w:pPr>
          </w:p>
        </w:tc>
        <w:tc>
          <w:tcPr>
            <w:tcW w:w="856" w:type="dxa"/>
            <w:noWrap w:val="0"/>
            <w:vAlign w:val="top"/>
          </w:tcPr>
          <w:p w14:paraId="776559A8">
            <w:pPr>
              <w:rPr>
                <w:rFonts w:ascii="Arial"/>
                <w:color w:val="auto"/>
                <w:sz w:val="21"/>
                <w:highlight w:val="none"/>
              </w:rPr>
            </w:pPr>
          </w:p>
        </w:tc>
        <w:tc>
          <w:tcPr>
            <w:tcW w:w="1270" w:type="dxa"/>
            <w:noWrap w:val="0"/>
            <w:vAlign w:val="top"/>
          </w:tcPr>
          <w:p w14:paraId="63A3A287">
            <w:pPr>
              <w:rPr>
                <w:rFonts w:ascii="Arial"/>
                <w:color w:val="auto"/>
                <w:sz w:val="21"/>
                <w:highlight w:val="none"/>
              </w:rPr>
            </w:pPr>
          </w:p>
        </w:tc>
        <w:tc>
          <w:tcPr>
            <w:tcW w:w="882" w:type="dxa"/>
            <w:noWrap w:val="0"/>
            <w:vAlign w:val="top"/>
          </w:tcPr>
          <w:p w14:paraId="6330E4FE">
            <w:pPr>
              <w:rPr>
                <w:rFonts w:ascii="Arial"/>
                <w:color w:val="auto"/>
                <w:sz w:val="21"/>
                <w:highlight w:val="none"/>
              </w:rPr>
            </w:pPr>
          </w:p>
        </w:tc>
        <w:tc>
          <w:tcPr>
            <w:tcW w:w="979" w:type="dxa"/>
            <w:noWrap w:val="0"/>
            <w:vAlign w:val="top"/>
          </w:tcPr>
          <w:p w14:paraId="0571B1E2">
            <w:pPr>
              <w:rPr>
                <w:rFonts w:ascii="Arial"/>
                <w:color w:val="auto"/>
                <w:sz w:val="21"/>
                <w:highlight w:val="none"/>
              </w:rPr>
            </w:pPr>
          </w:p>
        </w:tc>
        <w:tc>
          <w:tcPr>
            <w:tcW w:w="987" w:type="dxa"/>
            <w:tcBorders>
              <w:right w:val="single" w:color="000000" w:sz="6" w:space="0"/>
            </w:tcBorders>
            <w:noWrap w:val="0"/>
            <w:vAlign w:val="top"/>
          </w:tcPr>
          <w:p w14:paraId="6AC9B85C">
            <w:pPr>
              <w:rPr>
                <w:rFonts w:ascii="Arial"/>
                <w:color w:val="auto"/>
                <w:sz w:val="21"/>
                <w:highlight w:val="none"/>
              </w:rPr>
            </w:pPr>
          </w:p>
        </w:tc>
      </w:tr>
      <w:tr w14:paraId="491A0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7808FB99">
            <w:pPr>
              <w:rPr>
                <w:rFonts w:ascii="Arial"/>
                <w:color w:val="auto"/>
                <w:sz w:val="21"/>
                <w:highlight w:val="none"/>
              </w:rPr>
            </w:pPr>
          </w:p>
        </w:tc>
        <w:tc>
          <w:tcPr>
            <w:tcW w:w="1072" w:type="dxa"/>
            <w:noWrap w:val="0"/>
            <w:vAlign w:val="top"/>
          </w:tcPr>
          <w:p w14:paraId="07636441">
            <w:pPr>
              <w:rPr>
                <w:rFonts w:ascii="Arial"/>
                <w:color w:val="auto"/>
                <w:sz w:val="21"/>
                <w:highlight w:val="none"/>
              </w:rPr>
            </w:pPr>
          </w:p>
        </w:tc>
        <w:tc>
          <w:tcPr>
            <w:tcW w:w="719" w:type="dxa"/>
            <w:noWrap w:val="0"/>
            <w:vAlign w:val="top"/>
          </w:tcPr>
          <w:p w14:paraId="3581F7EF">
            <w:pPr>
              <w:rPr>
                <w:rFonts w:ascii="Arial"/>
                <w:color w:val="auto"/>
                <w:sz w:val="21"/>
                <w:highlight w:val="none"/>
              </w:rPr>
            </w:pPr>
          </w:p>
        </w:tc>
        <w:tc>
          <w:tcPr>
            <w:tcW w:w="739" w:type="dxa"/>
            <w:noWrap w:val="0"/>
            <w:vAlign w:val="top"/>
          </w:tcPr>
          <w:p w14:paraId="0B14D210">
            <w:pPr>
              <w:rPr>
                <w:rFonts w:ascii="Arial"/>
                <w:color w:val="auto"/>
                <w:sz w:val="21"/>
                <w:highlight w:val="none"/>
              </w:rPr>
            </w:pPr>
          </w:p>
        </w:tc>
        <w:tc>
          <w:tcPr>
            <w:tcW w:w="739" w:type="dxa"/>
            <w:noWrap w:val="0"/>
            <w:vAlign w:val="top"/>
          </w:tcPr>
          <w:p w14:paraId="1884537F">
            <w:pPr>
              <w:rPr>
                <w:rFonts w:ascii="Arial"/>
                <w:color w:val="auto"/>
                <w:sz w:val="21"/>
                <w:highlight w:val="none"/>
              </w:rPr>
            </w:pPr>
          </w:p>
        </w:tc>
        <w:tc>
          <w:tcPr>
            <w:tcW w:w="856" w:type="dxa"/>
            <w:noWrap w:val="0"/>
            <w:vAlign w:val="top"/>
          </w:tcPr>
          <w:p w14:paraId="043ED92E">
            <w:pPr>
              <w:rPr>
                <w:rFonts w:ascii="Arial"/>
                <w:color w:val="auto"/>
                <w:sz w:val="21"/>
                <w:highlight w:val="none"/>
              </w:rPr>
            </w:pPr>
          </w:p>
        </w:tc>
        <w:tc>
          <w:tcPr>
            <w:tcW w:w="1270" w:type="dxa"/>
            <w:noWrap w:val="0"/>
            <w:vAlign w:val="top"/>
          </w:tcPr>
          <w:p w14:paraId="1AF0A54E">
            <w:pPr>
              <w:rPr>
                <w:rFonts w:ascii="Arial"/>
                <w:color w:val="auto"/>
                <w:sz w:val="21"/>
                <w:highlight w:val="none"/>
              </w:rPr>
            </w:pPr>
          </w:p>
        </w:tc>
        <w:tc>
          <w:tcPr>
            <w:tcW w:w="882" w:type="dxa"/>
            <w:noWrap w:val="0"/>
            <w:vAlign w:val="top"/>
          </w:tcPr>
          <w:p w14:paraId="117FDA74">
            <w:pPr>
              <w:rPr>
                <w:rFonts w:ascii="Arial"/>
                <w:color w:val="auto"/>
                <w:sz w:val="21"/>
                <w:highlight w:val="none"/>
              </w:rPr>
            </w:pPr>
          </w:p>
        </w:tc>
        <w:tc>
          <w:tcPr>
            <w:tcW w:w="979" w:type="dxa"/>
            <w:noWrap w:val="0"/>
            <w:vAlign w:val="top"/>
          </w:tcPr>
          <w:p w14:paraId="4FCB5AF4">
            <w:pPr>
              <w:rPr>
                <w:rFonts w:ascii="Arial"/>
                <w:color w:val="auto"/>
                <w:sz w:val="21"/>
                <w:highlight w:val="none"/>
              </w:rPr>
            </w:pPr>
          </w:p>
        </w:tc>
        <w:tc>
          <w:tcPr>
            <w:tcW w:w="987" w:type="dxa"/>
            <w:tcBorders>
              <w:right w:val="single" w:color="000000" w:sz="6" w:space="0"/>
            </w:tcBorders>
            <w:noWrap w:val="0"/>
            <w:vAlign w:val="top"/>
          </w:tcPr>
          <w:p w14:paraId="4A34D0B2">
            <w:pPr>
              <w:rPr>
                <w:rFonts w:ascii="Arial"/>
                <w:color w:val="auto"/>
                <w:sz w:val="21"/>
                <w:highlight w:val="none"/>
              </w:rPr>
            </w:pPr>
          </w:p>
        </w:tc>
      </w:tr>
      <w:tr w14:paraId="78E55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62" w:type="dxa"/>
            <w:tcBorders>
              <w:left w:val="single" w:color="000000" w:sz="6" w:space="0"/>
            </w:tcBorders>
            <w:noWrap w:val="0"/>
            <w:vAlign w:val="top"/>
          </w:tcPr>
          <w:p w14:paraId="557DBDF9">
            <w:pPr>
              <w:rPr>
                <w:rFonts w:ascii="Arial"/>
                <w:color w:val="auto"/>
                <w:sz w:val="21"/>
                <w:highlight w:val="none"/>
              </w:rPr>
            </w:pPr>
          </w:p>
        </w:tc>
        <w:tc>
          <w:tcPr>
            <w:tcW w:w="1072" w:type="dxa"/>
            <w:noWrap w:val="0"/>
            <w:vAlign w:val="top"/>
          </w:tcPr>
          <w:p w14:paraId="210DCDCC">
            <w:pPr>
              <w:rPr>
                <w:rFonts w:ascii="Arial"/>
                <w:color w:val="auto"/>
                <w:sz w:val="21"/>
                <w:highlight w:val="none"/>
              </w:rPr>
            </w:pPr>
          </w:p>
        </w:tc>
        <w:tc>
          <w:tcPr>
            <w:tcW w:w="719" w:type="dxa"/>
            <w:noWrap w:val="0"/>
            <w:vAlign w:val="top"/>
          </w:tcPr>
          <w:p w14:paraId="30D3AC65">
            <w:pPr>
              <w:rPr>
                <w:rFonts w:ascii="Arial"/>
                <w:color w:val="auto"/>
                <w:sz w:val="21"/>
                <w:highlight w:val="none"/>
              </w:rPr>
            </w:pPr>
          </w:p>
        </w:tc>
        <w:tc>
          <w:tcPr>
            <w:tcW w:w="739" w:type="dxa"/>
            <w:noWrap w:val="0"/>
            <w:vAlign w:val="top"/>
          </w:tcPr>
          <w:p w14:paraId="7F252DEB">
            <w:pPr>
              <w:rPr>
                <w:rFonts w:ascii="Arial"/>
                <w:color w:val="auto"/>
                <w:sz w:val="21"/>
                <w:highlight w:val="none"/>
              </w:rPr>
            </w:pPr>
          </w:p>
        </w:tc>
        <w:tc>
          <w:tcPr>
            <w:tcW w:w="739" w:type="dxa"/>
            <w:noWrap w:val="0"/>
            <w:vAlign w:val="top"/>
          </w:tcPr>
          <w:p w14:paraId="2FD20FAF">
            <w:pPr>
              <w:rPr>
                <w:rFonts w:ascii="Arial"/>
                <w:color w:val="auto"/>
                <w:sz w:val="21"/>
                <w:highlight w:val="none"/>
              </w:rPr>
            </w:pPr>
          </w:p>
        </w:tc>
        <w:tc>
          <w:tcPr>
            <w:tcW w:w="856" w:type="dxa"/>
            <w:noWrap w:val="0"/>
            <w:vAlign w:val="top"/>
          </w:tcPr>
          <w:p w14:paraId="70B6FA5F">
            <w:pPr>
              <w:rPr>
                <w:rFonts w:ascii="Arial"/>
                <w:color w:val="auto"/>
                <w:sz w:val="21"/>
                <w:highlight w:val="none"/>
              </w:rPr>
            </w:pPr>
          </w:p>
        </w:tc>
        <w:tc>
          <w:tcPr>
            <w:tcW w:w="1270" w:type="dxa"/>
            <w:noWrap w:val="0"/>
            <w:vAlign w:val="top"/>
          </w:tcPr>
          <w:p w14:paraId="6CCFC44D">
            <w:pPr>
              <w:rPr>
                <w:rFonts w:ascii="Arial"/>
                <w:color w:val="auto"/>
                <w:sz w:val="21"/>
                <w:highlight w:val="none"/>
              </w:rPr>
            </w:pPr>
          </w:p>
        </w:tc>
        <w:tc>
          <w:tcPr>
            <w:tcW w:w="882" w:type="dxa"/>
            <w:noWrap w:val="0"/>
            <w:vAlign w:val="top"/>
          </w:tcPr>
          <w:p w14:paraId="7D1D950A">
            <w:pPr>
              <w:rPr>
                <w:rFonts w:ascii="Arial"/>
                <w:color w:val="auto"/>
                <w:sz w:val="21"/>
                <w:highlight w:val="none"/>
              </w:rPr>
            </w:pPr>
          </w:p>
        </w:tc>
        <w:tc>
          <w:tcPr>
            <w:tcW w:w="979" w:type="dxa"/>
            <w:noWrap w:val="0"/>
            <w:vAlign w:val="top"/>
          </w:tcPr>
          <w:p w14:paraId="22CD52CD">
            <w:pPr>
              <w:rPr>
                <w:rFonts w:ascii="Arial"/>
                <w:color w:val="auto"/>
                <w:sz w:val="21"/>
                <w:highlight w:val="none"/>
              </w:rPr>
            </w:pPr>
          </w:p>
        </w:tc>
        <w:tc>
          <w:tcPr>
            <w:tcW w:w="987" w:type="dxa"/>
            <w:tcBorders>
              <w:right w:val="single" w:color="000000" w:sz="6" w:space="0"/>
            </w:tcBorders>
            <w:noWrap w:val="0"/>
            <w:vAlign w:val="top"/>
          </w:tcPr>
          <w:p w14:paraId="61D8F58D">
            <w:pPr>
              <w:rPr>
                <w:rFonts w:ascii="Arial"/>
                <w:color w:val="auto"/>
                <w:sz w:val="21"/>
                <w:highlight w:val="none"/>
              </w:rPr>
            </w:pPr>
          </w:p>
        </w:tc>
      </w:tr>
      <w:tr w14:paraId="4F28B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29AF03A1">
            <w:pPr>
              <w:rPr>
                <w:rFonts w:ascii="Arial"/>
                <w:color w:val="auto"/>
                <w:sz w:val="21"/>
                <w:highlight w:val="none"/>
              </w:rPr>
            </w:pPr>
          </w:p>
        </w:tc>
        <w:tc>
          <w:tcPr>
            <w:tcW w:w="1072" w:type="dxa"/>
            <w:noWrap w:val="0"/>
            <w:vAlign w:val="top"/>
          </w:tcPr>
          <w:p w14:paraId="0FBE7B4A">
            <w:pPr>
              <w:rPr>
                <w:rFonts w:ascii="Arial"/>
                <w:color w:val="auto"/>
                <w:sz w:val="21"/>
                <w:highlight w:val="none"/>
              </w:rPr>
            </w:pPr>
          </w:p>
        </w:tc>
        <w:tc>
          <w:tcPr>
            <w:tcW w:w="719" w:type="dxa"/>
            <w:noWrap w:val="0"/>
            <w:vAlign w:val="top"/>
          </w:tcPr>
          <w:p w14:paraId="77C804F2">
            <w:pPr>
              <w:rPr>
                <w:rFonts w:ascii="Arial"/>
                <w:color w:val="auto"/>
                <w:sz w:val="21"/>
                <w:highlight w:val="none"/>
              </w:rPr>
            </w:pPr>
          </w:p>
        </w:tc>
        <w:tc>
          <w:tcPr>
            <w:tcW w:w="739" w:type="dxa"/>
            <w:noWrap w:val="0"/>
            <w:vAlign w:val="top"/>
          </w:tcPr>
          <w:p w14:paraId="74A98BF7">
            <w:pPr>
              <w:rPr>
                <w:rFonts w:ascii="Arial"/>
                <w:color w:val="auto"/>
                <w:sz w:val="21"/>
                <w:highlight w:val="none"/>
              </w:rPr>
            </w:pPr>
          </w:p>
        </w:tc>
        <w:tc>
          <w:tcPr>
            <w:tcW w:w="739" w:type="dxa"/>
            <w:noWrap w:val="0"/>
            <w:vAlign w:val="top"/>
          </w:tcPr>
          <w:p w14:paraId="7981591D">
            <w:pPr>
              <w:rPr>
                <w:rFonts w:ascii="Arial"/>
                <w:color w:val="auto"/>
                <w:sz w:val="21"/>
                <w:highlight w:val="none"/>
              </w:rPr>
            </w:pPr>
          </w:p>
        </w:tc>
        <w:tc>
          <w:tcPr>
            <w:tcW w:w="856" w:type="dxa"/>
            <w:noWrap w:val="0"/>
            <w:vAlign w:val="top"/>
          </w:tcPr>
          <w:p w14:paraId="1B357E62">
            <w:pPr>
              <w:rPr>
                <w:rFonts w:ascii="Arial"/>
                <w:color w:val="auto"/>
                <w:sz w:val="21"/>
                <w:highlight w:val="none"/>
              </w:rPr>
            </w:pPr>
          </w:p>
        </w:tc>
        <w:tc>
          <w:tcPr>
            <w:tcW w:w="1270" w:type="dxa"/>
            <w:noWrap w:val="0"/>
            <w:vAlign w:val="top"/>
          </w:tcPr>
          <w:p w14:paraId="2DCB3454">
            <w:pPr>
              <w:rPr>
                <w:rFonts w:ascii="Arial"/>
                <w:color w:val="auto"/>
                <w:sz w:val="21"/>
                <w:highlight w:val="none"/>
              </w:rPr>
            </w:pPr>
          </w:p>
        </w:tc>
        <w:tc>
          <w:tcPr>
            <w:tcW w:w="882" w:type="dxa"/>
            <w:noWrap w:val="0"/>
            <w:vAlign w:val="top"/>
          </w:tcPr>
          <w:p w14:paraId="54E0E7C6">
            <w:pPr>
              <w:rPr>
                <w:rFonts w:ascii="Arial"/>
                <w:color w:val="auto"/>
                <w:sz w:val="21"/>
                <w:highlight w:val="none"/>
              </w:rPr>
            </w:pPr>
          </w:p>
        </w:tc>
        <w:tc>
          <w:tcPr>
            <w:tcW w:w="979" w:type="dxa"/>
            <w:noWrap w:val="0"/>
            <w:vAlign w:val="top"/>
          </w:tcPr>
          <w:p w14:paraId="6D1414A5">
            <w:pPr>
              <w:rPr>
                <w:rFonts w:ascii="Arial"/>
                <w:color w:val="auto"/>
                <w:sz w:val="21"/>
                <w:highlight w:val="none"/>
              </w:rPr>
            </w:pPr>
          </w:p>
        </w:tc>
        <w:tc>
          <w:tcPr>
            <w:tcW w:w="987" w:type="dxa"/>
            <w:tcBorders>
              <w:right w:val="single" w:color="000000" w:sz="6" w:space="0"/>
            </w:tcBorders>
            <w:noWrap w:val="0"/>
            <w:vAlign w:val="top"/>
          </w:tcPr>
          <w:p w14:paraId="7A9BE9E2">
            <w:pPr>
              <w:rPr>
                <w:rFonts w:ascii="Arial"/>
                <w:color w:val="auto"/>
                <w:sz w:val="21"/>
                <w:highlight w:val="none"/>
              </w:rPr>
            </w:pPr>
          </w:p>
        </w:tc>
      </w:tr>
      <w:tr w14:paraId="1F139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2" w:type="dxa"/>
            <w:tcBorders>
              <w:left w:val="single" w:color="000000" w:sz="6" w:space="0"/>
            </w:tcBorders>
            <w:noWrap w:val="0"/>
            <w:vAlign w:val="top"/>
          </w:tcPr>
          <w:p w14:paraId="32FB72A5">
            <w:pPr>
              <w:rPr>
                <w:rFonts w:ascii="Arial"/>
                <w:color w:val="auto"/>
                <w:sz w:val="21"/>
                <w:highlight w:val="none"/>
              </w:rPr>
            </w:pPr>
          </w:p>
        </w:tc>
        <w:tc>
          <w:tcPr>
            <w:tcW w:w="1072" w:type="dxa"/>
            <w:noWrap w:val="0"/>
            <w:vAlign w:val="top"/>
          </w:tcPr>
          <w:p w14:paraId="1FD30591">
            <w:pPr>
              <w:rPr>
                <w:rFonts w:ascii="Arial"/>
                <w:color w:val="auto"/>
                <w:sz w:val="21"/>
                <w:highlight w:val="none"/>
              </w:rPr>
            </w:pPr>
          </w:p>
        </w:tc>
        <w:tc>
          <w:tcPr>
            <w:tcW w:w="719" w:type="dxa"/>
            <w:noWrap w:val="0"/>
            <w:vAlign w:val="top"/>
          </w:tcPr>
          <w:p w14:paraId="0204BACD">
            <w:pPr>
              <w:rPr>
                <w:rFonts w:ascii="Arial"/>
                <w:color w:val="auto"/>
                <w:sz w:val="21"/>
                <w:highlight w:val="none"/>
              </w:rPr>
            </w:pPr>
          </w:p>
        </w:tc>
        <w:tc>
          <w:tcPr>
            <w:tcW w:w="739" w:type="dxa"/>
            <w:noWrap w:val="0"/>
            <w:vAlign w:val="top"/>
          </w:tcPr>
          <w:p w14:paraId="15BF9EE2">
            <w:pPr>
              <w:rPr>
                <w:rFonts w:ascii="Arial"/>
                <w:color w:val="auto"/>
                <w:sz w:val="21"/>
                <w:highlight w:val="none"/>
              </w:rPr>
            </w:pPr>
          </w:p>
        </w:tc>
        <w:tc>
          <w:tcPr>
            <w:tcW w:w="739" w:type="dxa"/>
            <w:noWrap w:val="0"/>
            <w:vAlign w:val="top"/>
          </w:tcPr>
          <w:p w14:paraId="44A4F72C">
            <w:pPr>
              <w:rPr>
                <w:rFonts w:ascii="Arial"/>
                <w:color w:val="auto"/>
                <w:sz w:val="21"/>
                <w:highlight w:val="none"/>
              </w:rPr>
            </w:pPr>
          </w:p>
        </w:tc>
        <w:tc>
          <w:tcPr>
            <w:tcW w:w="856" w:type="dxa"/>
            <w:noWrap w:val="0"/>
            <w:vAlign w:val="top"/>
          </w:tcPr>
          <w:p w14:paraId="2EFB7FDF">
            <w:pPr>
              <w:rPr>
                <w:rFonts w:ascii="Arial"/>
                <w:color w:val="auto"/>
                <w:sz w:val="21"/>
                <w:highlight w:val="none"/>
              </w:rPr>
            </w:pPr>
          </w:p>
        </w:tc>
        <w:tc>
          <w:tcPr>
            <w:tcW w:w="1270" w:type="dxa"/>
            <w:noWrap w:val="0"/>
            <w:vAlign w:val="top"/>
          </w:tcPr>
          <w:p w14:paraId="1EF2903A">
            <w:pPr>
              <w:rPr>
                <w:rFonts w:ascii="Arial"/>
                <w:color w:val="auto"/>
                <w:sz w:val="21"/>
                <w:highlight w:val="none"/>
              </w:rPr>
            </w:pPr>
          </w:p>
        </w:tc>
        <w:tc>
          <w:tcPr>
            <w:tcW w:w="882" w:type="dxa"/>
            <w:noWrap w:val="0"/>
            <w:vAlign w:val="top"/>
          </w:tcPr>
          <w:p w14:paraId="20964F74">
            <w:pPr>
              <w:rPr>
                <w:rFonts w:ascii="Arial"/>
                <w:color w:val="auto"/>
                <w:sz w:val="21"/>
                <w:highlight w:val="none"/>
              </w:rPr>
            </w:pPr>
          </w:p>
        </w:tc>
        <w:tc>
          <w:tcPr>
            <w:tcW w:w="979" w:type="dxa"/>
            <w:noWrap w:val="0"/>
            <w:vAlign w:val="top"/>
          </w:tcPr>
          <w:p w14:paraId="7CE22FE7">
            <w:pPr>
              <w:rPr>
                <w:rFonts w:ascii="Arial"/>
                <w:color w:val="auto"/>
                <w:sz w:val="21"/>
                <w:highlight w:val="none"/>
              </w:rPr>
            </w:pPr>
          </w:p>
        </w:tc>
        <w:tc>
          <w:tcPr>
            <w:tcW w:w="987" w:type="dxa"/>
            <w:tcBorders>
              <w:right w:val="single" w:color="000000" w:sz="6" w:space="0"/>
            </w:tcBorders>
            <w:noWrap w:val="0"/>
            <w:vAlign w:val="top"/>
          </w:tcPr>
          <w:p w14:paraId="7D5F7CC2">
            <w:pPr>
              <w:rPr>
                <w:rFonts w:ascii="Arial"/>
                <w:color w:val="auto"/>
                <w:sz w:val="21"/>
                <w:highlight w:val="none"/>
              </w:rPr>
            </w:pPr>
          </w:p>
        </w:tc>
      </w:tr>
      <w:tr w14:paraId="0130A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662" w:type="dxa"/>
            <w:tcBorders>
              <w:left w:val="single" w:color="000000" w:sz="6" w:space="0"/>
              <w:bottom w:val="single" w:color="000000" w:sz="6" w:space="0"/>
            </w:tcBorders>
            <w:noWrap w:val="0"/>
            <w:vAlign w:val="top"/>
          </w:tcPr>
          <w:p w14:paraId="4D920DD0">
            <w:pPr>
              <w:rPr>
                <w:rFonts w:ascii="Arial"/>
                <w:color w:val="auto"/>
                <w:sz w:val="21"/>
                <w:highlight w:val="none"/>
              </w:rPr>
            </w:pPr>
          </w:p>
        </w:tc>
        <w:tc>
          <w:tcPr>
            <w:tcW w:w="1072" w:type="dxa"/>
            <w:tcBorders>
              <w:bottom w:val="single" w:color="000000" w:sz="6" w:space="0"/>
            </w:tcBorders>
            <w:noWrap w:val="0"/>
            <w:vAlign w:val="top"/>
          </w:tcPr>
          <w:p w14:paraId="57FE90D6">
            <w:pPr>
              <w:rPr>
                <w:rFonts w:ascii="Arial"/>
                <w:color w:val="auto"/>
                <w:sz w:val="21"/>
                <w:highlight w:val="none"/>
              </w:rPr>
            </w:pPr>
          </w:p>
        </w:tc>
        <w:tc>
          <w:tcPr>
            <w:tcW w:w="719" w:type="dxa"/>
            <w:tcBorders>
              <w:bottom w:val="single" w:color="000000" w:sz="6" w:space="0"/>
            </w:tcBorders>
            <w:noWrap w:val="0"/>
            <w:vAlign w:val="top"/>
          </w:tcPr>
          <w:p w14:paraId="3FE01EA5">
            <w:pPr>
              <w:rPr>
                <w:rFonts w:ascii="Arial"/>
                <w:color w:val="auto"/>
                <w:sz w:val="21"/>
                <w:highlight w:val="none"/>
              </w:rPr>
            </w:pPr>
          </w:p>
        </w:tc>
        <w:tc>
          <w:tcPr>
            <w:tcW w:w="739" w:type="dxa"/>
            <w:tcBorders>
              <w:bottom w:val="single" w:color="000000" w:sz="6" w:space="0"/>
            </w:tcBorders>
            <w:noWrap w:val="0"/>
            <w:vAlign w:val="top"/>
          </w:tcPr>
          <w:p w14:paraId="7233D908">
            <w:pPr>
              <w:rPr>
                <w:rFonts w:ascii="Arial"/>
                <w:color w:val="auto"/>
                <w:sz w:val="21"/>
                <w:highlight w:val="none"/>
              </w:rPr>
            </w:pPr>
          </w:p>
        </w:tc>
        <w:tc>
          <w:tcPr>
            <w:tcW w:w="739" w:type="dxa"/>
            <w:tcBorders>
              <w:bottom w:val="single" w:color="000000" w:sz="6" w:space="0"/>
            </w:tcBorders>
            <w:noWrap w:val="0"/>
            <w:vAlign w:val="top"/>
          </w:tcPr>
          <w:p w14:paraId="720A31E4">
            <w:pPr>
              <w:rPr>
                <w:rFonts w:ascii="Arial"/>
                <w:color w:val="auto"/>
                <w:sz w:val="21"/>
                <w:highlight w:val="none"/>
              </w:rPr>
            </w:pPr>
          </w:p>
        </w:tc>
        <w:tc>
          <w:tcPr>
            <w:tcW w:w="856" w:type="dxa"/>
            <w:tcBorders>
              <w:bottom w:val="single" w:color="000000" w:sz="6" w:space="0"/>
            </w:tcBorders>
            <w:noWrap w:val="0"/>
            <w:vAlign w:val="top"/>
          </w:tcPr>
          <w:p w14:paraId="53BBA7A3">
            <w:pPr>
              <w:rPr>
                <w:rFonts w:ascii="Arial"/>
                <w:color w:val="auto"/>
                <w:sz w:val="21"/>
                <w:highlight w:val="none"/>
              </w:rPr>
            </w:pPr>
          </w:p>
        </w:tc>
        <w:tc>
          <w:tcPr>
            <w:tcW w:w="1270" w:type="dxa"/>
            <w:tcBorders>
              <w:bottom w:val="single" w:color="000000" w:sz="6" w:space="0"/>
            </w:tcBorders>
            <w:noWrap w:val="0"/>
            <w:vAlign w:val="top"/>
          </w:tcPr>
          <w:p w14:paraId="72179CDD">
            <w:pPr>
              <w:rPr>
                <w:rFonts w:ascii="Arial"/>
                <w:color w:val="auto"/>
                <w:sz w:val="21"/>
                <w:highlight w:val="none"/>
              </w:rPr>
            </w:pPr>
          </w:p>
        </w:tc>
        <w:tc>
          <w:tcPr>
            <w:tcW w:w="882" w:type="dxa"/>
            <w:tcBorders>
              <w:bottom w:val="single" w:color="000000" w:sz="6" w:space="0"/>
            </w:tcBorders>
            <w:noWrap w:val="0"/>
            <w:vAlign w:val="top"/>
          </w:tcPr>
          <w:p w14:paraId="6207D7AB">
            <w:pPr>
              <w:rPr>
                <w:rFonts w:ascii="Arial"/>
                <w:color w:val="auto"/>
                <w:sz w:val="21"/>
                <w:highlight w:val="none"/>
              </w:rPr>
            </w:pPr>
          </w:p>
        </w:tc>
        <w:tc>
          <w:tcPr>
            <w:tcW w:w="979" w:type="dxa"/>
            <w:tcBorders>
              <w:bottom w:val="single" w:color="000000" w:sz="6" w:space="0"/>
            </w:tcBorders>
            <w:noWrap w:val="0"/>
            <w:vAlign w:val="top"/>
          </w:tcPr>
          <w:p w14:paraId="4C64DA53">
            <w:pPr>
              <w:rPr>
                <w:rFonts w:ascii="Arial"/>
                <w:color w:val="auto"/>
                <w:sz w:val="21"/>
                <w:highlight w:val="none"/>
              </w:rPr>
            </w:pPr>
          </w:p>
        </w:tc>
        <w:tc>
          <w:tcPr>
            <w:tcW w:w="987" w:type="dxa"/>
            <w:tcBorders>
              <w:bottom w:val="single" w:color="000000" w:sz="6" w:space="0"/>
              <w:right w:val="single" w:color="000000" w:sz="6" w:space="0"/>
            </w:tcBorders>
            <w:noWrap w:val="0"/>
            <w:vAlign w:val="top"/>
          </w:tcPr>
          <w:p w14:paraId="51C147EE">
            <w:pPr>
              <w:rPr>
                <w:rFonts w:ascii="Arial"/>
                <w:color w:val="auto"/>
                <w:sz w:val="21"/>
                <w:highlight w:val="none"/>
              </w:rPr>
            </w:pPr>
          </w:p>
        </w:tc>
      </w:tr>
    </w:tbl>
    <w:p w14:paraId="2C5BD317">
      <w:pPr>
        <w:pStyle w:val="8"/>
        <w:rPr>
          <w:color w:val="auto"/>
          <w:highlight w:val="none"/>
        </w:rPr>
      </w:pPr>
    </w:p>
    <w:p w14:paraId="13988276">
      <w:pPr>
        <w:rPr>
          <w:color w:val="auto"/>
          <w:highlight w:val="none"/>
        </w:rPr>
        <w:sectPr>
          <w:footerReference r:id="rId120" w:type="default"/>
          <w:pgSz w:w="11905" w:h="16840"/>
          <w:pgMar w:top="400" w:right="1395" w:bottom="1255" w:left="1587" w:header="0" w:footer="1093" w:gutter="0"/>
          <w:pgNumType w:fmt="decimal"/>
          <w:cols w:space="720" w:num="1"/>
        </w:sectPr>
      </w:pPr>
    </w:p>
    <w:p w14:paraId="5C93DEE7">
      <w:pPr>
        <w:pStyle w:val="8"/>
        <w:spacing w:line="247" w:lineRule="auto"/>
        <w:rPr>
          <w:color w:val="auto"/>
          <w:highlight w:val="none"/>
        </w:rPr>
      </w:pPr>
    </w:p>
    <w:p w14:paraId="64710FCA">
      <w:pPr>
        <w:pStyle w:val="8"/>
        <w:spacing w:line="248" w:lineRule="auto"/>
        <w:rPr>
          <w:color w:val="auto"/>
          <w:highlight w:val="none"/>
        </w:rPr>
      </w:pPr>
    </w:p>
    <w:p w14:paraId="504C1348">
      <w:pPr>
        <w:pStyle w:val="8"/>
        <w:spacing w:line="248" w:lineRule="auto"/>
        <w:rPr>
          <w:color w:val="auto"/>
          <w:highlight w:val="none"/>
        </w:rPr>
      </w:pPr>
    </w:p>
    <w:p w14:paraId="18B7901D">
      <w:pPr>
        <w:pStyle w:val="8"/>
        <w:spacing w:line="248" w:lineRule="auto"/>
        <w:rPr>
          <w:color w:val="auto"/>
          <w:highlight w:val="none"/>
        </w:rPr>
      </w:pPr>
    </w:p>
    <w:p w14:paraId="37C3F3A5">
      <w:pPr>
        <w:spacing w:before="78" w:line="219" w:lineRule="auto"/>
        <w:ind w:left="28"/>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附件二：</w:t>
      </w:r>
    </w:p>
    <w:p w14:paraId="5E4589EA">
      <w:pPr>
        <w:spacing w:before="182" w:line="219" w:lineRule="auto"/>
        <w:ind w:left="2354"/>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拟投入本标段的试验和检测仪器设备表</w:t>
      </w:r>
    </w:p>
    <w:p w14:paraId="59DCC3A5">
      <w:pPr>
        <w:spacing w:line="146" w:lineRule="exact"/>
        <w:rPr>
          <w:color w:val="auto"/>
          <w:highlight w:val="none"/>
        </w:rPr>
      </w:pPr>
    </w:p>
    <w:tbl>
      <w:tblPr>
        <w:tblStyle w:val="16"/>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6"/>
        <w:gridCol w:w="1699"/>
        <w:gridCol w:w="849"/>
        <w:gridCol w:w="707"/>
        <w:gridCol w:w="849"/>
        <w:gridCol w:w="848"/>
        <w:gridCol w:w="1132"/>
        <w:gridCol w:w="992"/>
        <w:gridCol w:w="1107"/>
      </w:tblGrid>
      <w:tr w14:paraId="0DADB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826" w:type="dxa"/>
            <w:tcBorders>
              <w:top w:val="single" w:color="000000" w:sz="6" w:space="0"/>
              <w:left w:val="single" w:color="000000" w:sz="6" w:space="0"/>
            </w:tcBorders>
            <w:noWrap w:val="0"/>
            <w:vAlign w:val="top"/>
          </w:tcPr>
          <w:p w14:paraId="4061E278">
            <w:pPr>
              <w:pStyle w:val="17"/>
              <w:spacing w:before="257" w:line="221" w:lineRule="auto"/>
              <w:ind w:left="172"/>
              <w:rPr>
                <w:color w:val="auto"/>
                <w:sz w:val="24"/>
                <w:szCs w:val="24"/>
                <w:highlight w:val="none"/>
              </w:rPr>
            </w:pPr>
            <w:r>
              <w:rPr>
                <w:color w:val="auto"/>
                <w:spacing w:val="-3"/>
                <w:sz w:val="24"/>
                <w:szCs w:val="24"/>
                <w:highlight w:val="none"/>
              </w:rPr>
              <w:t>序号</w:t>
            </w:r>
          </w:p>
        </w:tc>
        <w:tc>
          <w:tcPr>
            <w:tcW w:w="1699" w:type="dxa"/>
            <w:tcBorders>
              <w:top w:val="single" w:color="000000" w:sz="6" w:space="0"/>
            </w:tcBorders>
            <w:noWrap w:val="0"/>
            <w:vAlign w:val="top"/>
          </w:tcPr>
          <w:p w14:paraId="09773133">
            <w:pPr>
              <w:pStyle w:val="17"/>
              <w:spacing w:before="257" w:line="220" w:lineRule="auto"/>
              <w:ind w:left="131"/>
              <w:rPr>
                <w:color w:val="auto"/>
                <w:sz w:val="24"/>
                <w:szCs w:val="24"/>
                <w:highlight w:val="none"/>
              </w:rPr>
            </w:pPr>
            <w:r>
              <w:rPr>
                <w:color w:val="auto"/>
                <w:spacing w:val="-2"/>
                <w:sz w:val="24"/>
                <w:szCs w:val="24"/>
                <w:highlight w:val="none"/>
              </w:rPr>
              <w:t>仪器设备名称</w:t>
            </w:r>
          </w:p>
        </w:tc>
        <w:tc>
          <w:tcPr>
            <w:tcW w:w="849" w:type="dxa"/>
            <w:tcBorders>
              <w:top w:val="single" w:color="000000" w:sz="6" w:space="0"/>
            </w:tcBorders>
            <w:noWrap w:val="0"/>
            <w:vAlign w:val="top"/>
          </w:tcPr>
          <w:p w14:paraId="48F381CD">
            <w:pPr>
              <w:pStyle w:val="17"/>
              <w:spacing w:before="101" w:line="221" w:lineRule="auto"/>
              <w:ind w:left="195"/>
              <w:rPr>
                <w:color w:val="auto"/>
                <w:sz w:val="24"/>
                <w:szCs w:val="24"/>
                <w:highlight w:val="none"/>
              </w:rPr>
            </w:pPr>
            <w:r>
              <w:rPr>
                <w:color w:val="auto"/>
                <w:spacing w:val="-5"/>
                <w:sz w:val="24"/>
                <w:szCs w:val="24"/>
                <w:highlight w:val="none"/>
              </w:rPr>
              <w:t>型号</w:t>
            </w:r>
          </w:p>
          <w:p w14:paraId="502A4DEC">
            <w:pPr>
              <w:pStyle w:val="17"/>
              <w:spacing w:before="22" w:line="220" w:lineRule="auto"/>
              <w:ind w:left="188"/>
              <w:rPr>
                <w:color w:val="auto"/>
                <w:sz w:val="24"/>
                <w:szCs w:val="24"/>
                <w:highlight w:val="none"/>
              </w:rPr>
            </w:pPr>
            <w:r>
              <w:rPr>
                <w:color w:val="auto"/>
                <w:spacing w:val="-3"/>
                <w:sz w:val="24"/>
                <w:szCs w:val="24"/>
                <w:highlight w:val="none"/>
              </w:rPr>
              <w:t>规格</w:t>
            </w:r>
          </w:p>
        </w:tc>
        <w:tc>
          <w:tcPr>
            <w:tcW w:w="707" w:type="dxa"/>
            <w:tcBorders>
              <w:top w:val="single" w:color="000000" w:sz="6" w:space="0"/>
            </w:tcBorders>
            <w:noWrap w:val="0"/>
            <w:vAlign w:val="top"/>
          </w:tcPr>
          <w:p w14:paraId="480B401D">
            <w:pPr>
              <w:pStyle w:val="17"/>
              <w:spacing w:before="257" w:line="220" w:lineRule="auto"/>
              <w:ind w:left="120"/>
              <w:rPr>
                <w:color w:val="auto"/>
                <w:sz w:val="24"/>
                <w:szCs w:val="24"/>
                <w:highlight w:val="none"/>
              </w:rPr>
            </w:pPr>
            <w:r>
              <w:rPr>
                <w:color w:val="auto"/>
                <w:spacing w:val="-3"/>
                <w:sz w:val="24"/>
                <w:szCs w:val="24"/>
                <w:highlight w:val="none"/>
              </w:rPr>
              <w:t>数量</w:t>
            </w:r>
          </w:p>
        </w:tc>
        <w:tc>
          <w:tcPr>
            <w:tcW w:w="849" w:type="dxa"/>
            <w:tcBorders>
              <w:top w:val="single" w:color="000000" w:sz="6" w:space="0"/>
            </w:tcBorders>
            <w:noWrap w:val="0"/>
            <w:vAlign w:val="top"/>
          </w:tcPr>
          <w:p w14:paraId="42F09914">
            <w:pPr>
              <w:pStyle w:val="17"/>
              <w:spacing w:before="101" w:line="220" w:lineRule="auto"/>
              <w:ind w:left="213"/>
              <w:rPr>
                <w:color w:val="auto"/>
                <w:sz w:val="24"/>
                <w:szCs w:val="24"/>
                <w:highlight w:val="none"/>
              </w:rPr>
            </w:pPr>
            <w:r>
              <w:rPr>
                <w:color w:val="auto"/>
                <w:spacing w:val="-9"/>
                <w:sz w:val="24"/>
                <w:szCs w:val="24"/>
                <w:highlight w:val="none"/>
              </w:rPr>
              <w:t>国别</w:t>
            </w:r>
          </w:p>
          <w:p w14:paraId="24F50953">
            <w:pPr>
              <w:pStyle w:val="17"/>
              <w:spacing w:before="23" w:line="220" w:lineRule="auto"/>
              <w:ind w:left="190"/>
              <w:rPr>
                <w:color w:val="auto"/>
                <w:sz w:val="24"/>
                <w:szCs w:val="24"/>
                <w:highlight w:val="none"/>
              </w:rPr>
            </w:pPr>
            <w:r>
              <w:rPr>
                <w:color w:val="auto"/>
                <w:spacing w:val="-3"/>
                <w:sz w:val="24"/>
                <w:szCs w:val="24"/>
                <w:highlight w:val="none"/>
              </w:rPr>
              <w:t>产地</w:t>
            </w:r>
          </w:p>
        </w:tc>
        <w:tc>
          <w:tcPr>
            <w:tcW w:w="848" w:type="dxa"/>
            <w:tcBorders>
              <w:top w:val="single" w:color="000000" w:sz="6" w:space="0"/>
            </w:tcBorders>
            <w:noWrap w:val="0"/>
            <w:vAlign w:val="top"/>
          </w:tcPr>
          <w:p w14:paraId="6E8F82C8">
            <w:pPr>
              <w:pStyle w:val="17"/>
              <w:spacing w:before="101" w:line="220" w:lineRule="auto"/>
              <w:ind w:left="193"/>
              <w:rPr>
                <w:color w:val="auto"/>
                <w:sz w:val="24"/>
                <w:szCs w:val="24"/>
                <w:highlight w:val="none"/>
              </w:rPr>
            </w:pPr>
            <w:r>
              <w:rPr>
                <w:color w:val="auto"/>
                <w:spacing w:val="-3"/>
                <w:sz w:val="24"/>
                <w:szCs w:val="24"/>
                <w:highlight w:val="none"/>
              </w:rPr>
              <w:t>制造</w:t>
            </w:r>
          </w:p>
          <w:p w14:paraId="694D3981">
            <w:pPr>
              <w:pStyle w:val="17"/>
              <w:spacing w:before="23" w:line="220" w:lineRule="auto"/>
              <w:ind w:left="193"/>
              <w:rPr>
                <w:color w:val="auto"/>
                <w:sz w:val="24"/>
                <w:szCs w:val="24"/>
                <w:highlight w:val="none"/>
              </w:rPr>
            </w:pPr>
            <w:r>
              <w:rPr>
                <w:color w:val="auto"/>
                <w:spacing w:val="-3"/>
                <w:sz w:val="24"/>
                <w:szCs w:val="24"/>
                <w:highlight w:val="none"/>
              </w:rPr>
              <w:t>年份</w:t>
            </w:r>
          </w:p>
        </w:tc>
        <w:tc>
          <w:tcPr>
            <w:tcW w:w="1132" w:type="dxa"/>
            <w:tcBorders>
              <w:top w:val="single" w:color="000000" w:sz="6" w:space="0"/>
            </w:tcBorders>
            <w:noWrap w:val="0"/>
            <w:vAlign w:val="top"/>
          </w:tcPr>
          <w:p w14:paraId="1D7F43FC">
            <w:pPr>
              <w:pStyle w:val="17"/>
              <w:spacing w:before="101" w:line="220" w:lineRule="auto"/>
              <w:ind w:left="242"/>
              <w:rPr>
                <w:color w:val="auto"/>
                <w:sz w:val="24"/>
                <w:szCs w:val="24"/>
                <w:highlight w:val="none"/>
              </w:rPr>
            </w:pPr>
            <w:r>
              <w:rPr>
                <w:color w:val="auto"/>
                <w:spacing w:val="-8"/>
                <w:sz w:val="24"/>
                <w:szCs w:val="24"/>
                <w:highlight w:val="none"/>
              </w:rPr>
              <w:t>已使用</w:t>
            </w:r>
          </w:p>
          <w:p w14:paraId="13BE71AD">
            <w:pPr>
              <w:pStyle w:val="17"/>
              <w:spacing w:before="24" w:line="220" w:lineRule="auto"/>
              <w:ind w:left="235"/>
              <w:rPr>
                <w:color w:val="auto"/>
                <w:sz w:val="24"/>
                <w:szCs w:val="24"/>
                <w:highlight w:val="none"/>
              </w:rPr>
            </w:pPr>
            <w:r>
              <w:rPr>
                <w:color w:val="auto"/>
                <w:spacing w:val="-7"/>
                <w:sz w:val="24"/>
                <w:szCs w:val="24"/>
                <w:highlight w:val="none"/>
              </w:rPr>
              <w:t>台时数</w:t>
            </w:r>
          </w:p>
        </w:tc>
        <w:tc>
          <w:tcPr>
            <w:tcW w:w="992" w:type="dxa"/>
            <w:tcBorders>
              <w:top w:val="single" w:color="000000" w:sz="6" w:space="0"/>
            </w:tcBorders>
            <w:noWrap w:val="0"/>
            <w:vAlign w:val="top"/>
          </w:tcPr>
          <w:p w14:paraId="4A8E7AD8">
            <w:pPr>
              <w:pStyle w:val="17"/>
              <w:spacing w:before="257" w:line="221" w:lineRule="auto"/>
              <w:ind w:left="270"/>
              <w:rPr>
                <w:color w:val="auto"/>
                <w:sz w:val="24"/>
                <w:szCs w:val="24"/>
                <w:highlight w:val="none"/>
              </w:rPr>
            </w:pPr>
            <w:r>
              <w:rPr>
                <w:color w:val="auto"/>
                <w:spacing w:val="-3"/>
                <w:sz w:val="24"/>
                <w:szCs w:val="24"/>
                <w:highlight w:val="none"/>
              </w:rPr>
              <w:t>用途</w:t>
            </w:r>
          </w:p>
        </w:tc>
        <w:tc>
          <w:tcPr>
            <w:tcW w:w="1107" w:type="dxa"/>
            <w:tcBorders>
              <w:top w:val="single" w:color="000000" w:sz="6" w:space="0"/>
              <w:right w:val="single" w:color="000000" w:sz="6" w:space="0"/>
            </w:tcBorders>
            <w:noWrap w:val="0"/>
            <w:vAlign w:val="top"/>
          </w:tcPr>
          <w:p w14:paraId="30004587">
            <w:pPr>
              <w:pStyle w:val="17"/>
              <w:spacing w:before="257" w:line="221" w:lineRule="auto"/>
              <w:ind w:left="325"/>
              <w:rPr>
                <w:color w:val="auto"/>
                <w:sz w:val="24"/>
                <w:szCs w:val="24"/>
                <w:highlight w:val="none"/>
              </w:rPr>
            </w:pPr>
            <w:r>
              <w:rPr>
                <w:color w:val="auto"/>
                <w:spacing w:val="-4"/>
                <w:sz w:val="24"/>
                <w:szCs w:val="24"/>
                <w:highlight w:val="none"/>
              </w:rPr>
              <w:t>备注</w:t>
            </w:r>
          </w:p>
        </w:tc>
      </w:tr>
      <w:tr w14:paraId="09E55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6" w:type="dxa"/>
            <w:tcBorders>
              <w:left w:val="single" w:color="000000" w:sz="6" w:space="0"/>
            </w:tcBorders>
            <w:noWrap w:val="0"/>
            <w:vAlign w:val="top"/>
          </w:tcPr>
          <w:p w14:paraId="6386A163">
            <w:pPr>
              <w:rPr>
                <w:rFonts w:ascii="Arial"/>
                <w:color w:val="auto"/>
                <w:sz w:val="21"/>
                <w:highlight w:val="none"/>
              </w:rPr>
            </w:pPr>
          </w:p>
        </w:tc>
        <w:tc>
          <w:tcPr>
            <w:tcW w:w="1699" w:type="dxa"/>
            <w:noWrap w:val="0"/>
            <w:vAlign w:val="top"/>
          </w:tcPr>
          <w:p w14:paraId="38207715">
            <w:pPr>
              <w:rPr>
                <w:rFonts w:ascii="Arial"/>
                <w:color w:val="auto"/>
                <w:sz w:val="21"/>
                <w:highlight w:val="none"/>
              </w:rPr>
            </w:pPr>
          </w:p>
        </w:tc>
        <w:tc>
          <w:tcPr>
            <w:tcW w:w="849" w:type="dxa"/>
            <w:noWrap w:val="0"/>
            <w:vAlign w:val="top"/>
          </w:tcPr>
          <w:p w14:paraId="1D097C71">
            <w:pPr>
              <w:rPr>
                <w:rFonts w:ascii="Arial"/>
                <w:color w:val="auto"/>
                <w:sz w:val="21"/>
                <w:highlight w:val="none"/>
              </w:rPr>
            </w:pPr>
          </w:p>
        </w:tc>
        <w:tc>
          <w:tcPr>
            <w:tcW w:w="707" w:type="dxa"/>
            <w:noWrap w:val="0"/>
            <w:vAlign w:val="top"/>
          </w:tcPr>
          <w:p w14:paraId="28054BDD">
            <w:pPr>
              <w:rPr>
                <w:rFonts w:ascii="Arial"/>
                <w:color w:val="auto"/>
                <w:sz w:val="21"/>
                <w:highlight w:val="none"/>
              </w:rPr>
            </w:pPr>
          </w:p>
        </w:tc>
        <w:tc>
          <w:tcPr>
            <w:tcW w:w="849" w:type="dxa"/>
            <w:noWrap w:val="0"/>
            <w:vAlign w:val="top"/>
          </w:tcPr>
          <w:p w14:paraId="40E88143">
            <w:pPr>
              <w:rPr>
                <w:rFonts w:ascii="Arial"/>
                <w:color w:val="auto"/>
                <w:sz w:val="21"/>
                <w:highlight w:val="none"/>
              </w:rPr>
            </w:pPr>
          </w:p>
        </w:tc>
        <w:tc>
          <w:tcPr>
            <w:tcW w:w="848" w:type="dxa"/>
            <w:noWrap w:val="0"/>
            <w:vAlign w:val="top"/>
          </w:tcPr>
          <w:p w14:paraId="0AFE49BD">
            <w:pPr>
              <w:rPr>
                <w:rFonts w:ascii="Arial"/>
                <w:color w:val="auto"/>
                <w:sz w:val="21"/>
                <w:highlight w:val="none"/>
              </w:rPr>
            </w:pPr>
          </w:p>
        </w:tc>
        <w:tc>
          <w:tcPr>
            <w:tcW w:w="1132" w:type="dxa"/>
            <w:noWrap w:val="0"/>
            <w:vAlign w:val="top"/>
          </w:tcPr>
          <w:p w14:paraId="4A16E5C6">
            <w:pPr>
              <w:rPr>
                <w:rFonts w:ascii="Arial"/>
                <w:color w:val="auto"/>
                <w:sz w:val="21"/>
                <w:highlight w:val="none"/>
              </w:rPr>
            </w:pPr>
          </w:p>
        </w:tc>
        <w:tc>
          <w:tcPr>
            <w:tcW w:w="992" w:type="dxa"/>
            <w:noWrap w:val="0"/>
            <w:vAlign w:val="top"/>
          </w:tcPr>
          <w:p w14:paraId="30694301">
            <w:pPr>
              <w:rPr>
                <w:rFonts w:ascii="Arial"/>
                <w:color w:val="auto"/>
                <w:sz w:val="21"/>
                <w:highlight w:val="none"/>
              </w:rPr>
            </w:pPr>
          </w:p>
        </w:tc>
        <w:tc>
          <w:tcPr>
            <w:tcW w:w="1107" w:type="dxa"/>
            <w:tcBorders>
              <w:right w:val="single" w:color="000000" w:sz="6" w:space="0"/>
            </w:tcBorders>
            <w:noWrap w:val="0"/>
            <w:vAlign w:val="top"/>
          </w:tcPr>
          <w:p w14:paraId="305DCA22">
            <w:pPr>
              <w:rPr>
                <w:rFonts w:ascii="Arial"/>
                <w:color w:val="auto"/>
                <w:sz w:val="21"/>
                <w:highlight w:val="none"/>
              </w:rPr>
            </w:pPr>
          </w:p>
        </w:tc>
      </w:tr>
      <w:tr w14:paraId="7A5A2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6B2BDC91">
            <w:pPr>
              <w:rPr>
                <w:rFonts w:ascii="Arial"/>
                <w:color w:val="auto"/>
                <w:sz w:val="21"/>
                <w:highlight w:val="none"/>
              </w:rPr>
            </w:pPr>
          </w:p>
        </w:tc>
        <w:tc>
          <w:tcPr>
            <w:tcW w:w="1699" w:type="dxa"/>
            <w:noWrap w:val="0"/>
            <w:vAlign w:val="top"/>
          </w:tcPr>
          <w:p w14:paraId="0F8AA84B">
            <w:pPr>
              <w:rPr>
                <w:rFonts w:ascii="Arial"/>
                <w:color w:val="auto"/>
                <w:sz w:val="21"/>
                <w:highlight w:val="none"/>
              </w:rPr>
            </w:pPr>
          </w:p>
        </w:tc>
        <w:tc>
          <w:tcPr>
            <w:tcW w:w="849" w:type="dxa"/>
            <w:noWrap w:val="0"/>
            <w:vAlign w:val="top"/>
          </w:tcPr>
          <w:p w14:paraId="1BCD47AD">
            <w:pPr>
              <w:rPr>
                <w:rFonts w:ascii="Arial"/>
                <w:color w:val="auto"/>
                <w:sz w:val="21"/>
                <w:highlight w:val="none"/>
              </w:rPr>
            </w:pPr>
          </w:p>
        </w:tc>
        <w:tc>
          <w:tcPr>
            <w:tcW w:w="707" w:type="dxa"/>
            <w:noWrap w:val="0"/>
            <w:vAlign w:val="top"/>
          </w:tcPr>
          <w:p w14:paraId="798BE781">
            <w:pPr>
              <w:rPr>
                <w:rFonts w:ascii="Arial"/>
                <w:color w:val="auto"/>
                <w:sz w:val="21"/>
                <w:highlight w:val="none"/>
              </w:rPr>
            </w:pPr>
          </w:p>
        </w:tc>
        <w:tc>
          <w:tcPr>
            <w:tcW w:w="849" w:type="dxa"/>
            <w:noWrap w:val="0"/>
            <w:vAlign w:val="top"/>
          </w:tcPr>
          <w:p w14:paraId="1712A457">
            <w:pPr>
              <w:rPr>
                <w:rFonts w:ascii="Arial"/>
                <w:color w:val="auto"/>
                <w:sz w:val="21"/>
                <w:highlight w:val="none"/>
              </w:rPr>
            </w:pPr>
          </w:p>
        </w:tc>
        <w:tc>
          <w:tcPr>
            <w:tcW w:w="848" w:type="dxa"/>
            <w:noWrap w:val="0"/>
            <w:vAlign w:val="top"/>
          </w:tcPr>
          <w:p w14:paraId="6CE95C0C">
            <w:pPr>
              <w:rPr>
                <w:rFonts w:ascii="Arial"/>
                <w:color w:val="auto"/>
                <w:sz w:val="21"/>
                <w:highlight w:val="none"/>
              </w:rPr>
            </w:pPr>
          </w:p>
        </w:tc>
        <w:tc>
          <w:tcPr>
            <w:tcW w:w="1132" w:type="dxa"/>
            <w:noWrap w:val="0"/>
            <w:vAlign w:val="top"/>
          </w:tcPr>
          <w:p w14:paraId="08CFB487">
            <w:pPr>
              <w:rPr>
                <w:rFonts w:ascii="Arial"/>
                <w:color w:val="auto"/>
                <w:sz w:val="21"/>
                <w:highlight w:val="none"/>
              </w:rPr>
            </w:pPr>
          </w:p>
        </w:tc>
        <w:tc>
          <w:tcPr>
            <w:tcW w:w="992" w:type="dxa"/>
            <w:noWrap w:val="0"/>
            <w:vAlign w:val="top"/>
          </w:tcPr>
          <w:p w14:paraId="37462B5E">
            <w:pPr>
              <w:rPr>
                <w:rFonts w:ascii="Arial"/>
                <w:color w:val="auto"/>
                <w:sz w:val="21"/>
                <w:highlight w:val="none"/>
              </w:rPr>
            </w:pPr>
          </w:p>
        </w:tc>
        <w:tc>
          <w:tcPr>
            <w:tcW w:w="1107" w:type="dxa"/>
            <w:tcBorders>
              <w:right w:val="single" w:color="000000" w:sz="6" w:space="0"/>
            </w:tcBorders>
            <w:noWrap w:val="0"/>
            <w:vAlign w:val="top"/>
          </w:tcPr>
          <w:p w14:paraId="57190381">
            <w:pPr>
              <w:rPr>
                <w:rFonts w:ascii="Arial"/>
                <w:color w:val="auto"/>
                <w:sz w:val="21"/>
                <w:highlight w:val="none"/>
              </w:rPr>
            </w:pPr>
          </w:p>
        </w:tc>
      </w:tr>
      <w:tr w14:paraId="5F951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6" w:type="dxa"/>
            <w:tcBorders>
              <w:left w:val="single" w:color="000000" w:sz="6" w:space="0"/>
            </w:tcBorders>
            <w:noWrap w:val="0"/>
            <w:vAlign w:val="top"/>
          </w:tcPr>
          <w:p w14:paraId="241FA1D4">
            <w:pPr>
              <w:rPr>
                <w:rFonts w:ascii="Arial"/>
                <w:color w:val="auto"/>
                <w:sz w:val="21"/>
                <w:highlight w:val="none"/>
              </w:rPr>
            </w:pPr>
          </w:p>
        </w:tc>
        <w:tc>
          <w:tcPr>
            <w:tcW w:w="1699" w:type="dxa"/>
            <w:noWrap w:val="0"/>
            <w:vAlign w:val="top"/>
          </w:tcPr>
          <w:p w14:paraId="6F09B290">
            <w:pPr>
              <w:rPr>
                <w:rFonts w:ascii="Arial"/>
                <w:color w:val="auto"/>
                <w:sz w:val="21"/>
                <w:highlight w:val="none"/>
              </w:rPr>
            </w:pPr>
          </w:p>
        </w:tc>
        <w:tc>
          <w:tcPr>
            <w:tcW w:w="849" w:type="dxa"/>
            <w:noWrap w:val="0"/>
            <w:vAlign w:val="top"/>
          </w:tcPr>
          <w:p w14:paraId="4BBC941E">
            <w:pPr>
              <w:rPr>
                <w:rFonts w:ascii="Arial"/>
                <w:color w:val="auto"/>
                <w:sz w:val="21"/>
                <w:highlight w:val="none"/>
              </w:rPr>
            </w:pPr>
          </w:p>
        </w:tc>
        <w:tc>
          <w:tcPr>
            <w:tcW w:w="707" w:type="dxa"/>
            <w:noWrap w:val="0"/>
            <w:vAlign w:val="top"/>
          </w:tcPr>
          <w:p w14:paraId="2CFECE30">
            <w:pPr>
              <w:rPr>
                <w:rFonts w:ascii="Arial"/>
                <w:color w:val="auto"/>
                <w:sz w:val="21"/>
                <w:highlight w:val="none"/>
              </w:rPr>
            </w:pPr>
          </w:p>
        </w:tc>
        <w:tc>
          <w:tcPr>
            <w:tcW w:w="849" w:type="dxa"/>
            <w:noWrap w:val="0"/>
            <w:vAlign w:val="top"/>
          </w:tcPr>
          <w:p w14:paraId="187990C5">
            <w:pPr>
              <w:rPr>
                <w:rFonts w:ascii="Arial"/>
                <w:color w:val="auto"/>
                <w:sz w:val="21"/>
                <w:highlight w:val="none"/>
              </w:rPr>
            </w:pPr>
          </w:p>
        </w:tc>
        <w:tc>
          <w:tcPr>
            <w:tcW w:w="848" w:type="dxa"/>
            <w:noWrap w:val="0"/>
            <w:vAlign w:val="top"/>
          </w:tcPr>
          <w:p w14:paraId="543CD389">
            <w:pPr>
              <w:rPr>
                <w:rFonts w:ascii="Arial"/>
                <w:color w:val="auto"/>
                <w:sz w:val="21"/>
                <w:highlight w:val="none"/>
              </w:rPr>
            </w:pPr>
          </w:p>
        </w:tc>
        <w:tc>
          <w:tcPr>
            <w:tcW w:w="1132" w:type="dxa"/>
            <w:noWrap w:val="0"/>
            <w:vAlign w:val="top"/>
          </w:tcPr>
          <w:p w14:paraId="5E6DB27C">
            <w:pPr>
              <w:rPr>
                <w:rFonts w:ascii="Arial"/>
                <w:color w:val="auto"/>
                <w:sz w:val="21"/>
                <w:highlight w:val="none"/>
              </w:rPr>
            </w:pPr>
          </w:p>
        </w:tc>
        <w:tc>
          <w:tcPr>
            <w:tcW w:w="992" w:type="dxa"/>
            <w:noWrap w:val="0"/>
            <w:vAlign w:val="top"/>
          </w:tcPr>
          <w:p w14:paraId="7610614E">
            <w:pPr>
              <w:rPr>
                <w:rFonts w:ascii="Arial"/>
                <w:color w:val="auto"/>
                <w:sz w:val="21"/>
                <w:highlight w:val="none"/>
              </w:rPr>
            </w:pPr>
          </w:p>
        </w:tc>
        <w:tc>
          <w:tcPr>
            <w:tcW w:w="1107" w:type="dxa"/>
            <w:tcBorders>
              <w:right w:val="single" w:color="000000" w:sz="6" w:space="0"/>
            </w:tcBorders>
            <w:noWrap w:val="0"/>
            <w:vAlign w:val="top"/>
          </w:tcPr>
          <w:p w14:paraId="00E41171">
            <w:pPr>
              <w:rPr>
                <w:rFonts w:ascii="Arial"/>
                <w:color w:val="auto"/>
                <w:sz w:val="21"/>
                <w:highlight w:val="none"/>
              </w:rPr>
            </w:pPr>
          </w:p>
        </w:tc>
      </w:tr>
      <w:tr w14:paraId="1C0E03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5D97CBBD">
            <w:pPr>
              <w:rPr>
                <w:rFonts w:ascii="Arial"/>
                <w:color w:val="auto"/>
                <w:sz w:val="21"/>
                <w:highlight w:val="none"/>
              </w:rPr>
            </w:pPr>
          </w:p>
        </w:tc>
        <w:tc>
          <w:tcPr>
            <w:tcW w:w="1699" w:type="dxa"/>
            <w:noWrap w:val="0"/>
            <w:vAlign w:val="top"/>
          </w:tcPr>
          <w:p w14:paraId="231AA3C2">
            <w:pPr>
              <w:rPr>
                <w:rFonts w:ascii="Arial"/>
                <w:color w:val="auto"/>
                <w:sz w:val="21"/>
                <w:highlight w:val="none"/>
              </w:rPr>
            </w:pPr>
          </w:p>
        </w:tc>
        <w:tc>
          <w:tcPr>
            <w:tcW w:w="849" w:type="dxa"/>
            <w:noWrap w:val="0"/>
            <w:vAlign w:val="top"/>
          </w:tcPr>
          <w:p w14:paraId="3356CBFC">
            <w:pPr>
              <w:rPr>
                <w:rFonts w:ascii="Arial"/>
                <w:color w:val="auto"/>
                <w:sz w:val="21"/>
                <w:highlight w:val="none"/>
              </w:rPr>
            </w:pPr>
          </w:p>
        </w:tc>
        <w:tc>
          <w:tcPr>
            <w:tcW w:w="707" w:type="dxa"/>
            <w:noWrap w:val="0"/>
            <w:vAlign w:val="top"/>
          </w:tcPr>
          <w:p w14:paraId="59002C2D">
            <w:pPr>
              <w:rPr>
                <w:rFonts w:ascii="Arial"/>
                <w:color w:val="auto"/>
                <w:sz w:val="21"/>
                <w:highlight w:val="none"/>
              </w:rPr>
            </w:pPr>
          </w:p>
        </w:tc>
        <w:tc>
          <w:tcPr>
            <w:tcW w:w="849" w:type="dxa"/>
            <w:noWrap w:val="0"/>
            <w:vAlign w:val="top"/>
          </w:tcPr>
          <w:p w14:paraId="4A442A97">
            <w:pPr>
              <w:rPr>
                <w:rFonts w:ascii="Arial"/>
                <w:color w:val="auto"/>
                <w:sz w:val="21"/>
                <w:highlight w:val="none"/>
              </w:rPr>
            </w:pPr>
          </w:p>
        </w:tc>
        <w:tc>
          <w:tcPr>
            <w:tcW w:w="848" w:type="dxa"/>
            <w:noWrap w:val="0"/>
            <w:vAlign w:val="top"/>
          </w:tcPr>
          <w:p w14:paraId="13DD66C2">
            <w:pPr>
              <w:rPr>
                <w:rFonts w:ascii="Arial"/>
                <w:color w:val="auto"/>
                <w:sz w:val="21"/>
                <w:highlight w:val="none"/>
              </w:rPr>
            </w:pPr>
          </w:p>
        </w:tc>
        <w:tc>
          <w:tcPr>
            <w:tcW w:w="1132" w:type="dxa"/>
            <w:noWrap w:val="0"/>
            <w:vAlign w:val="top"/>
          </w:tcPr>
          <w:p w14:paraId="1C7470C0">
            <w:pPr>
              <w:rPr>
                <w:rFonts w:ascii="Arial"/>
                <w:color w:val="auto"/>
                <w:sz w:val="21"/>
                <w:highlight w:val="none"/>
              </w:rPr>
            </w:pPr>
          </w:p>
        </w:tc>
        <w:tc>
          <w:tcPr>
            <w:tcW w:w="992" w:type="dxa"/>
            <w:noWrap w:val="0"/>
            <w:vAlign w:val="top"/>
          </w:tcPr>
          <w:p w14:paraId="16DB0212">
            <w:pPr>
              <w:rPr>
                <w:rFonts w:ascii="Arial"/>
                <w:color w:val="auto"/>
                <w:sz w:val="21"/>
                <w:highlight w:val="none"/>
              </w:rPr>
            </w:pPr>
          </w:p>
        </w:tc>
        <w:tc>
          <w:tcPr>
            <w:tcW w:w="1107" w:type="dxa"/>
            <w:tcBorders>
              <w:right w:val="single" w:color="000000" w:sz="6" w:space="0"/>
            </w:tcBorders>
            <w:noWrap w:val="0"/>
            <w:vAlign w:val="top"/>
          </w:tcPr>
          <w:p w14:paraId="43D4BAD1">
            <w:pPr>
              <w:rPr>
                <w:rFonts w:ascii="Arial"/>
                <w:color w:val="auto"/>
                <w:sz w:val="21"/>
                <w:highlight w:val="none"/>
              </w:rPr>
            </w:pPr>
          </w:p>
        </w:tc>
      </w:tr>
      <w:tr w14:paraId="08DB2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03F3E36B">
            <w:pPr>
              <w:rPr>
                <w:rFonts w:ascii="Arial"/>
                <w:color w:val="auto"/>
                <w:sz w:val="21"/>
                <w:highlight w:val="none"/>
              </w:rPr>
            </w:pPr>
          </w:p>
        </w:tc>
        <w:tc>
          <w:tcPr>
            <w:tcW w:w="1699" w:type="dxa"/>
            <w:noWrap w:val="0"/>
            <w:vAlign w:val="top"/>
          </w:tcPr>
          <w:p w14:paraId="62AFEE02">
            <w:pPr>
              <w:rPr>
                <w:rFonts w:ascii="Arial"/>
                <w:color w:val="auto"/>
                <w:sz w:val="21"/>
                <w:highlight w:val="none"/>
              </w:rPr>
            </w:pPr>
          </w:p>
        </w:tc>
        <w:tc>
          <w:tcPr>
            <w:tcW w:w="849" w:type="dxa"/>
            <w:noWrap w:val="0"/>
            <w:vAlign w:val="top"/>
          </w:tcPr>
          <w:p w14:paraId="599F7AD3">
            <w:pPr>
              <w:rPr>
                <w:rFonts w:ascii="Arial"/>
                <w:color w:val="auto"/>
                <w:sz w:val="21"/>
                <w:highlight w:val="none"/>
              </w:rPr>
            </w:pPr>
          </w:p>
        </w:tc>
        <w:tc>
          <w:tcPr>
            <w:tcW w:w="707" w:type="dxa"/>
            <w:noWrap w:val="0"/>
            <w:vAlign w:val="top"/>
          </w:tcPr>
          <w:p w14:paraId="22B6BA81">
            <w:pPr>
              <w:rPr>
                <w:rFonts w:ascii="Arial"/>
                <w:color w:val="auto"/>
                <w:sz w:val="21"/>
                <w:highlight w:val="none"/>
              </w:rPr>
            </w:pPr>
          </w:p>
        </w:tc>
        <w:tc>
          <w:tcPr>
            <w:tcW w:w="849" w:type="dxa"/>
            <w:noWrap w:val="0"/>
            <w:vAlign w:val="top"/>
          </w:tcPr>
          <w:p w14:paraId="4C1D301B">
            <w:pPr>
              <w:rPr>
                <w:rFonts w:ascii="Arial"/>
                <w:color w:val="auto"/>
                <w:sz w:val="21"/>
                <w:highlight w:val="none"/>
              </w:rPr>
            </w:pPr>
          </w:p>
        </w:tc>
        <w:tc>
          <w:tcPr>
            <w:tcW w:w="848" w:type="dxa"/>
            <w:noWrap w:val="0"/>
            <w:vAlign w:val="top"/>
          </w:tcPr>
          <w:p w14:paraId="3AA6160A">
            <w:pPr>
              <w:rPr>
                <w:rFonts w:ascii="Arial"/>
                <w:color w:val="auto"/>
                <w:sz w:val="21"/>
                <w:highlight w:val="none"/>
              </w:rPr>
            </w:pPr>
          </w:p>
        </w:tc>
        <w:tc>
          <w:tcPr>
            <w:tcW w:w="1132" w:type="dxa"/>
            <w:noWrap w:val="0"/>
            <w:vAlign w:val="top"/>
          </w:tcPr>
          <w:p w14:paraId="3AF0D0FB">
            <w:pPr>
              <w:rPr>
                <w:rFonts w:ascii="Arial"/>
                <w:color w:val="auto"/>
                <w:sz w:val="21"/>
                <w:highlight w:val="none"/>
              </w:rPr>
            </w:pPr>
          </w:p>
        </w:tc>
        <w:tc>
          <w:tcPr>
            <w:tcW w:w="992" w:type="dxa"/>
            <w:noWrap w:val="0"/>
            <w:vAlign w:val="top"/>
          </w:tcPr>
          <w:p w14:paraId="09BC3294">
            <w:pPr>
              <w:rPr>
                <w:rFonts w:ascii="Arial"/>
                <w:color w:val="auto"/>
                <w:sz w:val="21"/>
                <w:highlight w:val="none"/>
              </w:rPr>
            </w:pPr>
          </w:p>
        </w:tc>
        <w:tc>
          <w:tcPr>
            <w:tcW w:w="1107" w:type="dxa"/>
            <w:tcBorders>
              <w:right w:val="single" w:color="000000" w:sz="6" w:space="0"/>
            </w:tcBorders>
            <w:noWrap w:val="0"/>
            <w:vAlign w:val="top"/>
          </w:tcPr>
          <w:p w14:paraId="1FC13CCD">
            <w:pPr>
              <w:rPr>
                <w:rFonts w:ascii="Arial"/>
                <w:color w:val="auto"/>
                <w:sz w:val="21"/>
                <w:highlight w:val="none"/>
              </w:rPr>
            </w:pPr>
          </w:p>
        </w:tc>
      </w:tr>
      <w:tr w14:paraId="69A8C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6" w:type="dxa"/>
            <w:tcBorders>
              <w:left w:val="single" w:color="000000" w:sz="6" w:space="0"/>
            </w:tcBorders>
            <w:noWrap w:val="0"/>
            <w:vAlign w:val="top"/>
          </w:tcPr>
          <w:p w14:paraId="40C4CF2C">
            <w:pPr>
              <w:rPr>
                <w:rFonts w:ascii="Arial"/>
                <w:color w:val="auto"/>
                <w:sz w:val="21"/>
                <w:highlight w:val="none"/>
              </w:rPr>
            </w:pPr>
          </w:p>
        </w:tc>
        <w:tc>
          <w:tcPr>
            <w:tcW w:w="1699" w:type="dxa"/>
            <w:noWrap w:val="0"/>
            <w:vAlign w:val="top"/>
          </w:tcPr>
          <w:p w14:paraId="746DAAE0">
            <w:pPr>
              <w:rPr>
                <w:rFonts w:ascii="Arial"/>
                <w:color w:val="auto"/>
                <w:sz w:val="21"/>
                <w:highlight w:val="none"/>
              </w:rPr>
            </w:pPr>
          </w:p>
        </w:tc>
        <w:tc>
          <w:tcPr>
            <w:tcW w:w="849" w:type="dxa"/>
            <w:noWrap w:val="0"/>
            <w:vAlign w:val="top"/>
          </w:tcPr>
          <w:p w14:paraId="2E9B6F77">
            <w:pPr>
              <w:rPr>
                <w:rFonts w:ascii="Arial"/>
                <w:color w:val="auto"/>
                <w:sz w:val="21"/>
                <w:highlight w:val="none"/>
              </w:rPr>
            </w:pPr>
          </w:p>
        </w:tc>
        <w:tc>
          <w:tcPr>
            <w:tcW w:w="707" w:type="dxa"/>
            <w:noWrap w:val="0"/>
            <w:vAlign w:val="top"/>
          </w:tcPr>
          <w:p w14:paraId="03DF50DE">
            <w:pPr>
              <w:rPr>
                <w:rFonts w:ascii="Arial"/>
                <w:color w:val="auto"/>
                <w:sz w:val="21"/>
                <w:highlight w:val="none"/>
              </w:rPr>
            </w:pPr>
          </w:p>
        </w:tc>
        <w:tc>
          <w:tcPr>
            <w:tcW w:w="849" w:type="dxa"/>
            <w:noWrap w:val="0"/>
            <w:vAlign w:val="top"/>
          </w:tcPr>
          <w:p w14:paraId="21CD773B">
            <w:pPr>
              <w:rPr>
                <w:rFonts w:ascii="Arial"/>
                <w:color w:val="auto"/>
                <w:sz w:val="21"/>
                <w:highlight w:val="none"/>
              </w:rPr>
            </w:pPr>
          </w:p>
        </w:tc>
        <w:tc>
          <w:tcPr>
            <w:tcW w:w="848" w:type="dxa"/>
            <w:noWrap w:val="0"/>
            <w:vAlign w:val="top"/>
          </w:tcPr>
          <w:p w14:paraId="762AA0CC">
            <w:pPr>
              <w:rPr>
                <w:rFonts w:ascii="Arial"/>
                <w:color w:val="auto"/>
                <w:sz w:val="21"/>
                <w:highlight w:val="none"/>
              </w:rPr>
            </w:pPr>
          </w:p>
        </w:tc>
        <w:tc>
          <w:tcPr>
            <w:tcW w:w="1132" w:type="dxa"/>
            <w:noWrap w:val="0"/>
            <w:vAlign w:val="top"/>
          </w:tcPr>
          <w:p w14:paraId="517CB3F6">
            <w:pPr>
              <w:rPr>
                <w:rFonts w:ascii="Arial"/>
                <w:color w:val="auto"/>
                <w:sz w:val="21"/>
                <w:highlight w:val="none"/>
              </w:rPr>
            </w:pPr>
          </w:p>
        </w:tc>
        <w:tc>
          <w:tcPr>
            <w:tcW w:w="992" w:type="dxa"/>
            <w:noWrap w:val="0"/>
            <w:vAlign w:val="top"/>
          </w:tcPr>
          <w:p w14:paraId="6A9F877D">
            <w:pPr>
              <w:rPr>
                <w:rFonts w:ascii="Arial"/>
                <w:color w:val="auto"/>
                <w:sz w:val="21"/>
                <w:highlight w:val="none"/>
              </w:rPr>
            </w:pPr>
          </w:p>
        </w:tc>
        <w:tc>
          <w:tcPr>
            <w:tcW w:w="1107" w:type="dxa"/>
            <w:tcBorders>
              <w:right w:val="single" w:color="000000" w:sz="6" w:space="0"/>
            </w:tcBorders>
            <w:noWrap w:val="0"/>
            <w:vAlign w:val="top"/>
          </w:tcPr>
          <w:p w14:paraId="0D90318B">
            <w:pPr>
              <w:rPr>
                <w:rFonts w:ascii="Arial"/>
                <w:color w:val="auto"/>
                <w:sz w:val="21"/>
                <w:highlight w:val="none"/>
              </w:rPr>
            </w:pPr>
          </w:p>
        </w:tc>
      </w:tr>
      <w:tr w14:paraId="772EA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0D3A0AAA">
            <w:pPr>
              <w:rPr>
                <w:rFonts w:ascii="Arial"/>
                <w:color w:val="auto"/>
                <w:sz w:val="21"/>
                <w:highlight w:val="none"/>
              </w:rPr>
            </w:pPr>
          </w:p>
        </w:tc>
        <w:tc>
          <w:tcPr>
            <w:tcW w:w="1699" w:type="dxa"/>
            <w:noWrap w:val="0"/>
            <w:vAlign w:val="top"/>
          </w:tcPr>
          <w:p w14:paraId="02993EC1">
            <w:pPr>
              <w:rPr>
                <w:rFonts w:ascii="Arial"/>
                <w:color w:val="auto"/>
                <w:sz w:val="21"/>
                <w:highlight w:val="none"/>
              </w:rPr>
            </w:pPr>
          </w:p>
        </w:tc>
        <w:tc>
          <w:tcPr>
            <w:tcW w:w="849" w:type="dxa"/>
            <w:noWrap w:val="0"/>
            <w:vAlign w:val="top"/>
          </w:tcPr>
          <w:p w14:paraId="6B05339E">
            <w:pPr>
              <w:rPr>
                <w:rFonts w:ascii="Arial"/>
                <w:color w:val="auto"/>
                <w:sz w:val="21"/>
                <w:highlight w:val="none"/>
              </w:rPr>
            </w:pPr>
          </w:p>
        </w:tc>
        <w:tc>
          <w:tcPr>
            <w:tcW w:w="707" w:type="dxa"/>
            <w:noWrap w:val="0"/>
            <w:vAlign w:val="top"/>
          </w:tcPr>
          <w:p w14:paraId="0AEAC9C3">
            <w:pPr>
              <w:rPr>
                <w:rFonts w:ascii="Arial"/>
                <w:color w:val="auto"/>
                <w:sz w:val="21"/>
                <w:highlight w:val="none"/>
              </w:rPr>
            </w:pPr>
          </w:p>
        </w:tc>
        <w:tc>
          <w:tcPr>
            <w:tcW w:w="849" w:type="dxa"/>
            <w:noWrap w:val="0"/>
            <w:vAlign w:val="top"/>
          </w:tcPr>
          <w:p w14:paraId="3DD409F4">
            <w:pPr>
              <w:rPr>
                <w:rFonts w:ascii="Arial"/>
                <w:color w:val="auto"/>
                <w:sz w:val="21"/>
                <w:highlight w:val="none"/>
              </w:rPr>
            </w:pPr>
          </w:p>
        </w:tc>
        <w:tc>
          <w:tcPr>
            <w:tcW w:w="848" w:type="dxa"/>
            <w:noWrap w:val="0"/>
            <w:vAlign w:val="top"/>
          </w:tcPr>
          <w:p w14:paraId="7469F6B1">
            <w:pPr>
              <w:rPr>
                <w:rFonts w:ascii="Arial"/>
                <w:color w:val="auto"/>
                <w:sz w:val="21"/>
                <w:highlight w:val="none"/>
              </w:rPr>
            </w:pPr>
          </w:p>
        </w:tc>
        <w:tc>
          <w:tcPr>
            <w:tcW w:w="1132" w:type="dxa"/>
            <w:noWrap w:val="0"/>
            <w:vAlign w:val="top"/>
          </w:tcPr>
          <w:p w14:paraId="266A181B">
            <w:pPr>
              <w:rPr>
                <w:rFonts w:ascii="Arial"/>
                <w:color w:val="auto"/>
                <w:sz w:val="21"/>
                <w:highlight w:val="none"/>
              </w:rPr>
            </w:pPr>
          </w:p>
        </w:tc>
        <w:tc>
          <w:tcPr>
            <w:tcW w:w="992" w:type="dxa"/>
            <w:noWrap w:val="0"/>
            <w:vAlign w:val="top"/>
          </w:tcPr>
          <w:p w14:paraId="6AB5E8E3">
            <w:pPr>
              <w:rPr>
                <w:rFonts w:ascii="Arial"/>
                <w:color w:val="auto"/>
                <w:sz w:val="21"/>
                <w:highlight w:val="none"/>
              </w:rPr>
            </w:pPr>
          </w:p>
        </w:tc>
        <w:tc>
          <w:tcPr>
            <w:tcW w:w="1107" w:type="dxa"/>
            <w:tcBorders>
              <w:right w:val="single" w:color="000000" w:sz="6" w:space="0"/>
            </w:tcBorders>
            <w:noWrap w:val="0"/>
            <w:vAlign w:val="top"/>
          </w:tcPr>
          <w:p w14:paraId="350AB489">
            <w:pPr>
              <w:rPr>
                <w:rFonts w:ascii="Arial"/>
                <w:color w:val="auto"/>
                <w:sz w:val="21"/>
                <w:highlight w:val="none"/>
              </w:rPr>
            </w:pPr>
          </w:p>
        </w:tc>
      </w:tr>
      <w:tr w14:paraId="0869C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289DFD98">
            <w:pPr>
              <w:rPr>
                <w:rFonts w:ascii="Arial"/>
                <w:color w:val="auto"/>
                <w:sz w:val="21"/>
                <w:highlight w:val="none"/>
              </w:rPr>
            </w:pPr>
          </w:p>
        </w:tc>
        <w:tc>
          <w:tcPr>
            <w:tcW w:w="1699" w:type="dxa"/>
            <w:noWrap w:val="0"/>
            <w:vAlign w:val="top"/>
          </w:tcPr>
          <w:p w14:paraId="78EE26A3">
            <w:pPr>
              <w:rPr>
                <w:rFonts w:ascii="Arial"/>
                <w:color w:val="auto"/>
                <w:sz w:val="21"/>
                <w:highlight w:val="none"/>
              </w:rPr>
            </w:pPr>
          </w:p>
        </w:tc>
        <w:tc>
          <w:tcPr>
            <w:tcW w:w="849" w:type="dxa"/>
            <w:noWrap w:val="0"/>
            <w:vAlign w:val="top"/>
          </w:tcPr>
          <w:p w14:paraId="3F696476">
            <w:pPr>
              <w:rPr>
                <w:rFonts w:ascii="Arial"/>
                <w:color w:val="auto"/>
                <w:sz w:val="21"/>
                <w:highlight w:val="none"/>
              </w:rPr>
            </w:pPr>
          </w:p>
        </w:tc>
        <w:tc>
          <w:tcPr>
            <w:tcW w:w="707" w:type="dxa"/>
            <w:noWrap w:val="0"/>
            <w:vAlign w:val="top"/>
          </w:tcPr>
          <w:p w14:paraId="1C931E8F">
            <w:pPr>
              <w:rPr>
                <w:rFonts w:ascii="Arial"/>
                <w:color w:val="auto"/>
                <w:sz w:val="21"/>
                <w:highlight w:val="none"/>
              </w:rPr>
            </w:pPr>
          </w:p>
        </w:tc>
        <w:tc>
          <w:tcPr>
            <w:tcW w:w="849" w:type="dxa"/>
            <w:noWrap w:val="0"/>
            <w:vAlign w:val="top"/>
          </w:tcPr>
          <w:p w14:paraId="793B9701">
            <w:pPr>
              <w:rPr>
                <w:rFonts w:ascii="Arial"/>
                <w:color w:val="auto"/>
                <w:sz w:val="21"/>
                <w:highlight w:val="none"/>
              </w:rPr>
            </w:pPr>
          </w:p>
        </w:tc>
        <w:tc>
          <w:tcPr>
            <w:tcW w:w="848" w:type="dxa"/>
            <w:noWrap w:val="0"/>
            <w:vAlign w:val="top"/>
          </w:tcPr>
          <w:p w14:paraId="0B09FDED">
            <w:pPr>
              <w:rPr>
                <w:rFonts w:ascii="Arial"/>
                <w:color w:val="auto"/>
                <w:sz w:val="21"/>
                <w:highlight w:val="none"/>
              </w:rPr>
            </w:pPr>
          </w:p>
        </w:tc>
        <w:tc>
          <w:tcPr>
            <w:tcW w:w="1132" w:type="dxa"/>
            <w:noWrap w:val="0"/>
            <w:vAlign w:val="top"/>
          </w:tcPr>
          <w:p w14:paraId="21161377">
            <w:pPr>
              <w:rPr>
                <w:rFonts w:ascii="Arial"/>
                <w:color w:val="auto"/>
                <w:sz w:val="21"/>
                <w:highlight w:val="none"/>
              </w:rPr>
            </w:pPr>
          </w:p>
        </w:tc>
        <w:tc>
          <w:tcPr>
            <w:tcW w:w="992" w:type="dxa"/>
            <w:noWrap w:val="0"/>
            <w:vAlign w:val="top"/>
          </w:tcPr>
          <w:p w14:paraId="6E502C07">
            <w:pPr>
              <w:rPr>
                <w:rFonts w:ascii="Arial"/>
                <w:color w:val="auto"/>
                <w:sz w:val="21"/>
                <w:highlight w:val="none"/>
              </w:rPr>
            </w:pPr>
          </w:p>
        </w:tc>
        <w:tc>
          <w:tcPr>
            <w:tcW w:w="1107" w:type="dxa"/>
            <w:tcBorders>
              <w:right w:val="single" w:color="000000" w:sz="6" w:space="0"/>
            </w:tcBorders>
            <w:noWrap w:val="0"/>
            <w:vAlign w:val="top"/>
          </w:tcPr>
          <w:p w14:paraId="74518175">
            <w:pPr>
              <w:rPr>
                <w:rFonts w:ascii="Arial"/>
                <w:color w:val="auto"/>
                <w:sz w:val="21"/>
                <w:highlight w:val="none"/>
              </w:rPr>
            </w:pPr>
          </w:p>
        </w:tc>
      </w:tr>
      <w:tr w14:paraId="4CA68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6" w:type="dxa"/>
            <w:tcBorders>
              <w:left w:val="single" w:color="000000" w:sz="6" w:space="0"/>
            </w:tcBorders>
            <w:noWrap w:val="0"/>
            <w:vAlign w:val="top"/>
          </w:tcPr>
          <w:p w14:paraId="2E0AB6C3">
            <w:pPr>
              <w:rPr>
                <w:rFonts w:ascii="Arial"/>
                <w:color w:val="auto"/>
                <w:sz w:val="21"/>
                <w:highlight w:val="none"/>
              </w:rPr>
            </w:pPr>
          </w:p>
        </w:tc>
        <w:tc>
          <w:tcPr>
            <w:tcW w:w="1699" w:type="dxa"/>
            <w:noWrap w:val="0"/>
            <w:vAlign w:val="top"/>
          </w:tcPr>
          <w:p w14:paraId="5322F9E9">
            <w:pPr>
              <w:rPr>
                <w:rFonts w:ascii="Arial"/>
                <w:color w:val="auto"/>
                <w:sz w:val="21"/>
                <w:highlight w:val="none"/>
              </w:rPr>
            </w:pPr>
          </w:p>
        </w:tc>
        <w:tc>
          <w:tcPr>
            <w:tcW w:w="849" w:type="dxa"/>
            <w:noWrap w:val="0"/>
            <w:vAlign w:val="top"/>
          </w:tcPr>
          <w:p w14:paraId="3F6A2769">
            <w:pPr>
              <w:rPr>
                <w:rFonts w:ascii="Arial"/>
                <w:color w:val="auto"/>
                <w:sz w:val="21"/>
                <w:highlight w:val="none"/>
              </w:rPr>
            </w:pPr>
          </w:p>
        </w:tc>
        <w:tc>
          <w:tcPr>
            <w:tcW w:w="707" w:type="dxa"/>
            <w:noWrap w:val="0"/>
            <w:vAlign w:val="top"/>
          </w:tcPr>
          <w:p w14:paraId="6EC452C4">
            <w:pPr>
              <w:rPr>
                <w:rFonts w:ascii="Arial"/>
                <w:color w:val="auto"/>
                <w:sz w:val="21"/>
                <w:highlight w:val="none"/>
              </w:rPr>
            </w:pPr>
          </w:p>
        </w:tc>
        <w:tc>
          <w:tcPr>
            <w:tcW w:w="849" w:type="dxa"/>
            <w:noWrap w:val="0"/>
            <w:vAlign w:val="top"/>
          </w:tcPr>
          <w:p w14:paraId="2C305AA5">
            <w:pPr>
              <w:rPr>
                <w:rFonts w:ascii="Arial"/>
                <w:color w:val="auto"/>
                <w:sz w:val="21"/>
                <w:highlight w:val="none"/>
              </w:rPr>
            </w:pPr>
          </w:p>
        </w:tc>
        <w:tc>
          <w:tcPr>
            <w:tcW w:w="848" w:type="dxa"/>
            <w:noWrap w:val="0"/>
            <w:vAlign w:val="top"/>
          </w:tcPr>
          <w:p w14:paraId="1FC3AC71">
            <w:pPr>
              <w:rPr>
                <w:rFonts w:ascii="Arial"/>
                <w:color w:val="auto"/>
                <w:sz w:val="21"/>
                <w:highlight w:val="none"/>
              </w:rPr>
            </w:pPr>
          </w:p>
        </w:tc>
        <w:tc>
          <w:tcPr>
            <w:tcW w:w="1132" w:type="dxa"/>
            <w:noWrap w:val="0"/>
            <w:vAlign w:val="top"/>
          </w:tcPr>
          <w:p w14:paraId="7EC46C5C">
            <w:pPr>
              <w:rPr>
                <w:rFonts w:ascii="Arial"/>
                <w:color w:val="auto"/>
                <w:sz w:val="21"/>
                <w:highlight w:val="none"/>
              </w:rPr>
            </w:pPr>
          </w:p>
        </w:tc>
        <w:tc>
          <w:tcPr>
            <w:tcW w:w="992" w:type="dxa"/>
            <w:noWrap w:val="0"/>
            <w:vAlign w:val="top"/>
          </w:tcPr>
          <w:p w14:paraId="4A0313A8">
            <w:pPr>
              <w:rPr>
                <w:rFonts w:ascii="Arial"/>
                <w:color w:val="auto"/>
                <w:sz w:val="21"/>
                <w:highlight w:val="none"/>
              </w:rPr>
            </w:pPr>
          </w:p>
        </w:tc>
        <w:tc>
          <w:tcPr>
            <w:tcW w:w="1107" w:type="dxa"/>
            <w:tcBorders>
              <w:right w:val="single" w:color="000000" w:sz="6" w:space="0"/>
            </w:tcBorders>
            <w:noWrap w:val="0"/>
            <w:vAlign w:val="top"/>
          </w:tcPr>
          <w:p w14:paraId="0BF93456">
            <w:pPr>
              <w:rPr>
                <w:rFonts w:ascii="Arial"/>
                <w:color w:val="auto"/>
                <w:sz w:val="21"/>
                <w:highlight w:val="none"/>
              </w:rPr>
            </w:pPr>
          </w:p>
        </w:tc>
      </w:tr>
      <w:tr w14:paraId="2E6EC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2CA6CFE1">
            <w:pPr>
              <w:rPr>
                <w:rFonts w:ascii="Arial"/>
                <w:color w:val="auto"/>
                <w:sz w:val="21"/>
                <w:highlight w:val="none"/>
              </w:rPr>
            </w:pPr>
          </w:p>
        </w:tc>
        <w:tc>
          <w:tcPr>
            <w:tcW w:w="1699" w:type="dxa"/>
            <w:noWrap w:val="0"/>
            <w:vAlign w:val="top"/>
          </w:tcPr>
          <w:p w14:paraId="5F77C459">
            <w:pPr>
              <w:rPr>
                <w:rFonts w:ascii="Arial"/>
                <w:color w:val="auto"/>
                <w:sz w:val="21"/>
                <w:highlight w:val="none"/>
              </w:rPr>
            </w:pPr>
          </w:p>
        </w:tc>
        <w:tc>
          <w:tcPr>
            <w:tcW w:w="849" w:type="dxa"/>
            <w:noWrap w:val="0"/>
            <w:vAlign w:val="top"/>
          </w:tcPr>
          <w:p w14:paraId="33803832">
            <w:pPr>
              <w:rPr>
                <w:rFonts w:ascii="Arial"/>
                <w:color w:val="auto"/>
                <w:sz w:val="21"/>
                <w:highlight w:val="none"/>
              </w:rPr>
            </w:pPr>
          </w:p>
        </w:tc>
        <w:tc>
          <w:tcPr>
            <w:tcW w:w="707" w:type="dxa"/>
            <w:noWrap w:val="0"/>
            <w:vAlign w:val="top"/>
          </w:tcPr>
          <w:p w14:paraId="6EB914A0">
            <w:pPr>
              <w:rPr>
                <w:rFonts w:ascii="Arial"/>
                <w:color w:val="auto"/>
                <w:sz w:val="21"/>
                <w:highlight w:val="none"/>
              </w:rPr>
            </w:pPr>
          </w:p>
        </w:tc>
        <w:tc>
          <w:tcPr>
            <w:tcW w:w="849" w:type="dxa"/>
            <w:noWrap w:val="0"/>
            <w:vAlign w:val="top"/>
          </w:tcPr>
          <w:p w14:paraId="0D53AFDD">
            <w:pPr>
              <w:rPr>
                <w:rFonts w:ascii="Arial"/>
                <w:color w:val="auto"/>
                <w:sz w:val="21"/>
                <w:highlight w:val="none"/>
              </w:rPr>
            </w:pPr>
          </w:p>
        </w:tc>
        <w:tc>
          <w:tcPr>
            <w:tcW w:w="848" w:type="dxa"/>
            <w:noWrap w:val="0"/>
            <w:vAlign w:val="top"/>
          </w:tcPr>
          <w:p w14:paraId="27356C4D">
            <w:pPr>
              <w:rPr>
                <w:rFonts w:ascii="Arial"/>
                <w:color w:val="auto"/>
                <w:sz w:val="21"/>
                <w:highlight w:val="none"/>
              </w:rPr>
            </w:pPr>
          </w:p>
        </w:tc>
        <w:tc>
          <w:tcPr>
            <w:tcW w:w="1132" w:type="dxa"/>
            <w:noWrap w:val="0"/>
            <w:vAlign w:val="top"/>
          </w:tcPr>
          <w:p w14:paraId="6BE1CBB7">
            <w:pPr>
              <w:rPr>
                <w:rFonts w:ascii="Arial"/>
                <w:color w:val="auto"/>
                <w:sz w:val="21"/>
                <w:highlight w:val="none"/>
              </w:rPr>
            </w:pPr>
          </w:p>
        </w:tc>
        <w:tc>
          <w:tcPr>
            <w:tcW w:w="992" w:type="dxa"/>
            <w:noWrap w:val="0"/>
            <w:vAlign w:val="top"/>
          </w:tcPr>
          <w:p w14:paraId="258FE2D9">
            <w:pPr>
              <w:rPr>
                <w:rFonts w:ascii="Arial"/>
                <w:color w:val="auto"/>
                <w:sz w:val="21"/>
                <w:highlight w:val="none"/>
              </w:rPr>
            </w:pPr>
          </w:p>
        </w:tc>
        <w:tc>
          <w:tcPr>
            <w:tcW w:w="1107" w:type="dxa"/>
            <w:tcBorders>
              <w:right w:val="single" w:color="000000" w:sz="6" w:space="0"/>
            </w:tcBorders>
            <w:noWrap w:val="0"/>
            <w:vAlign w:val="top"/>
          </w:tcPr>
          <w:p w14:paraId="17C98DCE">
            <w:pPr>
              <w:rPr>
                <w:rFonts w:ascii="Arial"/>
                <w:color w:val="auto"/>
                <w:sz w:val="21"/>
                <w:highlight w:val="none"/>
              </w:rPr>
            </w:pPr>
          </w:p>
        </w:tc>
      </w:tr>
      <w:tr w14:paraId="33056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2BF96135">
            <w:pPr>
              <w:rPr>
                <w:rFonts w:ascii="Arial"/>
                <w:color w:val="auto"/>
                <w:sz w:val="21"/>
                <w:highlight w:val="none"/>
              </w:rPr>
            </w:pPr>
          </w:p>
        </w:tc>
        <w:tc>
          <w:tcPr>
            <w:tcW w:w="1699" w:type="dxa"/>
            <w:noWrap w:val="0"/>
            <w:vAlign w:val="top"/>
          </w:tcPr>
          <w:p w14:paraId="533D00DD">
            <w:pPr>
              <w:rPr>
                <w:rFonts w:ascii="Arial"/>
                <w:color w:val="auto"/>
                <w:sz w:val="21"/>
                <w:highlight w:val="none"/>
              </w:rPr>
            </w:pPr>
          </w:p>
        </w:tc>
        <w:tc>
          <w:tcPr>
            <w:tcW w:w="849" w:type="dxa"/>
            <w:noWrap w:val="0"/>
            <w:vAlign w:val="top"/>
          </w:tcPr>
          <w:p w14:paraId="6FC7BDCD">
            <w:pPr>
              <w:rPr>
                <w:rFonts w:ascii="Arial"/>
                <w:color w:val="auto"/>
                <w:sz w:val="21"/>
                <w:highlight w:val="none"/>
              </w:rPr>
            </w:pPr>
          </w:p>
        </w:tc>
        <w:tc>
          <w:tcPr>
            <w:tcW w:w="707" w:type="dxa"/>
            <w:noWrap w:val="0"/>
            <w:vAlign w:val="top"/>
          </w:tcPr>
          <w:p w14:paraId="29628234">
            <w:pPr>
              <w:rPr>
                <w:rFonts w:ascii="Arial"/>
                <w:color w:val="auto"/>
                <w:sz w:val="21"/>
                <w:highlight w:val="none"/>
              </w:rPr>
            </w:pPr>
          </w:p>
        </w:tc>
        <w:tc>
          <w:tcPr>
            <w:tcW w:w="849" w:type="dxa"/>
            <w:noWrap w:val="0"/>
            <w:vAlign w:val="top"/>
          </w:tcPr>
          <w:p w14:paraId="1B4945F6">
            <w:pPr>
              <w:rPr>
                <w:rFonts w:ascii="Arial"/>
                <w:color w:val="auto"/>
                <w:sz w:val="21"/>
                <w:highlight w:val="none"/>
              </w:rPr>
            </w:pPr>
          </w:p>
        </w:tc>
        <w:tc>
          <w:tcPr>
            <w:tcW w:w="848" w:type="dxa"/>
            <w:noWrap w:val="0"/>
            <w:vAlign w:val="top"/>
          </w:tcPr>
          <w:p w14:paraId="140263B8">
            <w:pPr>
              <w:rPr>
                <w:rFonts w:ascii="Arial"/>
                <w:color w:val="auto"/>
                <w:sz w:val="21"/>
                <w:highlight w:val="none"/>
              </w:rPr>
            </w:pPr>
          </w:p>
        </w:tc>
        <w:tc>
          <w:tcPr>
            <w:tcW w:w="1132" w:type="dxa"/>
            <w:noWrap w:val="0"/>
            <w:vAlign w:val="top"/>
          </w:tcPr>
          <w:p w14:paraId="77C86B09">
            <w:pPr>
              <w:rPr>
                <w:rFonts w:ascii="Arial"/>
                <w:color w:val="auto"/>
                <w:sz w:val="21"/>
                <w:highlight w:val="none"/>
              </w:rPr>
            </w:pPr>
          </w:p>
        </w:tc>
        <w:tc>
          <w:tcPr>
            <w:tcW w:w="992" w:type="dxa"/>
            <w:noWrap w:val="0"/>
            <w:vAlign w:val="top"/>
          </w:tcPr>
          <w:p w14:paraId="7E37BF79">
            <w:pPr>
              <w:rPr>
                <w:rFonts w:ascii="Arial"/>
                <w:color w:val="auto"/>
                <w:sz w:val="21"/>
                <w:highlight w:val="none"/>
              </w:rPr>
            </w:pPr>
          </w:p>
        </w:tc>
        <w:tc>
          <w:tcPr>
            <w:tcW w:w="1107" w:type="dxa"/>
            <w:tcBorders>
              <w:right w:val="single" w:color="000000" w:sz="6" w:space="0"/>
            </w:tcBorders>
            <w:noWrap w:val="0"/>
            <w:vAlign w:val="top"/>
          </w:tcPr>
          <w:p w14:paraId="3E88DAB4">
            <w:pPr>
              <w:rPr>
                <w:rFonts w:ascii="Arial"/>
                <w:color w:val="auto"/>
                <w:sz w:val="21"/>
                <w:highlight w:val="none"/>
              </w:rPr>
            </w:pPr>
          </w:p>
        </w:tc>
      </w:tr>
      <w:tr w14:paraId="5E3C8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6" w:type="dxa"/>
            <w:tcBorders>
              <w:left w:val="single" w:color="000000" w:sz="6" w:space="0"/>
            </w:tcBorders>
            <w:noWrap w:val="0"/>
            <w:vAlign w:val="top"/>
          </w:tcPr>
          <w:p w14:paraId="0EDE6A22">
            <w:pPr>
              <w:rPr>
                <w:rFonts w:ascii="Arial"/>
                <w:color w:val="auto"/>
                <w:sz w:val="21"/>
                <w:highlight w:val="none"/>
              </w:rPr>
            </w:pPr>
          </w:p>
        </w:tc>
        <w:tc>
          <w:tcPr>
            <w:tcW w:w="1699" w:type="dxa"/>
            <w:noWrap w:val="0"/>
            <w:vAlign w:val="top"/>
          </w:tcPr>
          <w:p w14:paraId="5B8E62BE">
            <w:pPr>
              <w:rPr>
                <w:rFonts w:ascii="Arial"/>
                <w:color w:val="auto"/>
                <w:sz w:val="21"/>
                <w:highlight w:val="none"/>
              </w:rPr>
            </w:pPr>
          </w:p>
        </w:tc>
        <w:tc>
          <w:tcPr>
            <w:tcW w:w="849" w:type="dxa"/>
            <w:noWrap w:val="0"/>
            <w:vAlign w:val="top"/>
          </w:tcPr>
          <w:p w14:paraId="2CE82875">
            <w:pPr>
              <w:rPr>
                <w:rFonts w:ascii="Arial"/>
                <w:color w:val="auto"/>
                <w:sz w:val="21"/>
                <w:highlight w:val="none"/>
              </w:rPr>
            </w:pPr>
          </w:p>
        </w:tc>
        <w:tc>
          <w:tcPr>
            <w:tcW w:w="707" w:type="dxa"/>
            <w:noWrap w:val="0"/>
            <w:vAlign w:val="top"/>
          </w:tcPr>
          <w:p w14:paraId="3CB71B14">
            <w:pPr>
              <w:rPr>
                <w:rFonts w:ascii="Arial"/>
                <w:color w:val="auto"/>
                <w:sz w:val="21"/>
                <w:highlight w:val="none"/>
              </w:rPr>
            </w:pPr>
          </w:p>
        </w:tc>
        <w:tc>
          <w:tcPr>
            <w:tcW w:w="849" w:type="dxa"/>
            <w:noWrap w:val="0"/>
            <w:vAlign w:val="top"/>
          </w:tcPr>
          <w:p w14:paraId="501782F1">
            <w:pPr>
              <w:rPr>
                <w:rFonts w:ascii="Arial"/>
                <w:color w:val="auto"/>
                <w:sz w:val="21"/>
                <w:highlight w:val="none"/>
              </w:rPr>
            </w:pPr>
          </w:p>
        </w:tc>
        <w:tc>
          <w:tcPr>
            <w:tcW w:w="848" w:type="dxa"/>
            <w:noWrap w:val="0"/>
            <w:vAlign w:val="top"/>
          </w:tcPr>
          <w:p w14:paraId="1626FB28">
            <w:pPr>
              <w:rPr>
                <w:rFonts w:ascii="Arial"/>
                <w:color w:val="auto"/>
                <w:sz w:val="21"/>
                <w:highlight w:val="none"/>
              </w:rPr>
            </w:pPr>
          </w:p>
        </w:tc>
        <w:tc>
          <w:tcPr>
            <w:tcW w:w="1132" w:type="dxa"/>
            <w:noWrap w:val="0"/>
            <w:vAlign w:val="top"/>
          </w:tcPr>
          <w:p w14:paraId="1A5479E2">
            <w:pPr>
              <w:rPr>
                <w:rFonts w:ascii="Arial"/>
                <w:color w:val="auto"/>
                <w:sz w:val="21"/>
                <w:highlight w:val="none"/>
              </w:rPr>
            </w:pPr>
          </w:p>
        </w:tc>
        <w:tc>
          <w:tcPr>
            <w:tcW w:w="992" w:type="dxa"/>
            <w:noWrap w:val="0"/>
            <w:vAlign w:val="top"/>
          </w:tcPr>
          <w:p w14:paraId="12ED1354">
            <w:pPr>
              <w:rPr>
                <w:rFonts w:ascii="Arial"/>
                <w:color w:val="auto"/>
                <w:sz w:val="21"/>
                <w:highlight w:val="none"/>
              </w:rPr>
            </w:pPr>
          </w:p>
        </w:tc>
        <w:tc>
          <w:tcPr>
            <w:tcW w:w="1107" w:type="dxa"/>
            <w:tcBorders>
              <w:right w:val="single" w:color="000000" w:sz="6" w:space="0"/>
            </w:tcBorders>
            <w:noWrap w:val="0"/>
            <w:vAlign w:val="top"/>
          </w:tcPr>
          <w:p w14:paraId="78786AA8">
            <w:pPr>
              <w:rPr>
                <w:rFonts w:ascii="Arial"/>
                <w:color w:val="auto"/>
                <w:sz w:val="21"/>
                <w:highlight w:val="none"/>
              </w:rPr>
            </w:pPr>
          </w:p>
        </w:tc>
      </w:tr>
      <w:tr w14:paraId="00085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348E6028">
            <w:pPr>
              <w:rPr>
                <w:rFonts w:ascii="Arial"/>
                <w:color w:val="auto"/>
                <w:sz w:val="21"/>
                <w:highlight w:val="none"/>
              </w:rPr>
            </w:pPr>
          </w:p>
        </w:tc>
        <w:tc>
          <w:tcPr>
            <w:tcW w:w="1699" w:type="dxa"/>
            <w:noWrap w:val="0"/>
            <w:vAlign w:val="top"/>
          </w:tcPr>
          <w:p w14:paraId="051A6978">
            <w:pPr>
              <w:rPr>
                <w:rFonts w:ascii="Arial"/>
                <w:color w:val="auto"/>
                <w:sz w:val="21"/>
                <w:highlight w:val="none"/>
              </w:rPr>
            </w:pPr>
          </w:p>
        </w:tc>
        <w:tc>
          <w:tcPr>
            <w:tcW w:w="849" w:type="dxa"/>
            <w:noWrap w:val="0"/>
            <w:vAlign w:val="top"/>
          </w:tcPr>
          <w:p w14:paraId="2FDA8D21">
            <w:pPr>
              <w:rPr>
                <w:rFonts w:ascii="Arial"/>
                <w:color w:val="auto"/>
                <w:sz w:val="21"/>
                <w:highlight w:val="none"/>
              </w:rPr>
            </w:pPr>
          </w:p>
        </w:tc>
        <w:tc>
          <w:tcPr>
            <w:tcW w:w="707" w:type="dxa"/>
            <w:noWrap w:val="0"/>
            <w:vAlign w:val="top"/>
          </w:tcPr>
          <w:p w14:paraId="0D4DD1C1">
            <w:pPr>
              <w:rPr>
                <w:rFonts w:ascii="Arial"/>
                <w:color w:val="auto"/>
                <w:sz w:val="21"/>
                <w:highlight w:val="none"/>
              </w:rPr>
            </w:pPr>
          </w:p>
        </w:tc>
        <w:tc>
          <w:tcPr>
            <w:tcW w:w="849" w:type="dxa"/>
            <w:noWrap w:val="0"/>
            <w:vAlign w:val="top"/>
          </w:tcPr>
          <w:p w14:paraId="76C43DA3">
            <w:pPr>
              <w:rPr>
                <w:rFonts w:ascii="Arial"/>
                <w:color w:val="auto"/>
                <w:sz w:val="21"/>
                <w:highlight w:val="none"/>
              </w:rPr>
            </w:pPr>
          </w:p>
        </w:tc>
        <w:tc>
          <w:tcPr>
            <w:tcW w:w="848" w:type="dxa"/>
            <w:noWrap w:val="0"/>
            <w:vAlign w:val="top"/>
          </w:tcPr>
          <w:p w14:paraId="18DAB94F">
            <w:pPr>
              <w:rPr>
                <w:rFonts w:ascii="Arial"/>
                <w:color w:val="auto"/>
                <w:sz w:val="21"/>
                <w:highlight w:val="none"/>
              </w:rPr>
            </w:pPr>
          </w:p>
        </w:tc>
        <w:tc>
          <w:tcPr>
            <w:tcW w:w="1132" w:type="dxa"/>
            <w:noWrap w:val="0"/>
            <w:vAlign w:val="top"/>
          </w:tcPr>
          <w:p w14:paraId="1D3BD660">
            <w:pPr>
              <w:rPr>
                <w:rFonts w:ascii="Arial"/>
                <w:color w:val="auto"/>
                <w:sz w:val="21"/>
                <w:highlight w:val="none"/>
              </w:rPr>
            </w:pPr>
          </w:p>
        </w:tc>
        <w:tc>
          <w:tcPr>
            <w:tcW w:w="992" w:type="dxa"/>
            <w:noWrap w:val="0"/>
            <w:vAlign w:val="top"/>
          </w:tcPr>
          <w:p w14:paraId="2BD83853">
            <w:pPr>
              <w:rPr>
                <w:rFonts w:ascii="Arial"/>
                <w:color w:val="auto"/>
                <w:sz w:val="21"/>
                <w:highlight w:val="none"/>
              </w:rPr>
            </w:pPr>
          </w:p>
        </w:tc>
        <w:tc>
          <w:tcPr>
            <w:tcW w:w="1107" w:type="dxa"/>
            <w:tcBorders>
              <w:right w:val="single" w:color="000000" w:sz="6" w:space="0"/>
            </w:tcBorders>
            <w:noWrap w:val="0"/>
            <w:vAlign w:val="top"/>
          </w:tcPr>
          <w:p w14:paraId="0D9DC9F1">
            <w:pPr>
              <w:rPr>
                <w:rFonts w:ascii="Arial"/>
                <w:color w:val="auto"/>
                <w:sz w:val="21"/>
                <w:highlight w:val="none"/>
              </w:rPr>
            </w:pPr>
          </w:p>
        </w:tc>
      </w:tr>
      <w:tr w14:paraId="1AB20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332C45B4">
            <w:pPr>
              <w:rPr>
                <w:rFonts w:ascii="Arial"/>
                <w:color w:val="auto"/>
                <w:sz w:val="21"/>
                <w:highlight w:val="none"/>
              </w:rPr>
            </w:pPr>
          </w:p>
        </w:tc>
        <w:tc>
          <w:tcPr>
            <w:tcW w:w="1699" w:type="dxa"/>
            <w:noWrap w:val="0"/>
            <w:vAlign w:val="top"/>
          </w:tcPr>
          <w:p w14:paraId="57C07A2A">
            <w:pPr>
              <w:rPr>
                <w:rFonts w:ascii="Arial"/>
                <w:color w:val="auto"/>
                <w:sz w:val="21"/>
                <w:highlight w:val="none"/>
              </w:rPr>
            </w:pPr>
          </w:p>
        </w:tc>
        <w:tc>
          <w:tcPr>
            <w:tcW w:w="849" w:type="dxa"/>
            <w:noWrap w:val="0"/>
            <w:vAlign w:val="top"/>
          </w:tcPr>
          <w:p w14:paraId="3191C540">
            <w:pPr>
              <w:rPr>
                <w:rFonts w:ascii="Arial"/>
                <w:color w:val="auto"/>
                <w:sz w:val="21"/>
                <w:highlight w:val="none"/>
              </w:rPr>
            </w:pPr>
          </w:p>
        </w:tc>
        <w:tc>
          <w:tcPr>
            <w:tcW w:w="707" w:type="dxa"/>
            <w:noWrap w:val="0"/>
            <w:vAlign w:val="top"/>
          </w:tcPr>
          <w:p w14:paraId="3E76D60E">
            <w:pPr>
              <w:rPr>
                <w:rFonts w:ascii="Arial"/>
                <w:color w:val="auto"/>
                <w:sz w:val="21"/>
                <w:highlight w:val="none"/>
              </w:rPr>
            </w:pPr>
          </w:p>
        </w:tc>
        <w:tc>
          <w:tcPr>
            <w:tcW w:w="849" w:type="dxa"/>
            <w:noWrap w:val="0"/>
            <w:vAlign w:val="top"/>
          </w:tcPr>
          <w:p w14:paraId="12AD6B81">
            <w:pPr>
              <w:rPr>
                <w:rFonts w:ascii="Arial"/>
                <w:color w:val="auto"/>
                <w:sz w:val="21"/>
                <w:highlight w:val="none"/>
              </w:rPr>
            </w:pPr>
          </w:p>
        </w:tc>
        <w:tc>
          <w:tcPr>
            <w:tcW w:w="848" w:type="dxa"/>
            <w:noWrap w:val="0"/>
            <w:vAlign w:val="top"/>
          </w:tcPr>
          <w:p w14:paraId="7F14DBD8">
            <w:pPr>
              <w:rPr>
                <w:rFonts w:ascii="Arial"/>
                <w:color w:val="auto"/>
                <w:sz w:val="21"/>
                <w:highlight w:val="none"/>
              </w:rPr>
            </w:pPr>
          </w:p>
        </w:tc>
        <w:tc>
          <w:tcPr>
            <w:tcW w:w="1132" w:type="dxa"/>
            <w:noWrap w:val="0"/>
            <w:vAlign w:val="top"/>
          </w:tcPr>
          <w:p w14:paraId="7BCE4FB2">
            <w:pPr>
              <w:rPr>
                <w:rFonts w:ascii="Arial"/>
                <w:color w:val="auto"/>
                <w:sz w:val="21"/>
                <w:highlight w:val="none"/>
              </w:rPr>
            </w:pPr>
          </w:p>
        </w:tc>
        <w:tc>
          <w:tcPr>
            <w:tcW w:w="992" w:type="dxa"/>
            <w:noWrap w:val="0"/>
            <w:vAlign w:val="top"/>
          </w:tcPr>
          <w:p w14:paraId="79C441B1">
            <w:pPr>
              <w:rPr>
                <w:rFonts w:ascii="Arial"/>
                <w:color w:val="auto"/>
                <w:sz w:val="21"/>
                <w:highlight w:val="none"/>
              </w:rPr>
            </w:pPr>
          </w:p>
        </w:tc>
        <w:tc>
          <w:tcPr>
            <w:tcW w:w="1107" w:type="dxa"/>
            <w:tcBorders>
              <w:right w:val="single" w:color="000000" w:sz="6" w:space="0"/>
            </w:tcBorders>
            <w:noWrap w:val="0"/>
            <w:vAlign w:val="top"/>
          </w:tcPr>
          <w:p w14:paraId="5E1FD967">
            <w:pPr>
              <w:rPr>
                <w:rFonts w:ascii="Arial"/>
                <w:color w:val="auto"/>
                <w:sz w:val="21"/>
                <w:highlight w:val="none"/>
              </w:rPr>
            </w:pPr>
          </w:p>
        </w:tc>
      </w:tr>
      <w:tr w14:paraId="0DFAC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6" w:type="dxa"/>
            <w:tcBorders>
              <w:left w:val="single" w:color="000000" w:sz="6" w:space="0"/>
            </w:tcBorders>
            <w:noWrap w:val="0"/>
            <w:vAlign w:val="top"/>
          </w:tcPr>
          <w:p w14:paraId="5E042C83">
            <w:pPr>
              <w:rPr>
                <w:rFonts w:ascii="Arial"/>
                <w:color w:val="auto"/>
                <w:sz w:val="21"/>
                <w:highlight w:val="none"/>
              </w:rPr>
            </w:pPr>
          </w:p>
        </w:tc>
        <w:tc>
          <w:tcPr>
            <w:tcW w:w="1699" w:type="dxa"/>
            <w:noWrap w:val="0"/>
            <w:vAlign w:val="top"/>
          </w:tcPr>
          <w:p w14:paraId="2F81B6CE">
            <w:pPr>
              <w:rPr>
                <w:rFonts w:ascii="Arial"/>
                <w:color w:val="auto"/>
                <w:sz w:val="21"/>
                <w:highlight w:val="none"/>
              </w:rPr>
            </w:pPr>
          </w:p>
        </w:tc>
        <w:tc>
          <w:tcPr>
            <w:tcW w:w="849" w:type="dxa"/>
            <w:noWrap w:val="0"/>
            <w:vAlign w:val="top"/>
          </w:tcPr>
          <w:p w14:paraId="03B4C5FB">
            <w:pPr>
              <w:rPr>
                <w:rFonts w:ascii="Arial"/>
                <w:color w:val="auto"/>
                <w:sz w:val="21"/>
                <w:highlight w:val="none"/>
              </w:rPr>
            </w:pPr>
          </w:p>
        </w:tc>
        <w:tc>
          <w:tcPr>
            <w:tcW w:w="707" w:type="dxa"/>
            <w:noWrap w:val="0"/>
            <w:vAlign w:val="top"/>
          </w:tcPr>
          <w:p w14:paraId="6402842A">
            <w:pPr>
              <w:rPr>
                <w:rFonts w:ascii="Arial"/>
                <w:color w:val="auto"/>
                <w:sz w:val="21"/>
                <w:highlight w:val="none"/>
              </w:rPr>
            </w:pPr>
          </w:p>
        </w:tc>
        <w:tc>
          <w:tcPr>
            <w:tcW w:w="849" w:type="dxa"/>
            <w:noWrap w:val="0"/>
            <w:vAlign w:val="top"/>
          </w:tcPr>
          <w:p w14:paraId="36B6934B">
            <w:pPr>
              <w:rPr>
                <w:rFonts w:ascii="Arial"/>
                <w:color w:val="auto"/>
                <w:sz w:val="21"/>
                <w:highlight w:val="none"/>
              </w:rPr>
            </w:pPr>
          </w:p>
        </w:tc>
        <w:tc>
          <w:tcPr>
            <w:tcW w:w="848" w:type="dxa"/>
            <w:noWrap w:val="0"/>
            <w:vAlign w:val="top"/>
          </w:tcPr>
          <w:p w14:paraId="14F1411B">
            <w:pPr>
              <w:rPr>
                <w:rFonts w:ascii="Arial"/>
                <w:color w:val="auto"/>
                <w:sz w:val="21"/>
                <w:highlight w:val="none"/>
              </w:rPr>
            </w:pPr>
          </w:p>
        </w:tc>
        <w:tc>
          <w:tcPr>
            <w:tcW w:w="1132" w:type="dxa"/>
            <w:noWrap w:val="0"/>
            <w:vAlign w:val="top"/>
          </w:tcPr>
          <w:p w14:paraId="6D21A88D">
            <w:pPr>
              <w:rPr>
                <w:rFonts w:ascii="Arial"/>
                <w:color w:val="auto"/>
                <w:sz w:val="21"/>
                <w:highlight w:val="none"/>
              </w:rPr>
            </w:pPr>
          </w:p>
        </w:tc>
        <w:tc>
          <w:tcPr>
            <w:tcW w:w="992" w:type="dxa"/>
            <w:noWrap w:val="0"/>
            <w:vAlign w:val="top"/>
          </w:tcPr>
          <w:p w14:paraId="03DEC1DB">
            <w:pPr>
              <w:rPr>
                <w:rFonts w:ascii="Arial"/>
                <w:color w:val="auto"/>
                <w:sz w:val="21"/>
                <w:highlight w:val="none"/>
              </w:rPr>
            </w:pPr>
          </w:p>
        </w:tc>
        <w:tc>
          <w:tcPr>
            <w:tcW w:w="1107" w:type="dxa"/>
            <w:tcBorders>
              <w:right w:val="single" w:color="000000" w:sz="6" w:space="0"/>
            </w:tcBorders>
            <w:noWrap w:val="0"/>
            <w:vAlign w:val="top"/>
          </w:tcPr>
          <w:p w14:paraId="2BCBCA8E">
            <w:pPr>
              <w:rPr>
                <w:rFonts w:ascii="Arial"/>
                <w:color w:val="auto"/>
                <w:sz w:val="21"/>
                <w:highlight w:val="none"/>
              </w:rPr>
            </w:pPr>
          </w:p>
        </w:tc>
      </w:tr>
      <w:tr w14:paraId="297CA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78B317F2">
            <w:pPr>
              <w:rPr>
                <w:rFonts w:ascii="Arial"/>
                <w:color w:val="auto"/>
                <w:sz w:val="21"/>
                <w:highlight w:val="none"/>
              </w:rPr>
            </w:pPr>
          </w:p>
        </w:tc>
        <w:tc>
          <w:tcPr>
            <w:tcW w:w="1699" w:type="dxa"/>
            <w:noWrap w:val="0"/>
            <w:vAlign w:val="top"/>
          </w:tcPr>
          <w:p w14:paraId="427753AC">
            <w:pPr>
              <w:rPr>
                <w:rFonts w:ascii="Arial"/>
                <w:color w:val="auto"/>
                <w:sz w:val="21"/>
                <w:highlight w:val="none"/>
              </w:rPr>
            </w:pPr>
          </w:p>
        </w:tc>
        <w:tc>
          <w:tcPr>
            <w:tcW w:w="849" w:type="dxa"/>
            <w:noWrap w:val="0"/>
            <w:vAlign w:val="top"/>
          </w:tcPr>
          <w:p w14:paraId="6665B611">
            <w:pPr>
              <w:rPr>
                <w:rFonts w:ascii="Arial"/>
                <w:color w:val="auto"/>
                <w:sz w:val="21"/>
                <w:highlight w:val="none"/>
              </w:rPr>
            </w:pPr>
          </w:p>
        </w:tc>
        <w:tc>
          <w:tcPr>
            <w:tcW w:w="707" w:type="dxa"/>
            <w:noWrap w:val="0"/>
            <w:vAlign w:val="top"/>
          </w:tcPr>
          <w:p w14:paraId="3697619E">
            <w:pPr>
              <w:rPr>
                <w:rFonts w:ascii="Arial"/>
                <w:color w:val="auto"/>
                <w:sz w:val="21"/>
                <w:highlight w:val="none"/>
              </w:rPr>
            </w:pPr>
          </w:p>
        </w:tc>
        <w:tc>
          <w:tcPr>
            <w:tcW w:w="849" w:type="dxa"/>
            <w:noWrap w:val="0"/>
            <w:vAlign w:val="top"/>
          </w:tcPr>
          <w:p w14:paraId="44777340">
            <w:pPr>
              <w:rPr>
                <w:rFonts w:ascii="Arial"/>
                <w:color w:val="auto"/>
                <w:sz w:val="21"/>
                <w:highlight w:val="none"/>
              </w:rPr>
            </w:pPr>
          </w:p>
        </w:tc>
        <w:tc>
          <w:tcPr>
            <w:tcW w:w="848" w:type="dxa"/>
            <w:noWrap w:val="0"/>
            <w:vAlign w:val="top"/>
          </w:tcPr>
          <w:p w14:paraId="4C6A1655">
            <w:pPr>
              <w:rPr>
                <w:rFonts w:ascii="Arial"/>
                <w:color w:val="auto"/>
                <w:sz w:val="21"/>
                <w:highlight w:val="none"/>
              </w:rPr>
            </w:pPr>
          </w:p>
        </w:tc>
        <w:tc>
          <w:tcPr>
            <w:tcW w:w="1132" w:type="dxa"/>
            <w:noWrap w:val="0"/>
            <w:vAlign w:val="top"/>
          </w:tcPr>
          <w:p w14:paraId="430CE8AF">
            <w:pPr>
              <w:rPr>
                <w:rFonts w:ascii="Arial"/>
                <w:color w:val="auto"/>
                <w:sz w:val="21"/>
                <w:highlight w:val="none"/>
              </w:rPr>
            </w:pPr>
          </w:p>
        </w:tc>
        <w:tc>
          <w:tcPr>
            <w:tcW w:w="992" w:type="dxa"/>
            <w:noWrap w:val="0"/>
            <w:vAlign w:val="top"/>
          </w:tcPr>
          <w:p w14:paraId="5D0F775E">
            <w:pPr>
              <w:rPr>
                <w:rFonts w:ascii="Arial"/>
                <w:color w:val="auto"/>
                <w:sz w:val="21"/>
                <w:highlight w:val="none"/>
              </w:rPr>
            </w:pPr>
          </w:p>
        </w:tc>
        <w:tc>
          <w:tcPr>
            <w:tcW w:w="1107" w:type="dxa"/>
            <w:tcBorders>
              <w:right w:val="single" w:color="000000" w:sz="6" w:space="0"/>
            </w:tcBorders>
            <w:noWrap w:val="0"/>
            <w:vAlign w:val="top"/>
          </w:tcPr>
          <w:p w14:paraId="31F2C7E2">
            <w:pPr>
              <w:rPr>
                <w:rFonts w:ascii="Arial"/>
                <w:color w:val="auto"/>
                <w:sz w:val="21"/>
                <w:highlight w:val="none"/>
              </w:rPr>
            </w:pPr>
          </w:p>
        </w:tc>
      </w:tr>
      <w:tr w14:paraId="79FC8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826" w:type="dxa"/>
            <w:tcBorders>
              <w:left w:val="single" w:color="000000" w:sz="6" w:space="0"/>
            </w:tcBorders>
            <w:noWrap w:val="0"/>
            <w:vAlign w:val="top"/>
          </w:tcPr>
          <w:p w14:paraId="55B9BAD9">
            <w:pPr>
              <w:rPr>
                <w:rFonts w:ascii="Arial"/>
                <w:color w:val="auto"/>
                <w:sz w:val="21"/>
                <w:highlight w:val="none"/>
              </w:rPr>
            </w:pPr>
          </w:p>
        </w:tc>
        <w:tc>
          <w:tcPr>
            <w:tcW w:w="1699" w:type="dxa"/>
            <w:noWrap w:val="0"/>
            <w:vAlign w:val="top"/>
          </w:tcPr>
          <w:p w14:paraId="2C902582">
            <w:pPr>
              <w:rPr>
                <w:rFonts w:ascii="Arial"/>
                <w:color w:val="auto"/>
                <w:sz w:val="21"/>
                <w:highlight w:val="none"/>
              </w:rPr>
            </w:pPr>
          </w:p>
        </w:tc>
        <w:tc>
          <w:tcPr>
            <w:tcW w:w="849" w:type="dxa"/>
            <w:noWrap w:val="0"/>
            <w:vAlign w:val="top"/>
          </w:tcPr>
          <w:p w14:paraId="1226BEE9">
            <w:pPr>
              <w:rPr>
                <w:rFonts w:ascii="Arial"/>
                <w:color w:val="auto"/>
                <w:sz w:val="21"/>
                <w:highlight w:val="none"/>
              </w:rPr>
            </w:pPr>
          </w:p>
        </w:tc>
        <w:tc>
          <w:tcPr>
            <w:tcW w:w="707" w:type="dxa"/>
            <w:noWrap w:val="0"/>
            <w:vAlign w:val="top"/>
          </w:tcPr>
          <w:p w14:paraId="1B47FCC8">
            <w:pPr>
              <w:rPr>
                <w:rFonts w:ascii="Arial"/>
                <w:color w:val="auto"/>
                <w:sz w:val="21"/>
                <w:highlight w:val="none"/>
              </w:rPr>
            </w:pPr>
          </w:p>
        </w:tc>
        <w:tc>
          <w:tcPr>
            <w:tcW w:w="849" w:type="dxa"/>
            <w:noWrap w:val="0"/>
            <w:vAlign w:val="top"/>
          </w:tcPr>
          <w:p w14:paraId="0C26110A">
            <w:pPr>
              <w:rPr>
                <w:rFonts w:ascii="Arial"/>
                <w:color w:val="auto"/>
                <w:sz w:val="21"/>
                <w:highlight w:val="none"/>
              </w:rPr>
            </w:pPr>
          </w:p>
        </w:tc>
        <w:tc>
          <w:tcPr>
            <w:tcW w:w="848" w:type="dxa"/>
            <w:noWrap w:val="0"/>
            <w:vAlign w:val="top"/>
          </w:tcPr>
          <w:p w14:paraId="1A0F7450">
            <w:pPr>
              <w:rPr>
                <w:rFonts w:ascii="Arial"/>
                <w:color w:val="auto"/>
                <w:sz w:val="21"/>
                <w:highlight w:val="none"/>
              </w:rPr>
            </w:pPr>
          </w:p>
        </w:tc>
        <w:tc>
          <w:tcPr>
            <w:tcW w:w="1132" w:type="dxa"/>
            <w:noWrap w:val="0"/>
            <w:vAlign w:val="top"/>
          </w:tcPr>
          <w:p w14:paraId="4327CAEF">
            <w:pPr>
              <w:rPr>
                <w:rFonts w:ascii="Arial"/>
                <w:color w:val="auto"/>
                <w:sz w:val="21"/>
                <w:highlight w:val="none"/>
              </w:rPr>
            </w:pPr>
          </w:p>
        </w:tc>
        <w:tc>
          <w:tcPr>
            <w:tcW w:w="992" w:type="dxa"/>
            <w:noWrap w:val="0"/>
            <w:vAlign w:val="top"/>
          </w:tcPr>
          <w:p w14:paraId="2A76AA91">
            <w:pPr>
              <w:rPr>
                <w:rFonts w:ascii="Arial"/>
                <w:color w:val="auto"/>
                <w:sz w:val="21"/>
                <w:highlight w:val="none"/>
              </w:rPr>
            </w:pPr>
          </w:p>
        </w:tc>
        <w:tc>
          <w:tcPr>
            <w:tcW w:w="1107" w:type="dxa"/>
            <w:tcBorders>
              <w:right w:val="single" w:color="000000" w:sz="6" w:space="0"/>
            </w:tcBorders>
            <w:noWrap w:val="0"/>
            <w:vAlign w:val="top"/>
          </w:tcPr>
          <w:p w14:paraId="74F6B8ED">
            <w:pPr>
              <w:rPr>
                <w:rFonts w:ascii="Arial"/>
                <w:color w:val="auto"/>
                <w:sz w:val="21"/>
                <w:highlight w:val="none"/>
              </w:rPr>
            </w:pPr>
          </w:p>
        </w:tc>
      </w:tr>
      <w:tr w14:paraId="029EB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6" w:type="dxa"/>
            <w:tcBorders>
              <w:left w:val="single" w:color="000000" w:sz="6" w:space="0"/>
            </w:tcBorders>
            <w:noWrap w:val="0"/>
            <w:vAlign w:val="top"/>
          </w:tcPr>
          <w:p w14:paraId="30461E1E">
            <w:pPr>
              <w:rPr>
                <w:rFonts w:ascii="Arial"/>
                <w:color w:val="auto"/>
                <w:sz w:val="21"/>
                <w:highlight w:val="none"/>
              </w:rPr>
            </w:pPr>
          </w:p>
        </w:tc>
        <w:tc>
          <w:tcPr>
            <w:tcW w:w="1699" w:type="dxa"/>
            <w:noWrap w:val="0"/>
            <w:vAlign w:val="top"/>
          </w:tcPr>
          <w:p w14:paraId="69C4F17C">
            <w:pPr>
              <w:rPr>
                <w:rFonts w:ascii="Arial"/>
                <w:color w:val="auto"/>
                <w:sz w:val="21"/>
                <w:highlight w:val="none"/>
              </w:rPr>
            </w:pPr>
          </w:p>
        </w:tc>
        <w:tc>
          <w:tcPr>
            <w:tcW w:w="849" w:type="dxa"/>
            <w:noWrap w:val="0"/>
            <w:vAlign w:val="top"/>
          </w:tcPr>
          <w:p w14:paraId="4DFE8A4D">
            <w:pPr>
              <w:rPr>
                <w:rFonts w:ascii="Arial"/>
                <w:color w:val="auto"/>
                <w:sz w:val="21"/>
                <w:highlight w:val="none"/>
              </w:rPr>
            </w:pPr>
          </w:p>
        </w:tc>
        <w:tc>
          <w:tcPr>
            <w:tcW w:w="707" w:type="dxa"/>
            <w:noWrap w:val="0"/>
            <w:vAlign w:val="top"/>
          </w:tcPr>
          <w:p w14:paraId="5AB1E5FB">
            <w:pPr>
              <w:rPr>
                <w:rFonts w:ascii="Arial"/>
                <w:color w:val="auto"/>
                <w:sz w:val="21"/>
                <w:highlight w:val="none"/>
              </w:rPr>
            </w:pPr>
          </w:p>
        </w:tc>
        <w:tc>
          <w:tcPr>
            <w:tcW w:w="849" w:type="dxa"/>
            <w:noWrap w:val="0"/>
            <w:vAlign w:val="top"/>
          </w:tcPr>
          <w:p w14:paraId="5CD9FAEC">
            <w:pPr>
              <w:rPr>
                <w:rFonts w:ascii="Arial"/>
                <w:color w:val="auto"/>
                <w:sz w:val="21"/>
                <w:highlight w:val="none"/>
              </w:rPr>
            </w:pPr>
          </w:p>
        </w:tc>
        <w:tc>
          <w:tcPr>
            <w:tcW w:w="848" w:type="dxa"/>
            <w:noWrap w:val="0"/>
            <w:vAlign w:val="top"/>
          </w:tcPr>
          <w:p w14:paraId="15F0BC44">
            <w:pPr>
              <w:rPr>
                <w:rFonts w:ascii="Arial"/>
                <w:color w:val="auto"/>
                <w:sz w:val="21"/>
                <w:highlight w:val="none"/>
              </w:rPr>
            </w:pPr>
          </w:p>
        </w:tc>
        <w:tc>
          <w:tcPr>
            <w:tcW w:w="1132" w:type="dxa"/>
            <w:noWrap w:val="0"/>
            <w:vAlign w:val="top"/>
          </w:tcPr>
          <w:p w14:paraId="0813DC4B">
            <w:pPr>
              <w:rPr>
                <w:rFonts w:ascii="Arial"/>
                <w:color w:val="auto"/>
                <w:sz w:val="21"/>
                <w:highlight w:val="none"/>
              </w:rPr>
            </w:pPr>
          </w:p>
        </w:tc>
        <w:tc>
          <w:tcPr>
            <w:tcW w:w="992" w:type="dxa"/>
            <w:noWrap w:val="0"/>
            <w:vAlign w:val="top"/>
          </w:tcPr>
          <w:p w14:paraId="1DD928A1">
            <w:pPr>
              <w:rPr>
                <w:rFonts w:ascii="Arial"/>
                <w:color w:val="auto"/>
                <w:sz w:val="21"/>
                <w:highlight w:val="none"/>
              </w:rPr>
            </w:pPr>
          </w:p>
        </w:tc>
        <w:tc>
          <w:tcPr>
            <w:tcW w:w="1107" w:type="dxa"/>
            <w:tcBorders>
              <w:right w:val="single" w:color="000000" w:sz="6" w:space="0"/>
            </w:tcBorders>
            <w:noWrap w:val="0"/>
            <w:vAlign w:val="top"/>
          </w:tcPr>
          <w:p w14:paraId="165AA0FC">
            <w:pPr>
              <w:rPr>
                <w:rFonts w:ascii="Arial"/>
                <w:color w:val="auto"/>
                <w:sz w:val="21"/>
                <w:highlight w:val="none"/>
              </w:rPr>
            </w:pPr>
          </w:p>
        </w:tc>
      </w:tr>
      <w:tr w14:paraId="4D1FF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26" w:type="dxa"/>
            <w:tcBorders>
              <w:left w:val="single" w:color="000000" w:sz="6" w:space="0"/>
              <w:bottom w:val="single" w:color="000000" w:sz="6" w:space="0"/>
            </w:tcBorders>
            <w:noWrap w:val="0"/>
            <w:vAlign w:val="top"/>
          </w:tcPr>
          <w:p w14:paraId="4A8FDF1C">
            <w:pPr>
              <w:rPr>
                <w:rFonts w:ascii="Arial"/>
                <w:color w:val="auto"/>
                <w:sz w:val="21"/>
                <w:highlight w:val="none"/>
              </w:rPr>
            </w:pPr>
          </w:p>
        </w:tc>
        <w:tc>
          <w:tcPr>
            <w:tcW w:w="1699" w:type="dxa"/>
            <w:tcBorders>
              <w:bottom w:val="single" w:color="000000" w:sz="6" w:space="0"/>
            </w:tcBorders>
            <w:noWrap w:val="0"/>
            <w:vAlign w:val="top"/>
          </w:tcPr>
          <w:p w14:paraId="6EBDA33B">
            <w:pPr>
              <w:rPr>
                <w:rFonts w:ascii="Arial"/>
                <w:color w:val="auto"/>
                <w:sz w:val="21"/>
                <w:highlight w:val="none"/>
              </w:rPr>
            </w:pPr>
          </w:p>
        </w:tc>
        <w:tc>
          <w:tcPr>
            <w:tcW w:w="849" w:type="dxa"/>
            <w:tcBorders>
              <w:bottom w:val="single" w:color="000000" w:sz="6" w:space="0"/>
            </w:tcBorders>
            <w:noWrap w:val="0"/>
            <w:vAlign w:val="top"/>
          </w:tcPr>
          <w:p w14:paraId="57AECCF6">
            <w:pPr>
              <w:rPr>
                <w:rFonts w:ascii="Arial"/>
                <w:color w:val="auto"/>
                <w:sz w:val="21"/>
                <w:highlight w:val="none"/>
              </w:rPr>
            </w:pPr>
          </w:p>
        </w:tc>
        <w:tc>
          <w:tcPr>
            <w:tcW w:w="707" w:type="dxa"/>
            <w:tcBorders>
              <w:bottom w:val="single" w:color="000000" w:sz="6" w:space="0"/>
            </w:tcBorders>
            <w:noWrap w:val="0"/>
            <w:vAlign w:val="top"/>
          </w:tcPr>
          <w:p w14:paraId="0A57E416">
            <w:pPr>
              <w:rPr>
                <w:rFonts w:ascii="Arial"/>
                <w:color w:val="auto"/>
                <w:sz w:val="21"/>
                <w:highlight w:val="none"/>
              </w:rPr>
            </w:pPr>
          </w:p>
        </w:tc>
        <w:tc>
          <w:tcPr>
            <w:tcW w:w="849" w:type="dxa"/>
            <w:tcBorders>
              <w:bottom w:val="single" w:color="000000" w:sz="6" w:space="0"/>
            </w:tcBorders>
            <w:noWrap w:val="0"/>
            <w:vAlign w:val="top"/>
          </w:tcPr>
          <w:p w14:paraId="01090C23">
            <w:pPr>
              <w:rPr>
                <w:rFonts w:ascii="Arial"/>
                <w:color w:val="auto"/>
                <w:sz w:val="21"/>
                <w:highlight w:val="none"/>
              </w:rPr>
            </w:pPr>
          </w:p>
        </w:tc>
        <w:tc>
          <w:tcPr>
            <w:tcW w:w="848" w:type="dxa"/>
            <w:tcBorders>
              <w:bottom w:val="single" w:color="000000" w:sz="6" w:space="0"/>
            </w:tcBorders>
            <w:noWrap w:val="0"/>
            <w:vAlign w:val="top"/>
          </w:tcPr>
          <w:p w14:paraId="44029182">
            <w:pPr>
              <w:rPr>
                <w:rFonts w:ascii="Arial"/>
                <w:color w:val="auto"/>
                <w:sz w:val="21"/>
                <w:highlight w:val="none"/>
              </w:rPr>
            </w:pPr>
          </w:p>
        </w:tc>
        <w:tc>
          <w:tcPr>
            <w:tcW w:w="1132" w:type="dxa"/>
            <w:tcBorders>
              <w:bottom w:val="single" w:color="000000" w:sz="6" w:space="0"/>
            </w:tcBorders>
            <w:noWrap w:val="0"/>
            <w:vAlign w:val="top"/>
          </w:tcPr>
          <w:p w14:paraId="1A11C45F">
            <w:pPr>
              <w:rPr>
                <w:rFonts w:ascii="Arial"/>
                <w:color w:val="auto"/>
                <w:sz w:val="21"/>
                <w:highlight w:val="none"/>
              </w:rPr>
            </w:pPr>
          </w:p>
        </w:tc>
        <w:tc>
          <w:tcPr>
            <w:tcW w:w="992" w:type="dxa"/>
            <w:tcBorders>
              <w:bottom w:val="single" w:color="000000" w:sz="6" w:space="0"/>
            </w:tcBorders>
            <w:noWrap w:val="0"/>
            <w:vAlign w:val="top"/>
          </w:tcPr>
          <w:p w14:paraId="6C46D5AD">
            <w:pPr>
              <w:rPr>
                <w:rFonts w:ascii="Arial"/>
                <w:color w:val="auto"/>
                <w:sz w:val="21"/>
                <w:highlight w:val="none"/>
              </w:rPr>
            </w:pPr>
          </w:p>
        </w:tc>
        <w:tc>
          <w:tcPr>
            <w:tcW w:w="1107" w:type="dxa"/>
            <w:tcBorders>
              <w:bottom w:val="single" w:color="000000" w:sz="6" w:space="0"/>
              <w:right w:val="single" w:color="000000" w:sz="6" w:space="0"/>
            </w:tcBorders>
            <w:noWrap w:val="0"/>
            <w:vAlign w:val="top"/>
          </w:tcPr>
          <w:p w14:paraId="5F039260">
            <w:pPr>
              <w:rPr>
                <w:rFonts w:ascii="Arial"/>
                <w:color w:val="auto"/>
                <w:sz w:val="21"/>
                <w:highlight w:val="none"/>
              </w:rPr>
            </w:pPr>
          </w:p>
        </w:tc>
      </w:tr>
    </w:tbl>
    <w:p w14:paraId="12D22A3F">
      <w:pPr>
        <w:pStyle w:val="8"/>
        <w:rPr>
          <w:color w:val="auto"/>
          <w:highlight w:val="none"/>
        </w:rPr>
      </w:pPr>
    </w:p>
    <w:p w14:paraId="2F80FD70">
      <w:pPr>
        <w:rPr>
          <w:color w:val="auto"/>
          <w:highlight w:val="none"/>
        </w:rPr>
        <w:sectPr>
          <w:footerReference r:id="rId121" w:type="default"/>
          <w:pgSz w:w="11905" w:h="16840"/>
          <w:pgMar w:top="400" w:right="1292" w:bottom="1255" w:left="1587" w:header="0" w:footer="1093" w:gutter="0"/>
          <w:pgNumType w:fmt="decimal"/>
          <w:cols w:space="720" w:num="1"/>
        </w:sectPr>
      </w:pPr>
    </w:p>
    <w:p w14:paraId="0970A797">
      <w:pPr>
        <w:pStyle w:val="8"/>
        <w:spacing w:line="247" w:lineRule="auto"/>
        <w:rPr>
          <w:color w:val="auto"/>
          <w:highlight w:val="none"/>
        </w:rPr>
      </w:pPr>
    </w:p>
    <w:p w14:paraId="6C30ACCB">
      <w:pPr>
        <w:pStyle w:val="8"/>
        <w:spacing w:line="248" w:lineRule="auto"/>
        <w:rPr>
          <w:color w:val="auto"/>
          <w:highlight w:val="none"/>
        </w:rPr>
      </w:pPr>
    </w:p>
    <w:p w14:paraId="399B90D4">
      <w:pPr>
        <w:pStyle w:val="8"/>
        <w:spacing w:line="248" w:lineRule="auto"/>
        <w:rPr>
          <w:color w:val="auto"/>
          <w:highlight w:val="none"/>
        </w:rPr>
      </w:pPr>
    </w:p>
    <w:p w14:paraId="3E2E175B">
      <w:pPr>
        <w:pStyle w:val="8"/>
        <w:spacing w:line="248" w:lineRule="auto"/>
        <w:rPr>
          <w:color w:val="auto"/>
          <w:highlight w:val="none"/>
        </w:rPr>
      </w:pPr>
    </w:p>
    <w:p w14:paraId="6895A0DB">
      <w:pPr>
        <w:spacing w:before="78" w:line="219" w:lineRule="auto"/>
        <w:ind w:left="28"/>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附件三：</w:t>
      </w:r>
    </w:p>
    <w:p w14:paraId="5F9FE190">
      <w:pPr>
        <w:spacing w:before="182" w:line="219" w:lineRule="auto"/>
        <w:ind w:left="2836"/>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拟投入本标段的劳动力计划表</w:t>
      </w:r>
    </w:p>
    <w:p w14:paraId="7C734CDC">
      <w:pPr>
        <w:spacing w:before="182" w:line="220" w:lineRule="auto"/>
        <w:ind w:left="745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单位：人</w:t>
      </w:r>
    </w:p>
    <w:p w14:paraId="0EBBDFC5">
      <w:pPr>
        <w:spacing w:line="144" w:lineRule="exact"/>
        <w:rPr>
          <w:color w:val="auto"/>
          <w:highlight w:val="none"/>
        </w:rPr>
      </w:pPr>
    </w:p>
    <w:tbl>
      <w:tblPr>
        <w:tblStyle w:val="16"/>
        <w:tblW w:w="900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1"/>
        <w:gridCol w:w="1003"/>
        <w:gridCol w:w="1003"/>
        <w:gridCol w:w="1001"/>
        <w:gridCol w:w="999"/>
        <w:gridCol w:w="1124"/>
        <w:gridCol w:w="1123"/>
        <w:gridCol w:w="1134"/>
      </w:tblGrid>
      <w:tr w14:paraId="03B53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621" w:type="dxa"/>
            <w:tcBorders>
              <w:top w:val="single" w:color="000000" w:sz="6" w:space="0"/>
              <w:left w:val="single" w:color="000000" w:sz="6" w:space="0"/>
            </w:tcBorders>
            <w:noWrap w:val="0"/>
            <w:vAlign w:val="top"/>
          </w:tcPr>
          <w:p w14:paraId="1989D833">
            <w:pPr>
              <w:pStyle w:val="17"/>
              <w:spacing w:before="167" w:line="220" w:lineRule="auto"/>
              <w:ind w:left="514"/>
              <w:rPr>
                <w:color w:val="auto"/>
                <w:sz w:val="24"/>
                <w:szCs w:val="24"/>
                <w:highlight w:val="none"/>
              </w:rPr>
            </w:pPr>
            <w:r>
              <w:rPr>
                <w:color w:val="auto"/>
                <w:spacing w:val="-7"/>
                <w:sz w:val="24"/>
                <w:szCs w:val="24"/>
                <w:highlight w:val="none"/>
              </w:rPr>
              <w:t>工</w:t>
            </w:r>
            <w:r>
              <w:rPr>
                <w:color w:val="auto"/>
                <w:spacing w:val="10"/>
                <w:sz w:val="24"/>
                <w:szCs w:val="24"/>
                <w:highlight w:val="none"/>
              </w:rPr>
              <w:t xml:space="preserve"> </w:t>
            </w:r>
            <w:r>
              <w:rPr>
                <w:color w:val="auto"/>
                <w:spacing w:val="-7"/>
                <w:sz w:val="24"/>
                <w:szCs w:val="24"/>
                <w:highlight w:val="none"/>
              </w:rPr>
              <w:t>种</w:t>
            </w:r>
          </w:p>
        </w:tc>
        <w:tc>
          <w:tcPr>
            <w:tcW w:w="7387" w:type="dxa"/>
            <w:gridSpan w:val="7"/>
            <w:tcBorders>
              <w:top w:val="single" w:color="000000" w:sz="6" w:space="0"/>
              <w:right w:val="single" w:color="000000" w:sz="6" w:space="0"/>
            </w:tcBorders>
            <w:noWrap w:val="0"/>
            <w:vAlign w:val="top"/>
          </w:tcPr>
          <w:p w14:paraId="588C90C7">
            <w:pPr>
              <w:pStyle w:val="17"/>
              <w:spacing w:before="167" w:line="220" w:lineRule="auto"/>
              <w:ind w:left="2037"/>
              <w:rPr>
                <w:color w:val="auto"/>
                <w:sz w:val="24"/>
                <w:szCs w:val="24"/>
                <w:highlight w:val="none"/>
              </w:rPr>
            </w:pPr>
            <w:r>
              <w:rPr>
                <w:color w:val="auto"/>
                <w:spacing w:val="-1"/>
                <w:sz w:val="24"/>
                <w:szCs w:val="24"/>
                <w:highlight w:val="none"/>
              </w:rPr>
              <w:t>按工程施工阶段投入劳动力情况</w:t>
            </w:r>
          </w:p>
        </w:tc>
      </w:tr>
      <w:tr w14:paraId="715ED2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noWrap w:val="0"/>
            <w:vAlign w:val="top"/>
          </w:tcPr>
          <w:p w14:paraId="334D2A72">
            <w:pPr>
              <w:rPr>
                <w:rFonts w:ascii="Arial"/>
                <w:color w:val="auto"/>
                <w:sz w:val="21"/>
                <w:highlight w:val="none"/>
              </w:rPr>
            </w:pPr>
          </w:p>
        </w:tc>
        <w:tc>
          <w:tcPr>
            <w:tcW w:w="1003" w:type="dxa"/>
            <w:noWrap w:val="0"/>
            <w:vAlign w:val="top"/>
          </w:tcPr>
          <w:p w14:paraId="24E0855E">
            <w:pPr>
              <w:rPr>
                <w:rFonts w:ascii="Arial"/>
                <w:color w:val="auto"/>
                <w:sz w:val="21"/>
                <w:highlight w:val="none"/>
              </w:rPr>
            </w:pPr>
          </w:p>
        </w:tc>
        <w:tc>
          <w:tcPr>
            <w:tcW w:w="1003" w:type="dxa"/>
            <w:noWrap w:val="0"/>
            <w:vAlign w:val="top"/>
          </w:tcPr>
          <w:p w14:paraId="3288BF38">
            <w:pPr>
              <w:rPr>
                <w:rFonts w:ascii="Arial"/>
                <w:color w:val="auto"/>
                <w:sz w:val="21"/>
                <w:highlight w:val="none"/>
              </w:rPr>
            </w:pPr>
          </w:p>
        </w:tc>
        <w:tc>
          <w:tcPr>
            <w:tcW w:w="1001" w:type="dxa"/>
            <w:noWrap w:val="0"/>
            <w:vAlign w:val="top"/>
          </w:tcPr>
          <w:p w14:paraId="71FC7666">
            <w:pPr>
              <w:rPr>
                <w:rFonts w:ascii="Arial"/>
                <w:color w:val="auto"/>
                <w:sz w:val="21"/>
                <w:highlight w:val="none"/>
              </w:rPr>
            </w:pPr>
          </w:p>
        </w:tc>
        <w:tc>
          <w:tcPr>
            <w:tcW w:w="999" w:type="dxa"/>
            <w:noWrap w:val="0"/>
            <w:vAlign w:val="top"/>
          </w:tcPr>
          <w:p w14:paraId="05AFE2EA">
            <w:pPr>
              <w:rPr>
                <w:rFonts w:ascii="Arial"/>
                <w:color w:val="auto"/>
                <w:sz w:val="21"/>
                <w:highlight w:val="none"/>
              </w:rPr>
            </w:pPr>
          </w:p>
        </w:tc>
        <w:tc>
          <w:tcPr>
            <w:tcW w:w="1124" w:type="dxa"/>
            <w:noWrap w:val="0"/>
            <w:vAlign w:val="top"/>
          </w:tcPr>
          <w:p w14:paraId="71549121">
            <w:pPr>
              <w:rPr>
                <w:rFonts w:ascii="Arial"/>
                <w:color w:val="auto"/>
                <w:sz w:val="21"/>
                <w:highlight w:val="none"/>
              </w:rPr>
            </w:pPr>
          </w:p>
        </w:tc>
        <w:tc>
          <w:tcPr>
            <w:tcW w:w="1123" w:type="dxa"/>
            <w:noWrap w:val="0"/>
            <w:vAlign w:val="top"/>
          </w:tcPr>
          <w:p w14:paraId="3E9383D2">
            <w:pPr>
              <w:rPr>
                <w:rFonts w:ascii="Arial"/>
                <w:color w:val="auto"/>
                <w:sz w:val="21"/>
                <w:highlight w:val="none"/>
              </w:rPr>
            </w:pPr>
          </w:p>
        </w:tc>
        <w:tc>
          <w:tcPr>
            <w:tcW w:w="1134" w:type="dxa"/>
            <w:tcBorders>
              <w:right w:val="single" w:color="000000" w:sz="6" w:space="0"/>
            </w:tcBorders>
            <w:noWrap w:val="0"/>
            <w:vAlign w:val="top"/>
          </w:tcPr>
          <w:p w14:paraId="2FC1659B">
            <w:pPr>
              <w:rPr>
                <w:rFonts w:ascii="Arial"/>
                <w:color w:val="auto"/>
                <w:sz w:val="21"/>
                <w:highlight w:val="none"/>
              </w:rPr>
            </w:pPr>
          </w:p>
        </w:tc>
      </w:tr>
      <w:tr w14:paraId="44476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noWrap w:val="0"/>
            <w:vAlign w:val="top"/>
          </w:tcPr>
          <w:p w14:paraId="4EC72F5F">
            <w:pPr>
              <w:rPr>
                <w:rFonts w:ascii="Arial"/>
                <w:color w:val="auto"/>
                <w:sz w:val="21"/>
                <w:highlight w:val="none"/>
              </w:rPr>
            </w:pPr>
          </w:p>
        </w:tc>
        <w:tc>
          <w:tcPr>
            <w:tcW w:w="1003" w:type="dxa"/>
            <w:noWrap w:val="0"/>
            <w:vAlign w:val="top"/>
          </w:tcPr>
          <w:p w14:paraId="0BF94550">
            <w:pPr>
              <w:rPr>
                <w:rFonts w:ascii="Arial"/>
                <w:color w:val="auto"/>
                <w:sz w:val="21"/>
                <w:highlight w:val="none"/>
              </w:rPr>
            </w:pPr>
          </w:p>
        </w:tc>
        <w:tc>
          <w:tcPr>
            <w:tcW w:w="1003" w:type="dxa"/>
            <w:noWrap w:val="0"/>
            <w:vAlign w:val="top"/>
          </w:tcPr>
          <w:p w14:paraId="73837C21">
            <w:pPr>
              <w:rPr>
                <w:rFonts w:ascii="Arial"/>
                <w:color w:val="auto"/>
                <w:sz w:val="21"/>
                <w:highlight w:val="none"/>
              </w:rPr>
            </w:pPr>
          </w:p>
        </w:tc>
        <w:tc>
          <w:tcPr>
            <w:tcW w:w="1001" w:type="dxa"/>
            <w:noWrap w:val="0"/>
            <w:vAlign w:val="top"/>
          </w:tcPr>
          <w:p w14:paraId="3A7B6172">
            <w:pPr>
              <w:rPr>
                <w:rFonts w:ascii="Arial"/>
                <w:color w:val="auto"/>
                <w:sz w:val="21"/>
                <w:highlight w:val="none"/>
              </w:rPr>
            </w:pPr>
          </w:p>
        </w:tc>
        <w:tc>
          <w:tcPr>
            <w:tcW w:w="999" w:type="dxa"/>
            <w:noWrap w:val="0"/>
            <w:vAlign w:val="top"/>
          </w:tcPr>
          <w:p w14:paraId="3E22CE70">
            <w:pPr>
              <w:rPr>
                <w:rFonts w:ascii="Arial"/>
                <w:color w:val="auto"/>
                <w:sz w:val="21"/>
                <w:highlight w:val="none"/>
              </w:rPr>
            </w:pPr>
          </w:p>
        </w:tc>
        <w:tc>
          <w:tcPr>
            <w:tcW w:w="1124" w:type="dxa"/>
            <w:noWrap w:val="0"/>
            <w:vAlign w:val="top"/>
          </w:tcPr>
          <w:p w14:paraId="70BECE64">
            <w:pPr>
              <w:rPr>
                <w:rFonts w:ascii="Arial"/>
                <w:color w:val="auto"/>
                <w:sz w:val="21"/>
                <w:highlight w:val="none"/>
              </w:rPr>
            </w:pPr>
          </w:p>
        </w:tc>
        <w:tc>
          <w:tcPr>
            <w:tcW w:w="1123" w:type="dxa"/>
            <w:noWrap w:val="0"/>
            <w:vAlign w:val="top"/>
          </w:tcPr>
          <w:p w14:paraId="1262F49F">
            <w:pPr>
              <w:rPr>
                <w:rFonts w:ascii="Arial"/>
                <w:color w:val="auto"/>
                <w:sz w:val="21"/>
                <w:highlight w:val="none"/>
              </w:rPr>
            </w:pPr>
          </w:p>
        </w:tc>
        <w:tc>
          <w:tcPr>
            <w:tcW w:w="1134" w:type="dxa"/>
            <w:tcBorders>
              <w:right w:val="single" w:color="000000" w:sz="6" w:space="0"/>
            </w:tcBorders>
            <w:noWrap w:val="0"/>
            <w:vAlign w:val="top"/>
          </w:tcPr>
          <w:p w14:paraId="78D8E432">
            <w:pPr>
              <w:rPr>
                <w:rFonts w:ascii="Arial"/>
                <w:color w:val="auto"/>
                <w:sz w:val="21"/>
                <w:highlight w:val="none"/>
              </w:rPr>
            </w:pPr>
          </w:p>
        </w:tc>
      </w:tr>
      <w:tr w14:paraId="1057B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noWrap w:val="0"/>
            <w:vAlign w:val="top"/>
          </w:tcPr>
          <w:p w14:paraId="6933BEA7">
            <w:pPr>
              <w:rPr>
                <w:rFonts w:ascii="Arial"/>
                <w:color w:val="auto"/>
                <w:sz w:val="21"/>
                <w:highlight w:val="none"/>
              </w:rPr>
            </w:pPr>
          </w:p>
        </w:tc>
        <w:tc>
          <w:tcPr>
            <w:tcW w:w="1003" w:type="dxa"/>
            <w:noWrap w:val="0"/>
            <w:vAlign w:val="top"/>
          </w:tcPr>
          <w:p w14:paraId="0EF560FE">
            <w:pPr>
              <w:rPr>
                <w:rFonts w:ascii="Arial"/>
                <w:color w:val="auto"/>
                <w:sz w:val="21"/>
                <w:highlight w:val="none"/>
              </w:rPr>
            </w:pPr>
          </w:p>
        </w:tc>
        <w:tc>
          <w:tcPr>
            <w:tcW w:w="1003" w:type="dxa"/>
            <w:noWrap w:val="0"/>
            <w:vAlign w:val="top"/>
          </w:tcPr>
          <w:p w14:paraId="2AAC6475">
            <w:pPr>
              <w:rPr>
                <w:rFonts w:ascii="Arial"/>
                <w:color w:val="auto"/>
                <w:sz w:val="21"/>
                <w:highlight w:val="none"/>
              </w:rPr>
            </w:pPr>
          </w:p>
        </w:tc>
        <w:tc>
          <w:tcPr>
            <w:tcW w:w="1001" w:type="dxa"/>
            <w:noWrap w:val="0"/>
            <w:vAlign w:val="top"/>
          </w:tcPr>
          <w:p w14:paraId="7E4BAC48">
            <w:pPr>
              <w:rPr>
                <w:rFonts w:ascii="Arial"/>
                <w:color w:val="auto"/>
                <w:sz w:val="21"/>
                <w:highlight w:val="none"/>
              </w:rPr>
            </w:pPr>
          </w:p>
        </w:tc>
        <w:tc>
          <w:tcPr>
            <w:tcW w:w="999" w:type="dxa"/>
            <w:noWrap w:val="0"/>
            <w:vAlign w:val="top"/>
          </w:tcPr>
          <w:p w14:paraId="3F73C36F">
            <w:pPr>
              <w:rPr>
                <w:rFonts w:ascii="Arial"/>
                <w:color w:val="auto"/>
                <w:sz w:val="21"/>
                <w:highlight w:val="none"/>
              </w:rPr>
            </w:pPr>
          </w:p>
        </w:tc>
        <w:tc>
          <w:tcPr>
            <w:tcW w:w="1124" w:type="dxa"/>
            <w:noWrap w:val="0"/>
            <w:vAlign w:val="top"/>
          </w:tcPr>
          <w:p w14:paraId="264538B1">
            <w:pPr>
              <w:rPr>
                <w:rFonts w:ascii="Arial"/>
                <w:color w:val="auto"/>
                <w:sz w:val="21"/>
                <w:highlight w:val="none"/>
              </w:rPr>
            </w:pPr>
          </w:p>
        </w:tc>
        <w:tc>
          <w:tcPr>
            <w:tcW w:w="1123" w:type="dxa"/>
            <w:noWrap w:val="0"/>
            <w:vAlign w:val="top"/>
          </w:tcPr>
          <w:p w14:paraId="40902470">
            <w:pPr>
              <w:rPr>
                <w:rFonts w:ascii="Arial"/>
                <w:color w:val="auto"/>
                <w:sz w:val="21"/>
                <w:highlight w:val="none"/>
              </w:rPr>
            </w:pPr>
          </w:p>
        </w:tc>
        <w:tc>
          <w:tcPr>
            <w:tcW w:w="1134" w:type="dxa"/>
            <w:tcBorders>
              <w:right w:val="single" w:color="000000" w:sz="6" w:space="0"/>
            </w:tcBorders>
            <w:noWrap w:val="0"/>
            <w:vAlign w:val="top"/>
          </w:tcPr>
          <w:p w14:paraId="1AEDC2AD">
            <w:pPr>
              <w:rPr>
                <w:rFonts w:ascii="Arial"/>
                <w:color w:val="auto"/>
                <w:sz w:val="21"/>
                <w:highlight w:val="none"/>
              </w:rPr>
            </w:pPr>
          </w:p>
        </w:tc>
      </w:tr>
      <w:tr w14:paraId="617AF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noWrap w:val="0"/>
            <w:vAlign w:val="top"/>
          </w:tcPr>
          <w:p w14:paraId="1505F7B2">
            <w:pPr>
              <w:rPr>
                <w:rFonts w:ascii="Arial"/>
                <w:color w:val="auto"/>
                <w:sz w:val="21"/>
                <w:highlight w:val="none"/>
              </w:rPr>
            </w:pPr>
          </w:p>
        </w:tc>
        <w:tc>
          <w:tcPr>
            <w:tcW w:w="1003" w:type="dxa"/>
            <w:noWrap w:val="0"/>
            <w:vAlign w:val="top"/>
          </w:tcPr>
          <w:p w14:paraId="2262489E">
            <w:pPr>
              <w:rPr>
                <w:rFonts w:ascii="Arial"/>
                <w:color w:val="auto"/>
                <w:sz w:val="21"/>
                <w:highlight w:val="none"/>
              </w:rPr>
            </w:pPr>
          </w:p>
        </w:tc>
        <w:tc>
          <w:tcPr>
            <w:tcW w:w="1003" w:type="dxa"/>
            <w:noWrap w:val="0"/>
            <w:vAlign w:val="top"/>
          </w:tcPr>
          <w:p w14:paraId="2E3EFE7A">
            <w:pPr>
              <w:rPr>
                <w:rFonts w:ascii="Arial"/>
                <w:color w:val="auto"/>
                <w:sz w:val="21"/>
                <w:highlight w:val="none"/>
              </w:rPr>
            </w:pPr>
          </w:p>
        </w:tc>
        <w:tc>
          <w:tcPr>
            <w:tcW w:w="1001" w:type="dxa"/>
            <w:noWrap w:val="0"/>
            <w:vAlign w:val="top"/>
          </w:tcPr>
          <w:p w14:paraId="5427F44F">
            <w:pPr>
              <w:rPr>
                <w:rFonts w:ascii="Arial"/>
                <w:color w:val="auto"/>
                <w:sz w:val="21"/>
                <w:highlight w:val="none"/>
              </w:rPr>
            </w:pPr>
          </w:p>
        </w:tc>
        <w:tc>
          <w:tcPr>
            <w:tcW w:w="999" w:type="dxa"/>
            <w:noWrap w:val="0"/>
            <w:vAlign w:val="top"/>
          </w:tcPr>
          <w:p w14:paraId="4FD23920">
            <w:pPr>
              <w:rPr>
                <w:rFonts w:ascii="Arial"/>
                <w:color w:val="auto"/>
                <w:sz w:val="21"/>
                <w:highlight w:val="none"/>
              </w:rPr>
            </w:pPr>
          </w:p>
        </w:tc>
        <w:tc>
          <w:tcPr>
            <w:tcW w:w="1124" w:type="dxa"/>
            <w:noWrap w:val="0"/>
            <w:vAlign w:val="top"/>
          </w:tcPr>
          <w:p w14:paraId="3DB3ECA3">
            <w:pPr>
              <w:rPr>
                <w:rFonts w:ascii="Arial"/>
                <w:color w:val="auto"/>
                <w:sz w:val="21"/>
                <w:highlight w:val="none"/>
              </w:rPr>
            </w:pPr>
          </w:p>
        </w:tc>
        <w:tc>
          <w:tcPr>
            <w:tcW w:w="1123" w:type="dxa"/>
            <w:noWrap w:val="0"/>
            <w:vAlign w:val="top"/>
          </w:tcPr>
          <w:p w14:paraId="0FA0D27C">
            <w:pPr>
              <w:rPr>
                <w:rFonts w:ascii="Arial"/>
                <w:color w:val="auto"/>
                <w:sz w:val="21"/>
                <w:highlight w:val="none"/>
              </w:rPr>
            </w:pPr>
          </w:p>
        </w:tc>
        <w:tc>
          <w:tcPr>
            <w:tcW w:w="1134" w:type="dxa"/>
            <w:tcBorders>
              <w:right w:val="single" w:color="000000" w:sz="6" w:space="0"/>
            </w:tcBorders>
            <w:noWrap w:val="0"/>
            <w:vAlign w:val="top"/>
          </w:tcPr>
          <w:p w14:paraId="411DA2F2">
            <w:pPr>
              <w:rPr>
                <w:rFonts w:ascii="Arial"/>
                <w:color w:val="auto"/>
                <w:sz w:val="21"/>
                <w:highlight w:val="none"/>
              </w:rPr>
            </w:pPr>
          </w:p>
        </w:tc>
      </w:tr>
      <w:tr w14:paraId="7F7DF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noWrap w:val="0"/>
            <w:vAlign w:val="top"/>
          </w:tcPr>
          <w:p w14:paraId="4DB61163">
            <w:pPr>
              <w:rPr>
                <w:rFonts w:ascii="Arial"/>
                <w:color w:val="auto"/>
                <w:sz w:val="21"/>
                <w:highlight w:val="none"/>
              </w:rPr>
            </w:pPr>
          </w:p>
        </w:tc>
        <w:tc>
          <w:tcPr>
            <w:tcW w:w="1003" w:type="dxa"/>
            <w:noWrap w:val="0"/>
            <w:vAlign w:val="top"/>
          </w:tcPr>
          <w:p w14:paraId="442CFB17">
            <w:pPr>
              <w:rPr>
                <w:rFonts w:ascii="Arial"/>
                <w:color w:val="auto"/>
                <w:sz w:val="21"/>
                <w:highlight w:val="none"/>
              </w:rPr>
            </w:pPr>
          </w:p>
        </w:tc>
        <w:tc>
          <w:tcPr>
            <w:tcW w:w="1003" w:type="dxa"/>
            <w:noWrap w:val="0"/>
            <w:vAlign w:val="top"/>
          </w:tcPr>
          <w:p w14:paraId="3AD3252F">
            <w:pPr>
              <w:rPr>
                <w:rFonts w:ascii="Arial"/>
                <w:color w:val="auto"/>
                <w:sz w:val="21"/>
                <w:highlight w:val="none"/>
              </w:rPr>
            </w:pPr>
          </w:p>
        </w:tc>
        <w:tc>
          <w:tcPr>
            <w:tcW w:w="1001" w:type="dxa"/>
            <w:noWrap w:val="0"/>
            <w:vAlign w:val="top"/>
          </w:tcPr>
          <w:p w14:paraId="6F856E95">
            <w:pPr>
              <w:rPr>
                <w:rFonts w:ascii="Arial"/>
                <w:color w:val="auto"/>
                <w:sz w:val="21"/>
                <w:highlight w:val="none"/>
              </w:rPr>
            </w:pPr>
          </w:p>
        </w:tc>
        <w:tc>
          <w:tcPr>
            <w:tcW w:w="999" w:type="dxa"/>
            <w:noWrap w:val="0"/>
            <w:vAlign w:val="top"/>
          </w:tcPr>
          <w:p w14:paraId="54F6A178">
            <w:pPr>
              <w:rPr>
                <w:rFonts w:ascii="Arial"/>
                <w:color w:val="auto"/>
                <w:sz w:val="21"/>
                <w:highlight w:val="none"/>
              </w:rPr>
            </w:pPr>
          </w:p>
        </w:tc>
        <w:tc>
          <w:tcPr>
            <w:tcW w:w="1124" w:type="dxa"/>
            <w:noWrap w:val="0"/>
            <w:vAlign w:val="top"/>
          </w:tcPr>
          <w:p w14:paraId="6BEB3C08">
            <w:pPr>
              <w:rPr>
                <w:rFonts w:ascii="Arial"/>
                <w:color w:val="auto"/>
                <w:sz w:val="21"/>
                <w:highlight w:val="none"/>
              </w:rPr>
            </w:pPr>
          </w:p>
        </w:tc>
        <w:tc>
          <w:tcPr>
            <w:tcW w:w="1123" w:type="dxa"/>
            <w:noWrap w:val="0"/>
            <w:vAlign w:val="top"/>
          </w:tcPr>
          <w:p w14:paraId="35C677E2">
            <w:pPr>
              <w:rPr>
                <w:rFonts w:ascii="Arial"/>
                <w:color w:val="auto"/>
                <w:sz w:val="21"/>
                <w:highlight w:val="none"/>
              </w:rPr>
            </w:pPr>
          </w:p>
        </w:tc>
        <w:tc>
          <w:tcPr>
            <w:tcW w:w="1134" w:type="dxa"/>
            <w:tcBorders>
              <w:right w:val="single" w:color="000000" w:sz="6" w:space="0"/>
            </w:tcBorders>
            <w:noWrap w:val="0"/>
            <w:vAlign w:val="top"/>
          </w:tcPr>
          <w:p w14:paraId="040A9783">
            <w:pPr>
              <w:rPr>
                <w:rFonts w:ascii="Arial"/>
                <w:color w:val="auto"/>
                <w:sz w:val="21"/>
                <w:highlight w:val="none"/>
              </w:rPr>
            </w:pPr>
          </w:p>
        </w:tc>
      </w:tr>
      <w:tr w14:paraId="26254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1" w:type="dxa"/>
            <w:tcBorders>
              <w:left w:val="single" w:color="000000" w:sz="6" w:space="0"/>
            </w:tcBorders>
            <w:noWrap w:val="0"/>
            <w:vAlign w:val="top"/>
          </w:tcPr>
          <w:p w14:paraId="6DBB65C5">
            <w:pPr>
              <w:rPr>
                <w:rFonts w:ascii="Arial"/>
                <w:color w:val="auto"/>
                <w:sz w:val="21"/>
                <w:highlight w:val="none"/>
              </w:rPr>
            </w:pPr>
          </w:p>
        </w:tc>
        <w:tc>
          <w:tcPr>
            <w:tcW w:w="1003" w:type="dxa"/>
            <w:noWrap w:val="0"/>
            <w:vAlign w:val="top"/>
          </w:tcPr>
          <w:p w14:paraId="18BCFF7E">
            <w:pPr>
              <w:rPr>
                <w:rFonts w:ascii="Arial"/>
                <w:color w:val="auto"/>
                <w:sz w:val="21"/>
                <w:highlight w:val="none"/>
              </w:rPr>
            </w:pPr>
          </w:p>
        </w:tc>
        <w:tc>
          <w:tcPr>
            <w:tcW w:w="1003" w:type="dxa"/>
            <w:noWrap w:val="0"/>
            <w:vAlign w:val="top"/>
          </w:tcPr>
          <w:p w14:paraId="5330AC6E">
            <w:pPr>
              <w:rPr>
                <w:rFonts w:ascii="Arial"/>
                <w:color w:val="auto"/>
                <w:sz w:val="21"/>
                <w:highlight w:val="none"/>
              </w:rPr>
            </w:pPr>
          </w:p>
        </w:tc>
        <w:tc>
          <w:tcPr>
            <w:tcW w:w="1001" w:type="dxa"/>
            <w:noWrap w:val="0"/>
            <w:vAlign w:val="top"/>
          </w:tcPr>
          <w:p w14:paraId="4F6BCCC7">
            <w:pPr>
              <w:rPr>
                <w:rFonts w:ascii="Arial"/>
                <w:color w:val="auto"/>
                <w:sz w:val="21"/>
                <w:highlight w:val="none"/>
              </w:rPr>
            </w:pPr>
          </w:p>
        </w:tc>
        <w:tc>
          <w:tcPr>
            <w:tcW w:w="999" w:type="dxa"/>
            <w:noWrap w:val="0"/>
            <w:vAlign w:val="top"/>
          </w:tcPr>
          <w:p w14:paraId="626B7A86">
            <w:pPr>
              <w:rPr>
                <w:rFonts w:ascii="Arial"/>
                <w:color w:val="auto"/>
                <w:sz w:val="21"/>
                <w:highlight w:val="none"/>
              </w:rPr>
            </w:pPr>
          </w:p>
        </w:tc>
        <w:tc>
          <w:tcPr>
            <w:tcW w:w="1124" w:type="dxa"/>
            <w:noWrap w:val="0"/>
            <w:vAlign w:val="top"/>
          </w:tcPr>
          <w:p w14:paraId="357A77B6">
            <w:pPr>
              <w:rPr>
                <w:rFonts w:ascii="Arial"/>
                <w:color w:val="auto"/>
                <w:sz w:val="21"/>
                <w:highlight w:val="none"/>
              </w:rPr>
            </w:pPr>
          </w:p>
        </w:tc>
        <w:tc>
          <w:tcPr>
            <w:tcW w:w="1123" w:type="dxa"/>
            <w:noWrap w:val="0"/>
            <w:vAlign w:val="top"/>
          </w:tcPr>
          <w:p w14:paraId="7BEECD8A">
            <w:pPr>
              <w:rPr>
                <w:rFonts w:ascii="Arial"/>
                <w:color w:val="auto"/>
                <w:sz w:val="21"/>
                <w:highlight w:val="none"/>
              </w:rPr>
            </w:pPr>
          </w:p>
        </w:tc>
        <w:tc>
          <w:tcPr>
            <w:tcW w:w="1134" w:type="dxa"/>
            <w:tcBorders>
              <w:right w:val="single" w:color="000000" w:sz="6" w:space="0"/>
            </w:tcBorders>
            <w:noWrap w:val="0"/>
            <w:vAlign w:val="top"/>
          </w:tcPr>
          <w:p w14:paraId="5EF7C229">
            <w:pPr>
              <w:rPr>
                <w:rFonts w:ascii="Arial"/>
                <w:color w:val="auto"/>
                <w:sz w:val="21"/>
                <w:highlight w:val="none"/>
              </w:rPr>
            </w:pPr>
          </w:p>
        </w:tc>
      </w:tr>
      <w:tr w14:paraId="13AF0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trPr>
        <w:tc>
          <w:tcPr>
            <w:tcW w:w="1621" w:type="dxa"/>
            <w:tcBorders>
              <w:left w:val="single" w:color="000000" w:sz="6" w:space="0"/>
            </w:tcBorders>
            <w:noWrap w:val="0"/>
            <w:vAlign w:val="top"/>
          </w:tcPr>
          <w:p w14:paraId="1E10F824">
            <w:pPr>
              <w:rPr>
                <w:rFonts w:ascii="Arial"/>
                <w:color w:val="auto"/>
                <w:sz w:val="21"/>
                <w:highlight w:val="none"/>
              </w:rPr>
            </w:pPr>
          </w:p>
        </w:tc>
        <w:tc>
          <w:tcPr>
            <w:tcW w:w="1003" w:type="dxa"/>
            <w:noWrap w:val="0"/>
            <w:vAlign w:val="top"/>
          </w:tcPr>
          <w:p w14:paraId="46CD5917">
            <w:pPr>
              <w:rPr>
                <w:rFonts w:ascii="Arial"/>
                <w:color w:val="auto"/>
                <w:sz w:val="21"/>
                <w:highlight w:val="none"/>
              </w:rPr>
            </w:pPr>
          </w:p>
        </w:tc>
        <w:tc>
          <w:tcPr>
            <w:tcW w:w="1003" w:type="dxa"/>
            <w:noWrap w:val="0"/>
            <w:vAlign w:val="top"/>
          </w:tcPr>
          <w:p w14:paraId="5AC7B2DF">
            <w:pPr>
              <w:rPr>
                <w:rFonts w:ascii="Arial"/>
                <w:color w:val="auto"/>
                <w:sz w:val="21"/>
                <w:highlight w:val="none"/>
              </w:rPr>
            </w:pPr>
          </w:p>
        </w:tc>
        <w:tc>
          <w:tcPr>
            <w:tcW w:w="1001" w:type="dxa"/>
            <w:noWrap w:val="0"/>
            <w:vAlign w:val="top"/>
          </w:tcPr>
          <w:p w14:paraId="3DC62373">
            <w:pPr>
              <w:rPr>
                <w:rFonts w:ascii="Arial"/>
                <w:color w:val="auto"/>
                <w:sz w:val="21"/>
                <w:highlight w:val="none"/>
              </w:rPr>
            </w:pPr>
          </w:p>
        </w:tc>
        <w:tc>
          <w:tcPr>
            <w:tcW w:w="999" w:type="dxa"/>
            <w:noWrap w:val="0"/>
            <w:vAlign w:val="top"/>
          </w:tcPr>
          <w:p w14:paraId="609856FE">
            <w:pPr>
              <w:rPr>
                <w:rFonts w:ascii="Arial"/>
                <w:color w:val="auto"/>
                <w:sz w:val="21"/>
                <w:highlight w:val="none"/>
              </w:rPr>
            </w:pPr>
          </w:p>
        </w:tc>
        <w:tc>
          <w:tcPr>
            <w:tcW w:w="1124" w:type="dxa"/>
            <w:noWrap w:val="0"/>
            <w:vAlign w:val="top"/>
          </w:tcPr>
          <w:p w14:paraId="525D347C">
            <w:pPr>
              <w:rPr>
                <w:rFonts w:ascii="Arial"/>
                <w:color w:val="auto"/>
                <w:sz w:val="21"/>
                <w:highlight w:val="none"/>
              </w:rPr>
            </w:pPr>
          </w:p>
        </w:tc>
        <w:tc>
          <w:tcPr>
            <w:tcW w:w="1123" w:type="dxa"/>
            <w:noWrap w:val="0"/>
            <w:vAlign w:val="top"/>
          </w:tcPr>
          <w:p w14:paraId="6D4917A2">
            <w:pPr>
              <w:rPr>
                <w:rFonts w:ascii="Arial"/>
                <w:color w:val="auto"/>
                <w:sz w:val="21"/>
                <w:highlight w:val="none"/>
              </w:rPr>
            </w:pPr>
          </w:p>
        </w:tc>
        <w:tc>
          <w:tcPr>
            <w:tcW w:w="1134" w:type="dxa"/>
            <w:tcBorders>
              <w:right w:val="single" w:color="000000" w:sz="6" w:space="0"/>
            </w:tcBorders>
            <w:noWrap w:val="0"/>
            <w:vAlign w:val="top"/>
          </w:tcPr>
          <w:p w14:paraId="7A193D35">
            <w:pPr>
              <w:rPr>
                <w:rFonts w:ascii="Arial"/>
                <w:color w:val="auto"/>
                <w:sz w:val="21"/>
                <w:highlight w:val="none"/>
              </w:rPr>
            </w:pPr>
          </w:p>
        </w:tc>
      </w:tr>
      <w:tr w14:paraId="6EAAA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1621" w:type="dxa"/>
            <w:tcBorders>
              <w:left w:val="single" w:color="000000" w:sz="6" w:space="0"/>
            </w:tcBorders>
            <w:noWrap w:val="0"/>
            <w:vAlign w:val="top"/>
          </w:tcPr>
          <w:p w14:paraId="07BB380B">
            <w:pPr>
              <w:rPr>
                <w:rFonts w:ascii="Arial"/>
                <w:color w:val="auto"/>
                <w:sz w:val="21"/>
                <w:highlight w:val="none"/>
              </w:rPr>
            </w:pPr>
          </w:p>
        </w:tc>
        <w:tc>
          <w:tcPr>
            <w:tcW w:w="1003" w:type="dxa"/>
            <w:noWrap w:val="0"/>
            <w:vAlign w:val="top"/>
          </w:tcPr>
          <w:p w14:paraId="600F8ABC">
            <w:pPr>
              <w:rPr>
                <w:rFonts w:ascii="Arial"/>
                <w:color w:val="auto"/>
                <w:sz w:val="21"/>
                <w:highlight w:val="none"/>
              </w:rPr>
            </w:pPr>
          </w:p>
        </w:tc>
        <w:tc>
          <w:tcPr>
            <w:tcW w:w="1003" w:type="dxa"/>
            <w:noWrap w:val="0"/>
            <w:vAlign w:val="top"/>
          </w:tcPr>
          <w:p w14:paraId="6166A9A1">
            <w:pPr>
              <w:rPr>
                <w:rFonts w:ascii="Arial"/>
                <w:color w:val="auto"/>
                <w:sz w:val="21"/>
                <w:highlight w:val="none"/>
              </w:rPr>
            </w:pPr>
          </w:p>
        </w:tc>
        <w:tc>
          <w:tcPr>
            <w:tcW w:w="1001" w:type="dxa"/>
            <w:noWrap w:val="0"/>
            <w:vAlign w:val="top"/>
          </w:tcPr>
          <w:p w14:paraId="28180861">
            <w:pPr>
              <w:rPr>
                <w:rFonts w:ascii="Arial"/>
                <w:color w:val="auto"/>
                <w:sz w:val="21"/>
                <w:highlight w:val="none"/>
              </w:rPr>
            </w:pPr>
          </w:p>
        </w:tc>
        <w:tc>
          <w:tcPr>
            <w:tcW w:w="999" w:type="dxa"/>
            <w:noWrap w:val="0"/>
            <w:vAlign w:val="top"/>
          </w:tcPr>
          <w:p w14:paraId="0400DB3E">
            <w:pPr>
              <w:rPr>
                <w:rFonts w:ascii="Arial"/>
                <w:color w:val="auto"/>
                <w:sz w:val="21"/>
                <w:highlight w:val="none"/>
              </w:rPr>
            </w:pPr>
          </w:p>
        </w:tc>
        <w:tc>
          <w:tcPr>
            <w:tcW w:w="1124" w:type="dxa"/>
            <w:noWrap w:val="0"/>
            <w:vAlign w:val="top"/>
          </w:tcPr>
          <w:p w14:paraId="2F986E19">
            <w:pPr>
              <w:rPr>
                <w:rFonts w:ascii="Arial"/>
                <w:color w:val="auto"/>
                <w:sz w:val="21"/>
                <w:highlight w:val="none"/>
              </w:rPr>
            </w:pPr>
          </w:p>
        </w:tc>
        <w:tc>
          <w:tcPr>
            <w:tcW w:w="1123" w:type="dxa"/>
            <w:noWrap w:val="0"/>
            <w:vAlign w:val="top"/>
          </w:tcPr>
          <w:p w14:paraId="3E86684A">
            <w:pPr>
              <w:rPr>
                <w:rFonts w:ascii="Arial"/>
                <w:color w:val="auto"/>
                <w:sz w:val="21"/>
                <w:highlight w:val="none"/>
              </w:rPr>
            </w:pPr>
          </w:p>
        </w:tc>
        <w:tc>
          <w:tcPr>
            <w:tcW w:w="1134" w:type="dxa"/>
            <w:tcBorders>
              <w:right w:val="single" w:color="000000" w:sz="6" w:space="0"/>
            </w:tcBorders>
            <w:noWrap w:val="0"/>
            <w:vAlign w:val="top"/>
          </w:tcPr>
          <w:p w14:paraId="2950AF43">
            <w:pPr>
              <w:rPr>
                <w:rFonts w:ascii="Arial"/>
                <w:color w:val="auto"/>
                <w:sz w:val="21"/>
                <w:highlight w:val="none"/>
              </w:rPr>
            </w:pPr>
          </w:p>
        </w:tc>
      </w:tr>
      <w:tr w14:paraId="7A514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1621" w:type="dxa"/>
            <w:tcBorders>
              <w:left w:val="single" w:color="000000" w:sz="6" w:space="0"/>
            </w:tcBorders>
            <w:noWrap w:val="0"/>
            <w:vAlign w:val="top"/>
          </w:tcPr>
          <w:p w14:paraId="0DA5B70B">
            <w:pPr>
              <w:rPr>
                <w:rFonts w:ascii="Arial"/>
                <w:color w:val="auto"/>
                <w:sz w:val="21"/>
                <w:highlight w:val="none"/>
              </w:rPr>
            </w:pPr>
          </w:p>
        </w:tc>
        <w:tc>
          <w:tcPr>
            <w:tcW w:w="1003" w:type="dxa"/>
            <w:noWrap w:val="0"/>
            <w:vAlign w:val="top"/>
          </w:tcPr>
          <w:p w14:paraId="038AE317">
            <w:pPr>
              <w:rPr>
                <w:rFonts w:ascii="Arial"/>
                <w:color w:val="auto"/>
                <w:sz w:val="21"/>
                <w:highlight w:val="none"/>
              </w:rPr>
            </w:pPr>
          </w:p>
        </w:tc>
        <w:tc>
          <w:tcPr>
            <w:tcW w:w="1003" w:type="dxa"/>
            <w:noWrap w:val="0"/>
            <w:vAlign w:val="top"/>
          </w:tcPr>
          <w:p w14:paraId="383E75DA">
            <w:pPr>
              <w:rPr>
                <w:rFonts w:ascii="Arial"/>
                <w:color w:val="auto"/>
                <w:sz w:val="21"/>
                <w:highlight w:val="none"/>
              </w:rPr>
            </w:pPr>
          </w:p>
        </w:tc>
        <w:tc>
          <w:tcPr>
            <w:tcW w:w="1001" w:type="dxa"/>
            <w:noWrap w:val="0"/>
            <w:vAlign w:val="top"/>
          </w:tcPr>
          <w:p w14:paraId="5F382A66">
            <w:pPr>
              <w:rPr>
                <w:rFonts w:ascii="Arial"/>
                <w:color w:val="auto"/>
                <w:sz w:val="21"/>
                <w:highlight w:val="none"/>
              </w:rPr>
            </w:pPr>
          </w:p>
        </w:tc>
        <w:tc>
          <w:tcPr>
            <w:tcW w:w="999" w:type="dxa"/>
            <w:noWrap w:val="0"/>
            <w:vAlign w:val="top"/>
          </w:tcPr>
          <w:p w14:paraId="24F8919B">
            <w:pPr>
              <w:rPr>
                <w:rFonts w:ascii="Arial"/>
                <w:color w:val="auto"/>
                <w:sz w:val="21"/>
                <w:highlight w:val="none"/>
              </w:rPr>
            </w:pPr>
          </w:p>
        </w:tc>
        <w:tc>
          <w:tcPr>
            <w:tcW w:w="1124" w:type="dxa"/>
            <w:noWrap w:val="0"/>
            <w:vAlign w:val="top"/>
          </w:tcPr>
          <w:p w14:paraId="1B890F23">
            <w:pPr>
              <w:rPr>
                <w:rFonts w:ascii="Arial"/>
                <w:color w:val="auto"/>
                <w:sz w:val="21"/>
                <w:highlight w:val="none"/>
              </w:rPr>
            </w:pPr>
          </w:p>
        </w:tc>
        <w:tc>
          <w:tcPr>
            <w:tcW w:w="1123" w:type="dxa"/>
            <w:noWrap w:val="0"/>
            <w:vAlign w:val="top"/>
          </w:tcPr>
          <w:p w14:paraId="6CC15C4F">
            <w:pPr>
              <w:rPr>
                <w:rFonts w:ascii="Arial"/>
                <w:color w:val="auto"/>
                <w:sz w:val="21"/>
                <w:highlight w:val="none"/>
              </w:rPr>
            </w:pPr>
          </w:p>
        </w:tc>
        <w:tc>
          <w:tcPr>
            <w:tcW w:w="1134" w:type="dxa"/>
            <w:tcBorders>
              <w:right w:val="single" w:color="000000" w:sz="6" w:space="0"/>
            </w:tcBorders>
            <w:noWrap w:val="0"/>
            <w:vAlign w:val="top"/>
          </w:tcPr>
          <w:p w14:paraId="37B131E6">
            <w:pPr>
              <w:rPr>
                <w:rFonts w:ascii="Arial"/>
                <w:color w:val="auto"/>
                <w:sz w:val="21"/>
                <w:highlight w:val="none"/>
              </w:rPr>
            </w:pPr>
          </w:p>
        </w:tc>
      </w:tr>
      <w:tr w14:paraId="3134A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trPr>
        <w:tc>
          <w:tcPr>
            <w:tcW w:w="1621" w:type="dxa"/>
            <w:tcBorders>
              <w:left w:val="single" w:color="000000" w:sz="6" w:space="0"/>
            </w:tcBorders>
            <w:noWrap w:val="0"/>
            <w:vAlign w:val="top"/>
          </w:tcPr>
          <w:p w14:paraId="2581C6D2">
            <w:pPr>
              <w:rPr>
                <w:rFonts w:ascii="Arial"/>
                <w:color w:val="auto"/>
                <w:sz w:val="21"/>
                <w:highlight w:val="none"/>
              </w:rPr>
            </w:pPr>
          </w:p>
        </w:tc>
        <w:tc>
          <w:tcPr>
            <w:tcW w:w="1003" w:type="dxa"/>
            <w:noWrap w:val="0"/>
            <w:vAlign w:val="top"/>
          </w:tcPr>
          <w:p w14:paraId="0254BE1D">
            <w:pPr>
              <w:rPr>
                <w:rFonts w:ascii="Arial"/>
                <w:color w:val="auto"/>
                <w:sz w:val="21"/>
                <w:highlight w:val="none"/>
              </w:rPr>
            </w:pPr>
          </w:p>
        </w:tc>
        <w:tc>
          <w:tcPr>
            <w:tcW w:w="1003" w:type="dxa"/>
            <w:noWrap w:val="0"/>
            <w:vAlign w:val="top"/>
          </w:tcPr>
          <w:p w14:paraId="4F1E4C00">
            <w:pPr>
              <w:rPr>
                <w:rFonts w:ascii="Arial"/>
                <w:color w:val="auto"/>
                <w:sz w:val="21"/>
                <w:highlight w:val="none"/>
              </w:rPr>
            </w:pPr>
          </w:p>
        </w:tc>
        <w:tc>
          <w:tcPr>
            <w:tcW w:w="1001" w:type="dxa"/>
            <w:noWrap w:val="0"/>
            <w:vAlign w:val="top"/>
          </w:tcPr>
          <w:p w14:paraId="23E1D9B1">
            <w:pPr>
              <w:rPr>
                <w:rFonts w:ascii="Arial"/>
                <w:color w:val="auto"/>
                <w:sz w:val="21"/>
                <w:highlight w:val="none"/>
              </w:rPr>
            </w:pPr>
          </w:p>
        </w:tc>
        <w:tc>
          <w:tcPr>
            <w:tcW w:w="999" w:type="dxa"/>
            <w:noWrap w:val="0"/>
            <w:vAlign w:val="top"/>
          </w:tcPr>
          <w:p w14:paraId="2BE4AA6F">
            <w:pPr>
              <w:rPr>
                <w:rFonts w:ascii="Arial"/>
                <w:color w:val="auto"/>
                <w:sz w:val="21"/>
                <w:highlight w:val="none"/>
              </w:rPr>
            </w:pPr>
          </w:p>
        </w:tc>
        <w:tc>
          <w:tcPr>
            <w:tcW w:w="1124" w:type="dxa"/>
            <w:noWrap w:val="0"/>
            <w:vAlign w:val="top"/>
          </w:tcPr>
          <w:p w14:paraId="163F2F98">
            <w:pPr>
              <w:rPr>
                <w:rFonts w:ascii="Arial"/>
                <w:color w:val="auto"/>
                <w:sz w:val="21"/>
                <w:highlight w:val="none"/>
              </w:rPr>
            </w:pPr>
          </w:p>
        </w:tc>
        <w:tc>
          <w:tcPr>
            <w:tcW w:w="1123" w:type="dxa"/>
            <w:noWrap w:val="0"/>
            <w:vAlign w:val="top"/>
          </w:tcPr>
          <w:p w14:paraId="0E0564B1">
            <w:pPr>
              <w:rPr>
                <w:rFonts w:ascii="Arial"/>
                <w:color w:val="auto"/>
                <w:sz w:val="21"/>
                <w:highlight w:val="none"/>
              </w:rPr>
            </w:pPr>
          </w:p>
        </w:tc>
        <w:tc>
          <w:tcPr>
            <w:tcW w:w="1134" w:type="dxa"/>
            <w:tcBorders>
              <w:right w:val="single" w:color="000000" w:sz="6" w:space="0"/>
            </w:tcBorders>
            <w:noWrap w:val="0"/>
            <w:vAlign w:val="top"/>
          </w:tcPr>
          <w:p w14:paraId="5AF52F17">
            <w:pPr>
              <w:rPr>
                <w:rFonts w:ascii="Arial"/>
                <w:color w:val="auto"/>
                <w:sz w:val="21"/>
                <w:highlight w:val="none"/>
              </w:rPr>
            </w:pPr>
          </w:p>
        </w:tc>
      </w:tr>
      <w:tr w14:paraId="4DCF60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trPr>
        <w:tc>
          <w:tcPr>
            <w:tcW w:w="1621" w:type="dxa"/>
            <w:tcBorders>
              <w:left w:val="single" w:color="000000" w:sz="6" w:space="0"/>
            </w:tcBorders>
            <w:noWrap w:val="0"/>
            <w:vAlign w:val="top"/>
          </w:tcPr>
          <w:p w14:paraId="573D0A55">
            <w:pPr>
              <w:rPr>
                <w:rFonts w:ascii="Arial"/>
                <w:color w:val="auto"/>
                <w:sz w:val="21"/>
                <w:highlight w:val="none"/>
              </w:rPr>
            </w:pPr>
          </w:p>
        </w:tc>
        <w:tc>
          <w:tcPr>
            <w:tcW w:w="1003" w:type="dxa"/>
            <w:noWrap w:val="0"/>
            <w:vAlign w:val="top"/>
          </w:tcPr>
          <w:p w14:paraId="116F0811">
            <w:pPr>
              <w:rPr>
                <w:rFonts w:ascii="Arial"/>
                <w:color w:val="auto"/>
                <w:sz w:val="21"/>
                <w:highlight w:val="none"/>
              </w:rPr>
            </w:pPr>
          </w:p>
        </w:tc>
        <w:tc>
          <w:tcPr>
            <w:tcW w:w="1003" w:type="dxa"/>
            <w:noWrap w:val="0"/>
            <w:vAlign w:val="top"/>
          </w:tcPr>
          <w:p w14:paraId="282A1413">
            <w:pPr>
              <w:rPr>
                <w:rFonts w:ascii="Arial"/>
                <w:color w:val="auto"/>
                <w:sz w:val="21"/>
                <w:highlight w:val="none"/>
              </w:rPr>
            </w:pPr>
          </w:p>
        </w:tc>
        <w:tc>
          <w:tcPr>
            <w:tcW w:w="1001" w:type="dxa"/>
            <w:noWrap w:val="0"/>
            <w:vAlign w:val="top"/>
          </w:tcPr>
          <w:p w14:paraId="48F32D98">
            <w:pPr>
              <w:rPr>
                <w:rFonts w:ascii="Arial"/>
                <w:color w:val="auto"/>
                <w:sz w:val="21"/>
                <w:highlight w:val="none"/>
              </w:rPr>
            </w:pPr>
          </w:p>
        </w:tc>
        <w:tc>
          <w:tcPr>
            <w:tcW w:w="999" w:type="dxa"/>
            <w:noWrap w:val="0"/>
            <w:vAlign w:val="top"/>
          </w:tcPr>
          <w:p w14:paraId="36F14251">
            <w:pPr>
              <w:rPr>
                <w:rFonts w:ascii="Arial"/>
                <w:color w:val="auto"/>
                <w:sz w:val="21"/>
                <w:highlight w:val="none"/>
              </w:rPr>
            </w:pPr>
          </w:p>
        </w:tc>
        <w:tc>
          <w:tcPr>
            <w:tcW w:w="1124" w:type="dxa"/>
            <w:noWrap w:val="0"/>
            <w:vAlign w:val="top"/>
          </w:tcPr>
          <w:p w14:paraId="429A222A">
            <w:pPr>
              <w:rPr>
                <w:rFonts w:ascii="Arial"/>
                <w:color w:val="auto"/>
                <w:sz w:val="21"/>
                <w:highlight w:val="none"/>
              </w:rPr>
            </w:pPr>
          </w:p>
        </w:tc>
        <w:tc>
          <w:tcPr>
            <w:tcW w:w="1123" w:type="dxa"/>
            <w:noWrap w:val="0"/>
            <w:vAlign w:val="top"/>
          </w:tcPr>
          <w:p w14:paraId="4449A330">
            <w:pPr>
              <w:rPr>
                <w:rFonts w:ascii="Arial"/>
                <w:color w:val="auto"/>
                <w:sz w:val="21"/>
                <w:highlight w:val="none"/>
              </w:rPr>
            </w:pPr>
          </w:p>
        </w:tc>
        <w:tc>
          <w:tcPr>
            <w:tcW w:w="1134" w:type="dxa"/>
            <w:tcBorders>
              <w:right w:val="single" w:color="000000" w:sz="6" w:space="0"/>
            </w:tcBorders>
            <w:noWrap w:val="0"/>
            <w:vAlign w:val="top"/>
          </w:tcPr>
          <w:p w14:paraId="60690A50">
            <w:pPr>
              <w:rPr>
                <w:rFonts w:ascii="Arial"/>
                <w:color w:val="auto"/>
                <w:sz w:val="21"/>
                <w:highlight w:val="none"/>
              </w:rPr>
            </w:pPr>
          </w:p>
        </w:tc>
      </w:tr>
      <w:tr w14:paraId="47812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621" w:type="dxa"/>
            <w:tcBorders>
              <w:left w:val="single" w:color="000000" w:sz="6" w:space="0"/>
            </w:tcBorders>
            <w:noWrap w:val="0"/>
            <w:vAlign w:val="top"/>
          </w:tcPr>
          <w:p w14:paraId="7A3D7431">
            <w:pPr>
              <w:rPr>
                <w:rFonts w:ascii="Arial"/>
                <w:color w:val="auto"/>
                <w:sz w:val="21"/>
                <w:highlight w:val="none"/>
              </w:rPr>
            </w:pPr>
          </w:p>
        </w:tc>
        <w:tc>
          <w:tcPr>
            <w:tcW w:w="1003" w:type="dxa"/>
            <w:noWrap w:val="0"/>
            <w:vAlign w:val="top"/>
          </w:tcPr>
          <w:p w14:paraId="55BAA550">
            <w:pPr>
              <w:rPr>
                <w:rFonts w:ascii="Arial"/>
                <w:color w:val="auto"/>
                <w:sz w:val="21"/>
                <w:highlight w:val="none"/>
              </w:rPr>
            </w:pPr>
          </w:p>
        </w:tc>
        <w:tc>
          <w:tcPr>
            <w:tcW w:w="1003" w:type="dxa"/>
            <w:noWrap w:val="0"/>
            <w:vAlign w:val="top"/>
          </w:tcPr>
          <w:p w14:paraId="6E8D8C68">
            <w:pPr>
              <w:rPr>
                <w:rFonts w:ascii="Arial"/>
                <w:color w:val="auto"/>
                <w:sz w:val="21"/>
                <w:highlight w:val="none"/>
              </w:rPr>
            </w:pPr>
          </w:p>
        </w:tc>
        <w:tc>
          <w:tcPr>
            <w:tcW w:w="1001" w:type="dxa"/>
            <w:noWrap w:val="0"/>
            <w:vAlign w:val="top"/>
          </w:tcPr>
          <w:p w14:paraId="35779DA9">
            <w:pPr>
              <w:rPr>
                <w:rFonts w:ascii="Arial"/>
                <w:color w:val="auto"/>
                <w:sz w:val="21"/>
                <w:highlight w:val="none"/>
              </w:rPr>
            </w:pPr>
          </w:p>
        </w:tc>
        <w:tc>
          <w:tcPr>
            <w:tcW w:w="999" w:type="dxa"/>
            <w:noWrap w:val="0"/>
            <w:vAlign w:val="top"/>
          </w:tcPr>
          <w:p w14:paraId="25452596">
            <w:pPr>
              <w:rPr>
                <w:rFonts w:ascii="Arial"/>
                <w:color w:val="auto"/>
                <w:sz w:val="21"/>
                <w:highlight w:val="none"/>
              </w:rPr>
            </w:pPr>
          </w:p>
        </w:tc>
        <w:tc>
          <w:tcPr>
            <w:tcW w:w="1124" w:type="dxa"/>
            <w:noWrap w:val="0"/>
            <w:vAlign w:val="top"/>
          </w:tcPr>
          <w:p w14:paraId="3D761526">
            <w:pPr>
              <w:rPr>
                <w:rFonts w:ascii="Arial"/>
                <w:color w:val="auto"/>
                <w:sz w:val="21"/>
                <w:highlight w:val="none"/>
              </w:rPr>
            </w:pPr>
          </w:p>
        </w:tc>
        <w:tc>
          <w:tcPr>
            <w:tcW w:w="1123" w:type="dxa"/>
            <w:noWrap w:val="0"/>
            <w:vAlign w:val="top"/>
          </w:tcPr>
          <w:p w14:paraId="6D3CA4F2">
            <w:pPr>
              <w:rPr>
                <w:rFonts w:ascii="Arial"/>
                <w:color w:val="auto"/>
                <w:sz w:val="21"/>
                <w:highlight w:val="none"/>
              </w:rPr>
            </w:pPr>
          </w:p>
        </w:tc>
        <w:tc>
          <w:tcPr>
            <w:tcW w:w="1134" w:type="dxa"/>
            <w:tcBorders>
              <w:right w:val="single" w:color="000000" w:sz="6" w:space="0"/>
            </w:tcBorders>
            <w:noWrap w:val="0"/>
            <w:vAlign w:val="top"/>
          </w:tcPr>
          <w:p w14:paraId="43B1FD72">
            <w:pPr>
              <w:rPr>
                <w:rFonts w:ascii="Arial"/>
                <w:color w:val="auto"/>
                <w:sz w:val="21"/>
                <w:highlight w:val="none"/>
              </w:rPr>
            </w:pPr>
          </w:p>
        </w:tc>
      </w:tr>
      <w:tr w14:paraId="1826E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trPr>
        <w:tc>
          <w:tcPr>
            <w:tcW w:w="1621" w:type="dxa"/>
            <w:tcBorders>
              <w:left w:val="single" w:color="000000" w:sz="6" w:space="0"/>
            </w:tcBorders>
            <w:noWrap w:val="0"/>
            <w:vAlign w:val="top"/>
          </w:tcPr>
          <w:p w14:paraId="3F3805B8">
            <w:pPr>
              <w:rPr>
                <w:rFonts w:ascii="Arial"/>
                <w:color w:val="auto"/>
                <w:sz w:val="21"/>
                <w:highlight w:val="none"/>
              </w:rPr>
            </w:pPr>
          </w:p>
        </w:tc>
        <w:tc>
          <w:tcPr>
            <w:tcW w:w="1003" w:type="dxa"/>
            <w:noWrap w:val="0"/>
            <w:vAlign w:val="top"/>
          </w:tcPr>
          <w:p w14:paraId="102B13F4">
            <w:pPr>
              <w:rPr>
                <w:rFonts w:ascii="Arial"/>
                <w:color w:val="auto"/>
                <w:sz w:val="21"/>
                <w:highlight w:val="none"/>
              </w:rPr>
            </w:pPr>
          </w:p>
        </w:tc>
        <w:tc>
          <w:tcPr>
            <w:tcW w:w="1003" w:type="dxa"/>
            <w:noWrap w:val="0"/>
            <w:vAlign w:val="top"/>
          </w:tcPr>
          <w:p w14:paraId="5CE6A172">
            <w:pPr>
              <w:rPr>
                <w:rFonts w:ascii="Arial"/>
                <w:color w:val="auto"/>
                <w:sz w:val="21"/>
                <w:highlight w:val="none"/>
              </w:rPr>
            </w:pPr>
          </w:p>
        </w:tc>
        <w:tc>
          <w:tcPr>
            <w:tcW w:w="1001" w:type="dxa"/>
            <w:noWrap w:val="0"/>
            <w:vAlign w:val="top"/>
          </w:tcPr>
          <w:p w14:paraId="2539E47E">
            <w:pPr>
              <w:rPr>
                <w:rFonts w:ascii="Arial"/>
                <w:color w:val="auto"/>
                <w:sz w:val="21"/>
                <w:highlight w:val="none"/>
              </w:rPr>
            </w:pPr>
          </w:p>
        </w:tc>
        <w:tc>
          <w:tcPr>
            <w:tcW w:w="999" w:type="dxa"/>
            <w:noWrap w:val="0"/>
            <w:vAlign w:val="top"/>
          </w:tcPr>
          <w:p w14:paraId="41C1C79A">
            <w:pPr>
              <w:rPr>
                <w:rFonts w:ascii="Arial"/>
                <w:color w:val="auto"/>
                <w:sz w:val="21"/>
                <w:highlight w:val="none"/>
              </w:rPr>
            </w:pPr>
          </w:p>
        </w:tc>
        <w:tc>
          <w:tcPr>
            <w:tcW w:w="1124" w:type="dxa"/>
            <w:noWrap w:val="0"/>
            <w:vAlign w:val="top"/>
          </w:tcPr>
          <w:p w14:paraId="7BD0DA44">
            <w:pPr>
              <w:rPr>
                <w:rFonts w:ascii="Arial"/>
                <w:color w:val="auto"/>
                <w:sz w:val="21"/>
                <w:highlight w:val="none"/>
              </w:rPr>
            </w:pPr>
          </w:p>
        </w:tc>
        <w:tc>
          <w:tcPr>
            <w:tcW w:w="1123" w:type="dxa"/>
            <w:noWrap w:val="0"/>
            <w:vAlign w:val="top"/>
          </w:tcPr>
          <w:p w14:paraId="10A0373C">
            <w:pPr>
              <w:rPr>
                <w:rFonts w:ascii="Arial"/>
                <w:color w:val="auto"/>
                <w:sz w:val="21"/>
                <w:highlight w:val="none"/>
              </w:rPr>
            </w:pPr>
          </w:p>
        </w:tc>
        <w:tc>
          <w:tcPr>
            <w:tcW w:w="1134" w:type="dxa"/>
            <w:tcBorders>
              <w:right w:val="single" w:color="000000" w:sz="6" w:space="0"/>
            </w:tcBorders>
            <w:noWrap w:val="0"/>
            <w:vAlign w:val="top"/>
          </w:tcPr>
          <w:p w14:paraId="2D33FA97">
            <w:pPr>
              <w:rPr>
                <w:rFonts w:ascii="Arial"/>
                <w:color w:val="auto"/>
                <w:sz w:val="21"/>
                <w:highlight w:val="none"/>
              </w:rPr>
            </w:pPr>
          </w:p>
        </w:tc>
      </w:tr>
      <w:tr w14:paraId="412B5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621" w:type="dxa"/>
            <w:tcBorders>
              <w:left w:val="single" w:color="000000" w:sz="6" w:space="0"/>
            </w:tcBorders>
            <w:noWrap w:val="0"/>
            <w:vAlign w:val="top"/>
          </w:tcPr>
          <w:p w14:paraId="23EF858A">
            <w:pPr>
              <w:rPr>
                <w:rFonts w:ascii="Arial"/>
                <w:color w:val="auto"/>
                <w:sz w:val="21"/>
                <w:highlight w:val="none"/>
              </w:rPr>
            </w:pPr>
          </w:p>
        </w:tc>
        <w:tc>
          <w:tcPr>
            <w:tcW w:w="1003" w:type="dxa"/>
            <w:noWrap w:val="0"/>
            <w:vAlign w:val="top"/>
          </w:tcPr>
          <w:p w14:paraId="54C46B22">
            <w:pPr>
              <w:rPr>
                <w:rFonts w:ascii="Arial"/>
                <w:color w:val="auto"/>
                <w:sz w:val="21"/>
                <w:highlight w:val="none"/>
              </w:rPr>
            </w:pPr>
          </w:p>
        </w:tc>
        <w:tc>
          <w:tcPr>
            <w:tcW w:w="1003" w:type="dxa"/>
            <w:noWrap w:val="0"/>
            <w:vAlign w:val="top"/>
          </w:tcPr>
          <w:p w14:paraId="6A2B19FA">
            <w:pPr>
              <w:rPr>
                <w:rFonts w:ascii="Arial"/>
                <w:color w:val="auto"/>
                <w:sz w:val="21"/>
                <w:highlight w:val="none"/>
              </w:rPr>
            </w:pPr>
          </w:p>
        </w:tc>
        <w:tc>
          <w:tcPr>
            <w:tcW w:w="1001" w:type="dxa"/>
            <w:noWrap w:val="0"/>
            <w:vAlign w:val="top"/>
          </w:tcPr>
          <w:p w14:paraId="6D309485">
            <w:pPr>
              <w:rPr>
                <w:rFonts w:ascii="Arial"/>
                <w:color w:val="auto"/>
                <w:sz w:val="21"/>
                <w:highlight w:val="none"/>
              </w:rPr>
            </w:pPr>
          </w:p>
        </w:tc>
        <w:tc>
          <w:tcPr>
            <w:tcW w:w="999" w:type="dxa"/>
            <w:noWrap w:val="0"/>
            <w:vAlign w:val="top"/>
          </w:tcPr>
          <w:p w14:paraId="1E51B694">
            <w:pPr>
              <w:rPr>
                <w:rFonts w:ascii="Arial"/>
                <w:color w:val="auto"/>
                <w:sz w:val="21"/>
                <w:highlight w:val="none"/>
              </w:rPr>
            </w:pPr>
          </w:p>
        </w:tc>
        <w:tc>
          <w:tcPr>
            <w:tcW w:w="1124" w:type="dxa"/>
            <w:noWrap w:val="0"/>
            <w:vAlign w:val="top"/>
          </w:tcPr>
          <w:p w14:paraId="03FDE426">
            <w:pPr>
              <w:rPr>
                <w:rFonts w:ascii="Arial"/>
                <w:color w:val="auto"/>
                <w:sz w:val="21"/>
                <w:highlight w:val="none"/>
              </w:rPr>
            </w:pPr>
          </w:p>
        </w:tc>
        <w:tc>
          <w:tcPr>
            <w:tcW w:w="1123" w:type="dxa"/>
            <w:noWrap w:val="0"/>
            <w:vAlign w:val="top"/>
          </w:tcPr>
          <w:p w14:paraId="7C778DC3">
            <w:pPr>
              <w:rPr>
                <w:rFonts w:ascii="Arial"/>
                <w:color w:val="auto"/>
                <w:sz w:val="21"/>
                <w:highlight w:val="none"/>
              </w:rPr>
            </w:pPr>
          </w:p>
        </w:tc>
        <w:tc>
          <w:tcPr>
            <w:tcW w:w="1134" w:type="dxa"/>
            <w:tcBorders>
              <w:right w:val="single" w:color="000000" w:sz="6" w:space="0"/>
            </w:tcBorders>
            <w:noWrap w:val="0"/>
            <w:vAlign w:val="top"/>
          </w:tcPr>
          <w:p w14:paraId="35352144">
            <w:pPr>
              <w:rPr>
                <w:rFonts w:ascii="Arial"/>
                <w:color w:val="auto"/>
                <w:sz w:val="21"/>
                <w:highlight w:val="none"/>
              </w:rPr>
            </w:pPr>
          </w:p>
        </w:tc>
      </w:tr>
      <w:tr w14:paraId="077F6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1" w:type="dxa"/>
            <w:tcBorders>
              <w:left w:val="single" w:color="000000" w:sz="6" w:space="0"/>
            </w:tcBorders>
            <w:noWrap w:val="0"/>
            <w:vAlign w:val="top"/>
          </w:tcPr>
          <w:p w14:paraId="36B7A0D8">
            <w:pPr>
              <w:rPr>
                <w:rFonts w:ascii="Arial"/>
                <w:color w:val="auto"/>
                <w:sz w:val="21"/>
                <w:highlight w:val="none"/>
              </w:rPr>
            </w:pPr>
          </w:p>
        </w:tc>
        <w:tc>
          <w:tcPr>
            <w:tcW w:w="1003" w:type="dxa"/>
            <w:noWrap w:val="0"/>
            <w:vAlign w:val="top"/>
          </w:tcPr>
          <w:p w14:paraId="6ACEA20F">
            <w:pPr>
              <w:rPr>
                <w:rFonts w:ascii="Arial"/>
                <w:color w:val="auto"/>
                <w:sz w:val="21"/>
                <w:highlight w:val="none"/>
              </w:rPr>
            </w:pPr>
          </w:p>
        </w:tc>
        <w:tc>
          <w:tcPr>
            <w:tcW w:w="1003" w:type="dxa"/>
            <w:noWrap w:val="0"/>
            <w:vAlign w:val="top"/>
          </w:tcPr>
          <w:p w14:paraId="0C63599C">
            <w:pPr>
              <w:rPr>
                <w:rFonts w:ascii="Arial"/>
                <w:color w:val="auto"/>
                <w:sz w:val="21"/>
                <w:highlight w:val="none"/>
              </w:rPr>
            </w:pPr>
          </w:p>
        </w:tc>
        <w:tc>
          <w:tcPr>
            <w:tcW w:w="1001" w:type="dxa"/>
            <w:noWrap w:val="0"/>
            <w:vAlign w:val="top"/>
          </w:tcPr>
          <w:p w14:paraId="6583DD85">
            <w:pPr>
              <w:rPr>
                <w:rFonts w:ascii="Arial"/>
                <w:color w:val="auto"/>
                <w:sz w:val="21"/>
                <w:highlight w:val="none"/>
              </w:rPr>
            </w:pPr>
          </w:p>
        </w:tc>
        <w:tc>
          <w:tcPr>
            <w:tcW w:w="999" w:type="dxa"/>
            <w:noWrap w:val="0"/>
            <w:vAlign w:val="top"/>
          </w:tcPr>
          <w:p w14:paraId="3DA81E7E">
            <w:pPr>
              <w:rPr>
                <w:rFonts w:ascii="Arial"/>
                <w:color w:val="auto"/>
                <w:sz w:val="21"/>
                <w:highlight w:val="none"/>
              </w:rPr>
            </w:pPr>
          </w:p>
        </w:tc>
        <w:tc>
          <w:tcPr>
            <w:tcW w:w="1124" w:type="dxa"/>
            <w:noWrap w:val="0"/>
            <w:vAlign w:val="top"/>
          </w:tcPr>
          <w:p w14:paraId="6DD3E606">
            <w:pPr>
              <w:rPr>
                <w:rFonts w:ascii="Arial"/>
                <w:color w:val="auto"/>
                <w:sz w:val="21"/>
                <w:highlight w:val="none"/>
              </w:rPr>
            </w:pPr>
          </w:p>
        </w:tc>
        <w:tc>
          <w:tcPr>
            <w:tcW w:w="1123" w:type="dxa"/>
            <w:noWrap w:val="0"/>
            <w:vAlign w:val="top"/>
          </w:tcPr>
          <w:p w14:paraId="48B24EAC">
            <w:pPr>
              <w:rPr>
                <w:rFonts w:ascii="Arial"/>
                <w:color w:val="auto"/>
                <w:sz w:val="21"/>
                <w:highlight w:val="none"/>
              </w:rPr>
            </w:pPr>
          </w:p>
        </w:tc>
        <w:tc>
          <w:tcPr>
            <w:tcW w:w="1134" w:type="dxa"/>
            <w:tcBorders>
              <w:right w:val="single" w:color="000000" w:sz="6" w:space="0"/>
            </w:tcBorders>
            <w:noWrap w:val="0"/>
            <w:vAlign w:val="top"/>
          </w:tcPr>
          <w:p w14:paraId="366388DB">
            <w:pPr>
              <w:rPr>
                <w:rFonts w:ascii="Arial"/>
                <w:color w:val="auto"/>
                <w:sz w:val="21"/>
                <w:highlight w:val="none"/>
              </w:rPr>
            </w:pPr>
          </w:p>
        </w:tc>
      </w:tr>
      <w:tr w14:paraId="3EF57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1621" w:type="dxa"/>
            <w:tcBorders>
              <w:left w:val="single" w:color="000000" w:sz="6" w:space="0"/>
            </w:tcBorders>
            <w:noWrap w:val="0"/>
            <w:vAlign w:val="top"/>
          </w:tcPr>
          <w:p w14:paraId="31386BD6">
            <w:pPr>
              <w:rPr>
                <w:rFonts w:ascii="Arial"/>
                <w:color w:val="auto"/>
                <w:sz w:val="21"/>
                <w:highlight w:val="none"/>
              </w:rPr>
            </w:pPr>
          </w:p>
        </w:tc>
        <w:tc>
          <w:tcPr>
            <w:tcW w:w="1003" w:type="dxa"/>
            <w:noWrap w:val="0"/>
            <w:vAlign w:val="top"/>
          </w:tcPr>
          <w:p w14:paraId="5E327334">
            <w:pPr>
              <w:rPr>
                <w:rFonts w:ascii="Arial"/>
                <w:color w:val="auto"/>
                <w:sz w:val="21"/>
                <w:highlight w:val="none"/>
              </w:rPr>
            </w:pPr>
          </w:p>
        </w:tc>
        <w:tc>
          <w:tcPr>
            <w:tcW w:w="1003" w:type="dxa"/>
            <w:noWrap w:val="0"/>
            <w:vAlign w:val="top"/>
          </w:tcPr>
          <w:p w14:paraId="46D659E3">
            <w:pPr>
              <w:rPr>
                <w:rFonts w:ascii="Arial"/>
                <w:color w:val="auto"/>
                <w:sz w:val="21"/>
                <w:highlight w:val="none"/>
              </w:rPr>
            </w:pPr>
          </w:p>
        </w:tc>
        <w:tc>
          <w:tcPr>
            <w:tcW w:w="1001" w:type="dxa"/>
            <w:noWrap w:val="0"/>
            <w:vAlign w:val="top"/>
          </w:tcPr>
          <w:p w14:paraId="019358D7">
            <w:pPr>
              <w:rPr>
                <w:rFonts w:ascii="Arial"/>
                <w:color w:val="auto"/>
                <w:sz w:val="21"/>
                <w:highlight w:val="none"/>
              </w:rPr>
            </w:pPr>
          </w:p>
        </w:tc>
        <w:tc>
          <w:tcPr>
            <w:tcW w:w="999" w:type="dxa"/>
            <w:noWrap w:val="0"/>
            <w:vAlign w:val="top"/>
          </w:tcPr>
          <w:p w14:paraId="00C4FE06">
            <w:pPr>
              <w:rPr>
                <w:rFonts w:ascii="Arial"/>
                <w:color w:val="auto"/>
                <w:sz w:val="21"/>
                <w:highlight w:val="none"/>
              </w:rPr>
            </w:pPr>
          </w:p>
        </w:tc>
        <w:tc>
          <w:tcPr>
            <w:tcW w:w="1124" w:type="dxa"/>
            <w:noWrap w:val="0"/>
            <w:vAlign w:val="top"/>
          </w:tcPr>
          <w:p w14:paraId="6DA5A1AE">
            <w:pPr>
              <w:rPr>
                <w:rFonts w:ascii="Arial"/>
                <w:color w:val="auto"/>
                <w:sz w:val="21"/>
                <w:highlight w:val="none"/>
              </w:rPr>
            </w:pPr>
          </w:p>
        </w:tc>
        <w:tc>
          <w:tcPr>
            <w:tcW w:w="1123" w:type="dxa"/>
            <w:noWrap w:val="0"/>
            <w:vAlign w:val="top"/>
          </w:tcPr>
          <w:p w14:paraId="342C2CB8">
            <w:pPr>
              <w:rPr>
                <w:rFonts w:ascii="Arial"/>
                <w:color w:val="auto"/>
                <w:sz w:val="21"/>
                <w:highlight w:val="none"/>
              </w:rPr>
            </w:pPr>
          </w:p>
        </w:tc>
        <w:tc>
          <w:tcPr>
            <w:tcW w:w="1134" w:type="dxa"/>
            <w:tcBorders>
              <w:right w:val="single" w:color="000000" w:sz="6" w:space="0"/>
            </w:tcBorders>
            <w:noWrap w:val="0"/>
            <w:vAlign w:val="top"/>
          </w:tcPr>
          <w:p w14:paraId="371C4070">
            <w:pPr>
              <w:rPr>
                <w:rFonts w:ascii="Arial"/>
                <w:color w:val="auto"/>
                <w:sz w:val="21"/>
                <w:highlight w:val="none"/>
              </w:rPr>
            </w:pPr>
          </w:p>
        </w:tc>
      </w:tr>
      <w:tr w14:paraId="075C1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1621" w:type="dxa"/>
            <w:tcBorders>
              <w:left w:val="single" w:color="000000" w:sz="6" w:space="0"/>
            </w:tcBorders>
            <w:noWrap w:val="0"/>
            <w:vAlign w:val="top"/>
          </w:tcPr>
          <w:p w14:paraId="6ACD490A">
            <w:pPr>
              <w:rPr>
                <w:rFonts w:ascii="Arial"/>
                <w:color w:val="auto"/>
                <w:sz w:val="21"/>
                <w:highlight w:val="none"/>
              </w:rPr>
            </w:pPr>
          </w:p>
        </w:tc>
        <w:tc>
          <w:tcPr>
            <w:tcW w:w="1003" w:type="dxa"/>
            <w:noWrap w:val="0"/>
            <w:vAlign w:val="top"/>
          </w:tcPr>
          <w:p w14:paraId="15341CD8">
            <w:pPr>
              <w:rPr>
                <w:rFonts w:ascii="Arial"/>
                <w:color w:val="auto"/>
                <w:sz w:val="21"/>
                <w:highlight w:val="none"/>
              </w:rPr>
            </w:pPr>
          </w:p>
        </w:tc>
        <w:tc>
          <w:tcPr>
            <w:tcW w:w="1003" w:type="dxa"/>
            <w:noWrap w:val="0"/>
            <w:vAlign w:val="top"/>
          </w:tcPr>
          <w:p w14:paraId="59F0F64C">
            <w:pPr>
              <w:rPr>
                <w:rFonts w:ascii="Arial"/>
                <w:color w:val="auto"/>
                <w:sz w:val="21"/>
                <w:highlight w:val="none"/>
              </w:rPr>
            </w:pPr>
          </w:p>
        </w:tc>
        <w:tc>
          <w:tcPr>
            <w:tcW w:w="1001" w:type="dxa"/>
            <w:noWrap w:val="0"/>
            <w:vAlign w:val="top"/>
          </w:tcPr>
          <w:p w14:paraId="1158F03D">
            <w:pPr>
              <w:rPr>
                <w:rFonts w:ascii="Arial"/>
                <w:color w:val="auto"/>
                <w:sz w:val="21"/>
                <w:highlight w:val="none"/>
              </w:rPr>
            </w:pPr>
          </w:p>
        </w:tc>
        <w:tc>
          <w:tcPr>
            <w:tcW w:w="999" w:type="dxa"/>
            <w:noWrap w:val="0"/>
            <w:vAlign w:val="top"/>
          </w:tcPr>
          <w:p w14:paraId="1991EA60">
            <w:pPr>
              <w:rPr>
                <w:rFonts w:ascii="Arial"/>
                <w:color w:val="auto"/>
                <w:sz w:val="21"/>
                <w:highlight w:val="none"/>
              </w:rPr>
            </w:pPr>
          </w:p>
        </w:tc>
        <w:tc>
          <w:tcPr>
            <w:tcW w:w="1124" w:type="dxa"/>
            <w:noWrap w:val="0"/>
            <w:vAlign w:val="top"/>
          </w:tcPr>
          <w:p w14:paraId="57857D49">
            <w:pPr>
              <w:rPr>
                <w:rFonts w:ascii="Arial"/>
                <w:color w:val="auto"/>
                <w:sz w:val="21"/>
                <w:highlight w:val="none"/>
              </w:rPr>
            </w:pPr>
          </w:p>
        </w:tc>
        <w:tc>
          <w:tcPr>
            <w:tcW w:w="1123" w:type="dxa"/>
            <w:noWrap w:val="0"/>
            <w:vAlign w:val="top"/>
          </w:tcPr>
          <w:p w14:paraId="363539BC">
            <w:pPr>
              <w:rPr>
                <w:rFonts w:ascii="Arial"/>
                <w:color w:val="auto"/>
                <w:sz w:val="21"/>
                <w:highlight w:val="none"/>
              </w:rPr>
            </w:pPr>
          </w:p>
        </w:tc>
        <w:tc>
          <w:tcPr>
            <w:tcW w:w="1134" w:type="dxa"/>
            <w:tcBorders>
              <w:right w:val="single" w:color="000000" w:sz="6" w:space="0"/>
            </w:tcBorders>
            <w:noWrap w:val="0"/>
            <w:vAlign w:val="top"/>
          </w:tcPr>
          <w:p w14:paraId="7E7084D0">
            <w:pPr>
              <w:rPr>
                <w:rFonts w:ascii="Arial"/>
                <w:color w:val="auto"/>
                <w:sz w:val="21"/>
                <w:highlight w:val="none"/>
              </w:rPr>
            </w:pPr>
          </w:p>
        </w:tc>
      </w:tr>
      <w:tr w14:paraId="6F408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621" w:type="dxa"/>
            <w:tcBorders>
              <w:left w:val="single" w:color="000000" w:sz="6" w:space="0"/>
            </w:tcBorders>
            <w:noWrap w:val="0"/>
            <w:vAlign w:val="top"/>
          </w:tcPr>
          <w:p w14:paraId="0C4F4B1D">
            <w:pPr>
              <w:rPr>
                <w:rFonts w:ascii="Arial"/>
                <w:color w:val="auto"/>
                <w:sz w:val="21"/>
                <w:highlight w:val="none"/>
              </w:rPr>
            </w:pPr>
          </w:p>
        </w:tc>
        <w:tc>
          <w:tcPr>
            <w:tcW w:w="1003" w:type="dxa"/>
            <w:noWrap w:val="0"/>
            <w:vAlign w:val="top"/>
          </w:tcPr>
          <w:p w14:paraId="4FDC14E9">
            <w:pPr>
              <w:rPr>
                <w:rFonts w:ascii="Arial"/>
                <w:color w:val="auto"/>
                <w:sz w:val="21"/>
                <w:highlight w:val="none"/>
              </w:rPr>
            </w:pPr>
          </w:p>
        </w:tc>
        <w:tc>
          <w:tcPr>
            <w:tcW w:w="1003" w:type="dxa"/>
            <w:noWrap w:val="0"/>
            <w:vAlign w:val="top"/>
          </w:tcPr>
          <w:p w14:paraId="0EC6A754">
            <w:pPr>
              <w:rPr>
                <w:rFonts w:ascii="Arial"/>
                <w:color w:val="auto"/>
                <w:sz w:val="21"/>
                <w:highlight w:val="none"/>
              </w:rPr>
            </w:pPr>
          </w:p>
        </w:tc>
        <w:tc>
          <w:tcPr>
            <w:tcW w:w="1001" w:type="dxa"/>
            <w:noWrap w:val="0"/>
            <w:vAlign w:val="top"/>
          </w:tcPr>
          <w:p w14:paraId="0EE738E7">
            <w:pPr>
              <w:rPr>
                <w:rFonts w:ascii="Arial"/>
                <w:color w:val="auto"/>
                <w:sz w:val="21"/>
                <w:highlight w:val="none"/>
              </w:rPr>
            </w:pPr>
          </w:p>
        </w:tc>
        <w:tc>
          <w:tcPr>
            <w:tcW w:w="999" w:type="dxa"/>
            <w:noWrap w:val="0"/>
            <w:vAlign w:val="top"/>
          </w:tcPr>
          <w:p w14:paraId="5666BB98">
            <w:pPr>
              <w:rPr>
                <w:rFonts w:ascii="Arial"/>
                <w:color w:val="auto"/>
                <w:sz w:val="21"/>
                <w:highlight w:val="none"/>
              </w:rPr>
            </w:pPr>
          </w:p>
        </w:tc>
        <w:tc>
          <w:tcPr>
            <w:tcW w:w="1124" w:type="dxa"/>
            <w:noWrap w:val="0"/>
            <w:vAlign w:val="top"/>
          </w:tcPr>
          <w:p w14:paraId="0918D1B9">
            <w:pPr>
              <w:rPr>
                <w:rFonts w:ascii="Arial"/>
                <w:color w:val="auto"/>
                <w:sz w:val="21"/>
                <w:highlight w:val="none"/>
              </w:rPr>
            </w:pPr>
          </w:p>
        </w:tc>
        <w:tc>
          <w:tcPr>
            <w:tcW w:w="1123" w:type="dxa"/>
            <w:noWrap w:val="0"/>
            <w:vAlign w:val="top"/>
          </w:tcPr>
          <w:p w14:paraId="31FD2656">
            <w:pPr>
              <w:rPr>
                <w:rFonts w:ascii="Arial"/>
                <w:color w:val="auto"/>
                <w:sz w:val="21"/>
                <w:highlight w:val="none"/>
              </w:rPr>
            </w:pPr>
          </w:p>
        </w:tc>
        <w:tc>
          <w:tcPr>
            <w:tcW w:w="1134" w:type="dxa"/>
            <w:tcBorders>
              <w:right w:val="single" w:color="000000" w:sz="6" w:space="0"/>
            </w:tcBorders>
            <w:noWrap w:val="0"/>
            <w:vAlign w:val="top"/>
          </w:tcPr>
          <w:p w14:paraId="1E1277C1">
            <w:pPr>
              <w:rPr>
                <w:rFonts w:ascii="Arial"/>
                <w:color w:val="auto"/>
                <w:sz w:val="21"/>
                <w:highlight w:val="none"/>
              </w:rPr>
            </w:pPr>
          </w:p>
        </w:tc>
      </w:tr>
      <w:tr w14:paraId="1CDE4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6" w:hRule="atLeast"/>
        </w:trPr>
        <w:tc>
          <w:tcPr>
            <w:tcW w:w="1621" w:type="dxa"/>
            <w:tcBorders>
              <w:left w:val="single" w:color="000000" w:sz="6" w:space="0"/>
              <w:bottom w:val="single" w:color="000000" w:sz="6" w:space="0"/>
            </w:tcBorders>
            <w:noWrap w:val="0"/>
            <w:vAlign w:val="top"/>
          </w:tcPr>
          <w:p w14:paraId="445AD05A">
            <w:pPr>
              <w:rPr>
                <w:rFonts w:ascii="Arial"/>
                <w:color w:val="auto"/>
                <w:sz w:val="21"/>
                <w:highlight w:val="none"/>
              </w:rPr>
            </w:pPr>
          </w:p>
        </w:tc>
        <w:tc>
          <w:tcPr>
            <w:tcW w:w="1003" w:type="dxa"/>
            <w:tcBorders>
              <w:bottom w:val="single" w:color="000000" w:sz="6" w:space="0"/>
            </w:tcBorders>
            <w:noWrap w:val="0"/>
            <w:vAlign w:val="top"/>
          </w:tcPr>
          <w:p w14:paraId="360E6BE2">
            <w:pPr>
              <w:rPr>
                <w:rFonts w:ascii="Arial"/>
                <w:color w:val="auto"/>
                <w:sz w:val="21"/>
                <w:highlight w:val="none"/>
              </w:rPr>
            </w:pPr>
          </w:p>
        </w:tc>
        <w:tc>
          <w:tcPr>
            <w:tcW w:w="1003" w:type="dxa"/>
            <w:tcBorders>
              <w:bottom w:val="single" w:color="000000" w:sz="6" w:space="0"/>
            </w:tcBorders>
            <w:noWrap w:val="0"/>
            <w:vAlign w:val="top"/>
          </w:tcPr>
          <w:p w14:paraId="63F89FE7">
            <w:pPr>
              <w:rPr>
                <w:rFonts w:ascii="Arial"/>
                <w:color w:val="auto"/>
                <w:sz w:val="21"/>
                <w:highlight w:val="none"/>
              </w:rPr>
            </w:pPr>
          </w:p>
        </w:tc>
        <w:tc>
          <w:tcPr>
            <w:tcW w:w="1001" w:type="dxa"/>
            <w:tcBorders>
              <w:bottom w:val="single" w:color="000000" w:sz="6" w:space="0"/>
            </w:tcBorders>
            <w:noWrap w:val="0"/>
            <w:vAlign w:val="top"/>
          </w:tcPr>
          <w:p w14:paraId="378A2608">
            <w:pPr>
              <w:rPr>
                <w:rFonts w:ascii="Arial"/>
                <w:color w:val="auto"/>
                <w:sz w:val="21"/>
                <w:highlight w:val="none"/>
              </w:rPr>
            </w:pPr>
          </w:p>
        </w:tc>
        <w:tc>
          <w:tcPr>
            <w:tcW w:w="999" w:type="dxa"/>
            <w:tcBorders>
              <w:bottom w:val="single" w:color="000000" w:sz="6" w:space="0"/>
            </w:tcBorders>
            <w:noWrap w:val="0"/>
            <w:vAlign w:val="top"/>
          </w:tcPr>
          <w:p w14:paraId="535FB9B0">
            <w:pPr>
              <w:rPr>
                <w:rFonts w:ascii="Arial"/>
                <w:color w:val="auto"/>
                <w:sz w:val="21"/>
                <w:highlight w:val="none"/>
              </w:rPr>
            </w:pPr>
          </w:p>
        </w:tc>
        <w:tc>
          <w:tcPr>
            <w:tcW w:w="1124" w:type="dxa"/>
            <w:tcBorders>
              <w:bottom w:val="single" w:color="000000" w:sz="6" w:space="0"/>
            </w:tcBorders>
            <w:noWrap w:val="0"/>
            <w:vAlign w:val="top"/>
          </w:tcPr>
          <w:p w14:paraId="4E5627CE">
            <w:pPr>
              <w:rPr>
                <w:rFonts w:ascii="Arial"/>
                <w:color w:val="auto"/>
                <w:sz w:val="21"/>
                <w:highlight w:val="none"/>
              </w:rPr>
            </w:pPr>
          </w:p>
        </w:tc>
        <w:tc>
          <w:tcPr>
            <w:tcW w:w="1123" w:type="dxa"/>
            <w:tcBorders>
              <w:bottom w:val="single" w:color="000000" w:sz="6" w:space="0"/>
            </w:tcBorders>
            <w:noWrap w:val="0"/>
            <w:vAlign w:val="top"/>
          </w:tcPr>
          <w:p w14:paraId="13FD0EA7">
            <w:pPr>
              <w:rPr>
                <w:rFonts w:ascii="Arial"/>
                <w:color w:val="auto"/>
                <w:sz w:val="21"/>
                <w:highlight w:val="none"/>
              </w:rPr>
            </w:pPr>
          </w:p>
        </w:tc>
        <w:tc>
          <w:tcPr>
            <w:tcW w:w="1134" w:type="dxa"/>
            <w:tcBorders>
              <w:bottom w:val="single" w:color="000000" w:sz="6" w:space="0"/>
              <w:right w:val="single" w:color="000000" w:sz="6" w:space="0"/>
            </w:tcBorders>
            <w:noWrap w:val="0"/>
            <w:vAlign w:val="top"/>
          </w:tcPr>
          <w:p w14:paraId="26C51A18">
            <w:pPr>
              <w:rPr>
                <w:rFonts w:ascii="Arial"/>
                <w:color w:val="auto"/>
                <w:sz w:val="21"/>
                <w:highlight w:val="none"/>
              </w:rPr>
            </w:pPr>
          </w:p>
        </w:tc>
      </w:tr>
    </w:tbl>
    <w:p w14:paraId="39D79CD0">
      <w:pPr>
        <w:pStyle w:val="8"/>
        <w:rPr>
          <w:color w:val="auto"/>
          <w:highlight w:val="none"/>
        </w:rPr>
      </w:pPr>
    </w:p>
    <w:p w14:paraId="2334C753">
      <w:pPr>
        <w:rPr>
          <w:color w:val="auto"/>
          <w:highlight w:val="none"/>
        </w:rPr>
        <w:sectPr>
          <w:footerReference r:id="rId122" w:type="default"/>
          <w:pgSz w:w="11905" w:h="16840"/>
          <w:pgMar w:top="400" w:right="1292" w:bottom="1255" w:left="1587" w:header="0" w:footer="1093" w:gutter="0"/>
          <w:pgNumType w:fmt="decimal"/>
          <w:cols w:space="720" w:num="1"/>
        </w:sectPr>
      </w:pPr>
    </w:p>
    <w:p w14:paraId="6094FDA9">
      <w:pPr>
        <w:pStyle w:val="8"/>
        <w:spacing w:line="247" w:lineRule="auto"/>
        <w:rPr>
          <w:color w:val="auto"/>
          <w:highlight w:val="none"/>
        </w:rPr>
      </w:pPr>
    </w:p>
    <w:p w14:paraId="24854599">
      <w:pPr>
        <w:pStyle w:val="8"/>
        <w:spacing w:line="248" w:lineRule="auto"/>
        <w:rPr>
          <w:color w:val="auto"/>
          <w:highlight w:val="none"/>
        </w:rPr>
      </w:pPr>
    </w:p>
    <w:p w14:paraId="44D943DC">
      <w:pPr>
        <w:pStyle w:val="8"/>
        <w:spacing w:line="248" w:lineRule="auto"/>
        <w:rPr>
          <w:color w:val="auto"/>
          <w:highlight w:val="none"/>
        </w:rPr>
      </w:pPr>
    </w:p>
    <w:p w14:paraId="07B8CEFF">
      <w:pPr>
        <w:pStyle w:val="8"/>
        <w:spacing w:line="248" w:lineRule="auto"/>
        <w:rPr>
          <w:color w:val="auto"/>
          <w:highlight w:val="none"/>
        </w:rPr>
      </w:pPr>
    </w:p>
    <w:p w14:paraId="44165CA0">
      <w:pPr>
        <w:spacing w:before="78" w:line="219" w:lineRule="auto"/>
        <w:ind w:left="14"/>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附件四：</w:t>
      </w:r>
    </w:p>
    <w:p w14:paraId="43C204AE">
      <w:pPr>
        <w:spacing w:before="181" w:line="220" w:lineRule="auto"/>
        <w:ind w:left="2340"/>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计划开工日期、完工日期和施工进度表</w:t>
      </w:r>
    </w:p>
    <w:p w14:paraId="320A399A">
      <w:pPr>
        <w:pStyle w:val="8"/>
        <w:spacing w:line="256" w:lineRule="auto"/>
        <w:rPr>
          <w:color w:val="auto"/>
          <w:highlight w:val="none"/>
        </w:rPr>
      </w:pPr>
    </w:p>
    <w:p w14:paraId="015A6AA7">
      <w:pPr>
        <w:pStyle w:val="8"/>
        <w:spacing w:line="257" w:lineRule="auto"/>
        <w:rPr>
          <w:color w:val="auto"/>
          <w:highlight w:val="none"/>
        </w:rPr>
      </w:pPr>
    </w:p>
    <w:p w14:paraId="0CD8B53B">
      <w:pPr>
        <w:keepNext w:val="0"/>
        <w:keepLines w:val="0"/>
        <w:pageBreakBefore w:val="0"/>
        <w:widowControl/>
        <w:numPr>
          <w:ilvl w:val="0"/>
          <w:numId w:val="4"/>
        </w:numPr>
        <w:kinsoku w:val="0"/>
        <w:wordWrap/>
        <w:overflowPunct/>
        <w:topLinePunct w:val="0"/>
        <w:autoSpaceDE w:val="0"/>
        <w:autoSpaceDN w:val="0"/>
        <w:bidi w:val="0"/>
        <w:adjustRightInd w:val="0"/>
        <w:snapToGrid w:val="0"/>
        <w:spacing w:before="78" w:line="360" w:lineRule="auto"/>
        <w:ind w:right="2" w:firstLine="494"/>
        <w:textAlignment w:val="baseline"/>
        <w:rPr>
          <w:rFonts w:ascii="宋体" w:hAnsi="宋体" w:eastAsia="宋体" w:cs="宋体"/>
          <w:color w:val="auto"/>
          <w:spacing w:val="-8"/>
          <w:sz w:val="24"/>
          <w:szCs w:val="24"/>
          <w:highlight w:val="none"/>
        </w:rPr>
      </w:pPr>
      <w:r>
        <w:rPr>
          <w:rFonts w:ascii="宋体" w:hAnsi="宋体" w:eastAsia="宋体" w:cs="宋体"/>
          <w:color w:val="auto"/>
          <w:spacing w:val="2"/>
          <w:sz w:val="24"/>
          <w:szCs w:val="24"/>
          <w:highlight w:val="none"/>
        </w:rPr>
        <w:t>投标人应递交施工进度表，说明按</w:t>
      </w:r>
      <w:r>
        <w:rPr>
          <w:rFonts w:ascii="宋体" w:hAnsi="宋体" w:eastAsia="宋体" w:cs="宋体"/>
          <w:color w:val="auto"/>
          <w:spacing w:val="1"/>
          <w:sz w:val="24"/>
          <w:szCs w:val="24"/>
          <w:highlight w:val="none"/>
        </w:rPr>
        <w:t>招标文件要求的计划工期进行施工的各个</w:t>
      </w:r>
      <w:r>
        <w:rPr>
          <w:rFonts w:ascii="宋体" w:hAnsi="宋体" w:eastAsia="宋体" w:cs="宋体"/>
          <w:color w:val="auto"/>
          <w:spacing w:val="-8"/>
          <w:sz w:val="24"/>
          <w:szCs w:val="24"/>
          <w:highlight w:val="none"/>
        </w:rPr>
        <w:t>关键日期。</w:t>
      </w:r>
    </w:p>
    <w:p w14:paraId="2C138807">
      <w:pPr>
        <w:keepNext w:val="0"/>
        <w:keepLines w:val="0"/>
        <w:pageBreakBefore w:val="0"/>
        <w:widowControl/>
        <w:numPr>
          <w:ilvl w:val="0"/>
          <w:numId w:val="4"/>
        </w:numPr>
        <w:kinsoku w:val="0"/>
        <w:wordWrap/>
        <w:overflowPunct/>
        <w:topLinePunct w:val="0"/>
        <w:autoSpaceDE w:val="0"/>
        <w:autoSpaceDN w:val="0"/>
        <w:bidi w:val="0"/>
        <w:adjustRightInd w:val="0"/>
        <w:snapToGrid w:val="0"/>
        <w:spacing w:before="78" w:line="360" w:lineRule="auto"/>
        <w:ind w:right="2" w:firstLine="494"/>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施工进度表可采用网络图（或横道图）表示。</w:t>
      </w:r>
    </w:p>
    <w:p w14:paraId="11A87E8B">
      <w:pPr>
        <w:spacing w:line="219" w:lineRule="auto"/>
        <w:rPr>
          <w:rFonts w:ascii="宋体" w:hAnsi="宋体" w:eastAsia="宋体" w:cs="宋体"/>
          <w:color w:val="auto"/>
          <w:sz w:val="24"/>
          <w:szCs w:val="24"/>
          <w:highlight w:val="none"/>
        </w:rPr>
        <w:sectPr>
          <w:footerReference r:id="rId123" w:type="default"/>
          <w:pgSz w:w="11905" w:h="16840"/>
          <w:pgMar w:top="400" w:right="1529" w:bottom="1255" w:left="1600" w:header="0" w:footer="1093" w:gutter="0"/>
          <w:pgNumType w:fmt="decimal"/>
          <w:cols w:space="720" w:num="1"/>
        </w:sectPr>
      </w:pPr>
    </w:p>
    <w:p w14:paraId="5F09B09C">
      <w:pPr>
        <w:pStyle w:val="8"/>
        <w:spacing w:line="247" w:lineRule="auto"/>
        <w:rPr>
          <w:color w:val="auto"/>
          <w:highlight w:val="none"/>
        </w:rPr>
      </w:pPr>
    </w:p>
    <w:p w14:paraId="672719BF">
      <w:pPr>
        <w:pStyle w:val="8"/>
        <w:spacing w:line="248" w:lineRule="auto"/>
        <w:rPr>
          <w:color w:val="auto"/>
          <w:highlight w:val="none"/>
        </w:rPr>
      </w:pPr>
    </w:p>
    <w:p w14:paraId="5D42D708">
      <w:pPr>
        <w:pStyle w:val="8"/>
        <w:spacing w:line="248" w:lineRule="auto"/>
        <w:rPr>
          <w:color w:val="auto"/>
          <w:highlight w:val="none"/>
        </w:rPr>
      </w:pPr>
    </w:p>
    <w:p w14:paraId="131F97D4">
      <w:pPr>
        <w:pStyle w:val="8"/>
        <w:spacing w:line="248" w:lineRule="auto"/>
        <w:rPr>
          <w:color w:val="auto"/>
          <w:highlight w:val="none"/>
        </w:rPr>
      </w:pPr>
    </w:p>
    <w:p w14:paraId="1AD358A4">
      <w:pPr>
        <w:spacing w:before="78" w:line="219" w:lineRule="auto"/>
        <w:ind w:left="15"/>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附件五：</w:t>
      </w:r>
    </w:p>
    <w:p w14:paraId="3A88DB73">
      <w:pPr>
        <w:spacing w:before="182" w:line="221" w:lineRule="auto"/>
        <w:ind w:left="3666"/>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施工总平面图</w:t>
      </w:r>
    </w:p>
    <w:p w14:paraId="18ED43F2">
      <w:pPr>
        <w:spacing w:before="180" w:line="360" w:lineRule="auto"/>
        <w:ind w:firstLine="480"/>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投标人应递交一份施工总平面图，绘出现场临时设施布置图及表并附</w:t>
      </w:r>
      <w:r>
        <w:rPr>
          <w:rFonts w:ascii="宋体" w:hAnsi="宋体" w:eastAsia="宋体" w:cs="宋体"/>
          <w:color w:val="auto"/>
          <w:spacing w:val="-2"/>
          <w:sz w:val="24"/>
          <w:szCs w:val="24"/>
          <w:highlight w:val="none"/>
        </w:rPr>
        <w:t>文字说明，</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说明临时设施、加工车间、现场办公、设备及仓储、供电、供水、卫生、生活、</w:t>
      </w:r>
      <w:r>
        <w:rPr>
          <w:rFonts w:ascii="宋体" w:hAnsi="宋体" w:eastAsia="宋体" w:cs="宋体"/>
          <w:color w:val="auto"/>
          <w:spacing w:val="-11"/>
          <w:sz w:val="24"/>
          <w:szCs w:val="24"/>
          <w:highlight w:val="none"/>
        </w:rPr>
        <w:t>道路、</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消防等设施的情况和布置。</w:t>
      </w:r>
    </w:p>
    <w:p w14:paraId="3964CB96">
      <w:pPr>
        <w:spacing w:line="360" w:lineRule="auto"/>
        <w:rPr>
          <w:rFonts w:ascii="宋体" w:hAnsi="宋体" w:eastAsia="宋体" w:cs="宋体"/>
          <w:color w:val="auto"/>
          <w:sz w:val="24"/>
          <w:szCs w:val="24"/>
          <w:highlight w:val="none"/>
        </w:rPr>
        <w:sectPr>
          <w:footerReference r:id="rId124" w:type="default"/>
          <w:pgSz w:w="11905" w:h="16840"/>
          <w:pgMar w:top="400" w:right="1462" w:bottom="1255" w:left="1599" w:header="0" w:footer="1093" w:gutter="0"/>
          <w:pgNumType w:fmt="decimal"/>
          <w:cols w:space="720" w:num="1"/>
        </w:sectPr>
      </w:pPr>
    </w:p>
    <w:p w14:paraId="65609F3F">
      <w:pPr>
        <w:pStyle w:val="8"/>
        <w:spacing w:line="247" w:lineRule="auto"/>
        <w:rPr>
          <w:color w:val="auto"/>
          <w:highlight w:val="none"/>
        </w:rPr>
      </w:pPr>
    </w:p>
    <w:p w14:paraId="21C9D39B">
      <w:pPr>
        <w:pStyle w:val="8"/>
        <w:spacing w:line="248" w:lineRule="auto"/>
        <w:rPr>
          <w:color w:val="auto"/>
          <w:highlight w:val="none"/>
        </w:rPr>
      </w:pPr>
    </w:p>
    <w:p w14:paraId="3B740A1C">
      <w:pPr>
        <w:pStyle w:val="8"/>
        <w:spacing w:line="248" w:lineRule="auto"/>
        <w:rPr>
          <w:color w:val="auto"/>
          <w:highlight w:val="none"/>
        </w:rPr>
      </w:pPr>
    </w:p>
    <w:p w14:paraId="41E4A2DB">
      <w:pPr>
        <w:pStyle w:val="8"/>
        <w:spacing w:line="248" w:lineRule="auto"/>
        <w:rPr>
          <w:color w:val="auto"/>
          <w:highlight w:val="none"/>
        </w:rPr>
      </w:pPr>
    </w:p>
    <w:p w14:paraId="2EBD9364">
      <w:pPr>
        <w:spacing w:before="78" w:line="219" w:lineRule="auto"/>
        <w:ind w:left="28"/>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附件六：</w:t>
      </w:r>
    </w:p>
    <w:p w14:paraId="015B88DA">
      <w:pPr>
        <w:spacing w:before="181" w:line="220" w:lineRule="auto"/>
        <w:ind w:left="3813"/>
        <w:rPr>
          <w:rFonts w:ascii="宋体" w:hAnsi="宋体" w:eastAsia="宋体" w:cs="宋体"/>
          <w:color w:val="auto"/>
          <w:sz w:val="24"/>
          <w:szCs w:val="24"/>
          <w:highlight w:val="none"/>
        </w:rPr>
      </w:pPr>
      <w:bookmarkStart w:id="211" w:name="bookmark604"/>
      <w:bookmarkEnd w:id="211"/>
      <w:r>
        <w:rPr>
          <w:rFonts w:ascii="宋体" w:hAnsi="宋体" w:eastAsia="宋体" w:cs="宋体"/>
          <w:b/>
          <w:bCs/>
          <w:color w:val="auto"/>
          <w:spacing w:val="-6"/>
          <w:sz w:val="24"/>
          <w:szCs w:val="24"/>
          <w:highlight w:val="none"/>
        </w:rPr>
        <w:t>临时用地表</w:t>
      </w:r>
    </w:p>
    <w:p w14:paraId="32E34623">
      <w:pPr>
        <w:spacing w:line="145" w:lineRule="exact"/>
        <w:rPr>
          <w:color w:val="auto"/>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3"/>
        <w:gridCol w:w="2210"/>
        <w:gridCol w:w="2359"/>
        <w:gridCol w:w="2040"/>
      </w:tblGrid>
      <w:tr w14:paraId="673C9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2293" w:type="dxa"/>
            <w:tcBorders>
              <w:top w:val="single" w:color="000000" w:sz="6" w:space="0"/>
              <w:left w:val="single" w:color="000000" w:sz="6" w:space="0"/>
            </w:tcBorders>
            <w:noWrap w:val="0"/>
            <w:vAlign w:val="top"/>
          </w:tcPr>
          <w:p w14:paraId="6ADBAE00">
            <w:pPr>
              <w:pStyle w:val="17"/>
              <w:spacing w:before="107" w:line="221" w:lineRule="auto"/>
              <w:ind w:left="730"/>
              <w:rPr>
                <w:color w:val="auto"/>
                <w:sz w:val="24"/>
                <w:szCs w:val="24"/>
                <w:highlight w:val="none"/>
              </w:rPr>
            </w:pPr>
            <w:r>
              <w:rPr>
                <w:color w:val="auto"/>
                <w:spacing w:val="-6"/>
                <w:sz w:val="24"/>
                <w:szCs w:val="24"/>
                <w:highlight w:val="none"/>
              </w:rPr>
              <w:t>用</w:t>
            </w:r>
            <w:r>
              <w:rPr>
                <w:color w:val="auto"/>
                <w:spacing w:val="3"/>
                <w:sz w:val="24"/>
                <w:szCs w:val="24"/>
                <w:highlight w:val="none"/>
              </w:rPr>
              <w:t xml:space="preserve">   </w:t>
            </w:r>
            <w:r>
              <w:rPr>
                <w:color w:val="auto"/>
                <w:spacing w:val="-6"/>
                <w:sz w:val="24"/>
                <w:szCs w:val="24"/>
                <w:highlight w:val="none"/>
              </w:rPr>
              <w:t>途</w:t>
            </w:r>
          </w:p>
        </w:tc>
        <w:tc>
          <w:tcPr>
            <w:tcW w:w="2210" w:type="dxa"/>
            <w:tcBorders>
              <w:top w:val="single" w:color="000000" w:sz="6" w:space="0"/>
            </w:tcBorders>
            <w:noWrap w:val="0"/>
            <w:vAlign w:val="top"/>
          </w:tcPr>
          <w:p w14:paraId="059C5FB7">
            <w:pPr>
              <w:pStyle w:val="17"/>
              <w:spacing w:before="107" w:line="220" w:lineRule="auto"/>
              <w:ind w:left="497"/>
              <w:rPr>
                <w:color w:val="auto"/>
                <w:sz w:val="24"/>
                <w:szCs w:val="24"/>
                <w:highlight w:val="none"/>
              </w:rPr>
            </w:pPr>
            <w:r>
              <w:rPr>
                <w:color w:val="auto"/>
                <w:spacing w:val="-1"/>
                <w:sz w:val="24"/>
                <w:szCs w:val="24"/>
                <w:highlight w:val="none"/>
              </w:rPr>
              <w:t>面积（</w:t>
            </w:r>
            <w:r>
              <w:rPr>
                <w:rFonts w:ascii="Times New Roman" w:hAnsi="Times New Roman" w:eastAsia="Times New Roman" w:cs="Times New Roman"/>
                <w:color w:val="auto"/>
                <w:spacing w:val="-1"/>
                <w:sz w:val="24"/>
                <w:szCs w:val="24"/>
                <w:highlight w:val="none"/>
              </w:rPr>
              <w:t>m</w:t>
            </w:r>
            <w:r>
              <w:rPr>
                <w:rFonts w:ascii="Times New Roman" w:hAnsi="Times New Roman" w:eastAsia="Times New Roman" w:cs="Times New Roman"/>
                <w:color w:val="auto"/>
                <w:spacing w:val="-1"/>
                <w:position w:val="8"/>
                <w:sz w:val="15"/>
                <w:szCs w:val="15"/>
                <w:highlight w:val="none"/>
              </w:rPr>
              <w:t>2</w:t>
            </w:r>
            <w:r>
              <w:rPr>
                <w:color w:val="auto"/>
                <w:spacing w:val="-1"/>
                <w:sz w:val="24"/>
                <w:szCs w:val="24"/>
                <w:highlight w:val="none"/>
              </w:rPr>
              <w:t>）</w:t>
            </w:r>
          </w:p>
        </w:tc>
        <w:tc>
          <w:tcPr>
            <w:tcW w:w="2359" w:type="dxa"/>
            <w:tcBorders>
              <w:top w:val="single" w:color="000000" w:sz="6" w:space="0"/>
            </w:tcBorders>
            <w:noWrap w:val="0"/>
            <w:vAlign w:val="top"/>
          </w:tcPr>
          <w:p w14:paraId="5944373A">
            <w:pPr>
              <w:pStyle w:val="17"/>
              <w:spacing w:before="107" w:line="221" w:lineRule="auto"/>
              <w:ind w:left="767"/>
              <w:rPr>
                <w:color w:val="auto"/>
                <w:sz w:val="24"/>
                <w:szCs w:val="24"/>
                <w:highlight w:val="none"/>
              </w:rPr>
            </w:pPr>
            <w:r>
              <w:rPr>
                <w:color w:val="auto"/>
                <w:spacing w:val="-5"/>
                <w:sz w:val="24"/>
                <w:szCs w:val="24"/>
                <w:highlight w:val="none"/>
              </w:rPr>
              <w:t>位</w:t>
            </w:r>
            <w:r>
              <w:rPr>
                <w:color w:val="auto"/>
                <w:spacing w:val="2"/>
                <w:sz w:val="24"/>
                <w:szCs w:val="24"/>
                <w:highlight w:val="none"/>
              </w:rPr>
              <w:t xml:space="preserve">   </w:t>
            </w:r>
            <w:r>
              <w:rPr>
                <w:color w:val="auto"/>
                <w:spacing w:val="-5"/>
                <w:sz w:val="24"/>
                <w:szCs w:val="24"/>
                <w:highlight w:val="none"/>
              </w:rPr>
              <w:t>置</w:t>
            </w:r>
          </w:p>
        </w:tc>
        <w:tc>
          <w:tcPr>
            <w:tcW w:w="2040" w:type="dxa"/>
            <w:tcBorders>
              <w:top w:val="single" w:color="000000" w:sz="6" w:space="0"/>
              <w:right w:val="single" w:color="000000" w:sz="6" w:space="0"/>
            </w:tcBorders>
            <w:noWrap w:val="0"/>
            <w:vAlign w:val="top"/>
          </w:tcPr>
          <w:p w14:paraId="7D8F73A5">
            <w:pPr>
              <w:pStyle w:val="17"/>
              <w:spacing w:before="107" w:line="220" w:lineRule="auto"/>
              <w:ind w:left="561"/>
              <w:rPr>
                <w:color w:val="auto"/>
                <w:sz w:val="24"/>
                <w:szCs w:val="24"/>
                <w:highlight w:val="none"/>
              </w:rPr>
            </w:pPr>
            <w:r>
              <w:rPr>
                <w:color w:val="auto"/>
                <w:spacing w:val="-5"/>
                <w:sz w:val="24"/>
                <w:szCs w:val="24"/>
                <w:highlight w:val="none"/>
              </w:rPr>
              <w:t>需用时间</w:t>
            </w:r>
          </w:p>
        </w:tc>
      </w:tr>
      <w:tr w14:paraId="35F46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011B213D">
            <w:pPr>
              <w:rPr>
                <w:rFonts w:ascii="Arial"/>
                <w:color w:val="auto"/>
                <w:sz w:val="21"/>
                <w:highlight w:val="none"/>
              </w:rPr>
            </w:pPr>
          </w:p>
        </w:tc>
        <w:tc>
          <w:tcPr>
            <w:tcW w:w="2210" w:type="dxa"/>
            <w:noWrap w:val="0"/>
            <w:vAlign w:val="top"/>
          </w:tcPr>
          <w:p w14:paraId="46756E59">
            <w:pPr>
              <w:rPr>
                <w:rFonts w:ascii="Arial"/>
                <w:color w:val="auto"/>
                <w:sz w:val="21"/>
                <w:highlight w:val="none"/>
              </w:rPr>
            </w:pPr>
          </w:p>
        </w:tc>
        <w:tc>
          <w:tcPr>
            <w:tcW w:w="2359" w:type="dxa"/>
            <w:noWrap w:val="0"/>
            <w:vAlign w:val="top"/>
          </w:tcPr>
          <w:p w14:paraId="07F5E2AD">
            <w:pPr>
              <w:rPr>
                <w:rFonts w:ascii="Arial"/>
                <w:color w:val="auto"/>
                <w:sz w:val="21"/>
                <w:highlight w:val="none"/>
              </w:rPr>
            </w:pPr>
          </w:p>
        </w:tc>
        <w:tc>
          <w:tcPr>
            <w:tcW w:w="2040" w:type="dxa"/>
            <w:tcBorders>
              <w:right w:val="single" w:color="000000" w:sz="6" w:space="0"/>
            </w:tcBorders>
            <w:noWrap w:val="0"/>
            <w:vAlign w:val="top"/>
          </w:tcPr>
          <w:p w14:paraId="21A19921">
            <w:pPr>
              <w:rPr>
                <w:rFonts w:ascii="Arial"/>
                <w:color w:val="auto"/>
                <w:sz w:val="21"/>
                <w:highlight w:val="none"/>
              </w:rPr>
            </w:pPr>
          </w:p>
        </w:tc>
      </w:tr>
      <w:tr w14:paraId="26A1B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2293" w:type="dxa"/>
            <w:tcBorders>
              <w:left w:val="single" w:color="000000" w:sz="6" w:space="0"/>
            </w:tcBorders>
            <w:noWrap w:val="0"/>
            <w:vAlign w:val="top"/>
          </w:tcPr>
          <w:p w14:paraId="4728804A">
            <w:pPr>
              <w:rPr>
                <w:rFonts w:ascii="Arial"/>
                <w:color w:val="auto"/>
                <w:sz w:val="21"/>
                <w:highlight w:val="none"/>
              </w:rPr>
            </w:pPr>
          </w:p>
        </w:tc>
        <w:tc>
          <w:tcPr>
            <w:tcW w:w="2210" w:type="dxa"/>
            <w:noWrap w:val="0"/>
            <w:vAlign w:val="top"/>
          </w:tcPr>
          <w:p w14:paraId="0922EF70">
            <w:pPr>
              <w:rPr>
                <w:rFonts w:ascii="Arial"/>
                <w:color w:val="auto"/>
                <w:sz w:val="21"/>
                <w:highlight w:val="none"/>
              </w:rPr>
            </w:pPr>
          </w:p>
        </w:tc>
        <w:tc>
          <w:tcPr>
            <w:tcW w:w="2359" w:type="dxa"/>
            <w:noWrap w:val="0"/>
            <w:vAlign w:val="top"/>
          </w:tcPr>
          <w:p w14:paraId="39B12866">
            <w:pPr>
              <w:rPr>
                <w:rFonts w:ascii="Arial"/>
                <w:color w:val="auto"/>
                <w:sz w:val="21"/>
                <w:highlight w:val="none"/>
              </w:rPr>
            </w:pPr>
          </w:p>
        </w:tc>
        <w:tc>
          <w:tcPr>
            <w:tcW w:w="2040" w:type="dxa"/>
            <w:tcBorders>
              <w:right w:val="single" w:color="000000" w:sz="6" w:space="0"/>
            </w:tcBorders>
            <w:noWrap w:val="0"/>
            <w:vAlign w:val="top"/>
          </w:tcPr>
          <w:p w14:paraId="21054777">
            <w:pPr>
              <w:rPr>
                <w:rFonts w:ascii="Arial"/>
                <w:color w:val="auto"/>
                <w:sz w:val="21"/>
                <w:highlight w:val="none"/>
              </w:rPr>
            </w:pPr>
          </w:p>
        </w:tc>
      </w:tr>
      <w:tr w14:paraId="2288D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noWrap w:val="0"/>
            <w:vAlign w:val="top"/>
          </w:tcPr>
          <w:p w14:paraId="145CC154">
            <w:pPr>
              <w:rPr>
                <w:rFonts w:ascii="Arial"/>
                <w:color w:val="auto"/>
                <w:sz w:val="21"/>
                <w:highlight w:val="none"/>
              </w:rPr>
            </w:pPr>
          </w:p>
        </w:tc>
        <w:tc>
          <w:tcPr>
            <w:tcW w:w="2210" w:type="dxa"/>
            <w:noWrap w:val="0"/>
            <w:vAlign w:val="top"/>
          </w:tcPr>
          <w:p w14:paraId="6606F163">
            <w:pPr>
              <w:rPr>
                <w:rFonts w:ascii="Arial"/>
                <w:color w:val="auto"/>
                <w:sz w:val="21"/>
                <w:highlight w:val="none"/>
              </w:rPr>
            </w:pPr>
          </w:p>
        </w:tc>
        <w:tc>
          <w:tcPr>
            <w:tcW w:w="2359" w:type="dxa"/>
            <w:noWrap w:val="0"/>
            <w:vAlign w:val="top"/>
          </w:tcPr>
          <w:p w14:paraId="185280E4">
            <w:pPr>
              <w:rPr>
                <w:rFonts w:ascii="Arial"/>
                <w:color w:val="auto"/>
                <w:sz w:val="21"/>
                <w:highlight w:val="none"/>
              </w:rPr>
            </w:pPr>
          </w:p>
        </w:tc>
        <w:tc>
          <w:tcPr>
            <w:tcW w:w="2040" w:type="dxa"/>
            <w:tcBorders>
              <w:right w:val="single" w:color="000000" w:sz="6" w:space="0"/>
            </w:tcBorders>
            <w:noWrap w:val="0"/>
            <w:vAlign w:val="top"/>
          </w:tcPr>
          <w:p w14:paraId="62C43581">
            <w:pPr>
              <w:rPr>
                <w:rFonts w:ascii="Arial"/>
                <w:color w:val="auto"/>
                <w:sz w:val="21"/>
                <w:highlight w:val="none"/>
              </w:rPr>
            </w:pPr>
          </w:p>
        </w:tc>
      </w:tr>
      <w:tr w14:paraId="206AA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73943475">
            <w:pPr>
              <w:rPr>
                <w:rFonts w:ascii="Arial"/>
                <w:color w:val="auto"/>
                <w:sz w:val="21"/>
                <w:highlight w:val="none"/>
              </w:rPr>
            </w:pPr>
          </w:p>
        </w:tc>
        <w:tc>
          <w:tcPr>
            <w:tcW w:w="2210" w:type="dxa"/>
            <w:noWrap w:val="0"/>
            <w:vAlign w:val="top"/>
          </w:tcPr>
          <w:p w14:paraId="4098B95B">
            <w:pPr>
              <w:rPr>
                <w:rFonts w:ascii="Arial"/>
                <w:color w:val="auto"/>
                <w:sz w:val="21"/>
                <w:highlight w:val="none"/>
              </w:rPr>
            </w:pPr>
          </w:p>
        </w:tc>
        <w:tc>
          <w:tcPr>
            <w:tcW w:w="2359" w:type="dxa"/>
            <w:noWrap w:val="0"/>
            <w:vAlign w:val="top"/>
          </w:tcPr>
          <w:p w14:paraId="2F7B69FD">
            <w:pPr>
              <w:rPr>
                <w:rFonts w:ascii="Arial"/>
                <w:color w:val="auto"/>
                <w:sz w:val="21"/>
                <w:highlight w:val="none"/>
              </w:rPr>
            </w:pPr>
          </w:p>
        </w:tc>
        <w:tc>
          <w:tcPr>
            <w:tcW w:w="2040" w:type="dxa"/>
            <w:tcBorders>
              <w:right w:val="single" w:color="000000" w:sz="6" w:space="0"/>
            </w:tcBorders>
            <w:noWrap w:val="0"/>
            <w:vAlign w:val="top"/>
          </w:tcPr>
          <w:p w14:paraId="1CBD9FA4">
            <w:pPr>
              <w:rPr>
                <w:rFonts w:ascii="Arial"/>
                <w:color w:val="auto"/>
                <w:sz w:val="21"/>
                <w:highlight w:val="none"/>
              </w:rPr>
            </w:pPr>
          </w:p>
        </w:tc>
      </w:tr>
      <w:tr w14:paraId="07F06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4B0F763E">
            <w:pPr>
              <w:rPr>
                <w:rFonts w:ascii="Arial"/>
                <w:color w:val="auto"/>
                <w:sz w:val="21"/>
                <w:highlight w:val="none"/>
              </w:rPr>
            </w:pPr>
          </w:p>
        </w:tc>
        <w:tc>
          <w:tcPr>
            <w:tcW w:w="2210" w:type="dxa"/>
            <w:noWrap w:val="0"/>
            <w:vAlign w:val="top"/>
          </w:tcPr>
          <w:p w14:paraId="1D0BA9E1">
            <w:pPr>
              <w:rPr>
                <w:rFonts w:ascii="Arial"/>
                <w:color w:val="auto"/>
                <w:sz w:val="21"/>
                <w:highlight w:val="none"/>
              </w:rPr>
            </w:pPr>
          </w:p>
        </w:tc>
        <w:tc>
          <w:tcPr>
            <w:tcW w:w="2359" w:type="dxa"/>
            <w:noWrap w:val="0"/>
            <w:vAlign w:val="top"/>
          </w:tcPr>
          <w:p w14:paraId="7673A2B0">
            <w:pPr>
              <w:rPr>
                <w:rFonts w:ascii="Arial"/>
                <w:color w:val="auto"/>
                <w:sz w:val="21"/>
                <w:highlight w:val="none"/>
              </w:rPr>
            </w:pPr>
          </w:p>
        </w:tc>
        <w:tc>
          <w:tcPr>
            <w:tcW w:w="2040" w:type="dxa"/>
            <w:tcBorders>
              <w:right w:val="single" w:color="000000" w:sz="6" w:space="0"/>
            </w:tcBorders>
            <w:noWrap w:val="0"/>
            <w:vAlign w:val="top"/>
          </w:tcPr>
          <w:p w14:paraId="305261BC">
            <w:pPr>
              <w:rPr>
                <w:rFonts w:ascii="Arial"/>
                <w:color w:val="auto"/>
                <w:sz w:val="21"/>
                <w:highlight w:val="none"/>
              </w:rPr>
            </w:pPr>
          </w:p>
        </w:tc>
      </w:tr>
      <w:tr w14:paraId="6500E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noWrap w:val="0"/>
            <w:vAlign w:val="top"/>
          </w:tcPr>
          <w:p w14:paraId="5DC40575">
            <w:pPr>
              <w:rPr>
                <w:rFonts w:ascii="Arial"/>
                <w:color w:val="auto"/>
                <w:sz w:val="21"/>
                <w:highlight w:val="none"/>
              </w:rPr>
            </w:pPr>
          </w:p>
        </w:tc>
        <w:tc>
          <w:tcPr>
            <w:tcW w:w="2210" w:type="dxa"/>
            <w:noWrap w:val="0"/>
            <w:vAlign w:val="top"/>
          </w:tcPr>
          <w:p w14:paraId="67416AC6">
            <w:pPr>
              <w:rPr>
                <w:rFonts w:ascii="Arial"/>
                <w:color w:val="auto"/>
                <w:sz w:val="21"/>
                <w:highlight w:val="none"/>
              </w:rPr>
            </w:pPr>
          </w:p>
        </w:tc>
        <w:tc>
          <w:tcPr>
            <w:tcW w:w="2359" w:type="dxa"/>
            <w:noWrap w:val="0"/>
            <w:vAlign w:val="top"/>
          </w:tcPr>
          <w:p w14:paraId="648F1F49">
            <w:pPr>
              <w:rPr>
                <w:rFonts w:ascii="Arial"/>
                <w:color w:val="auto"/>
                <w:sz w:val="21"/>
                <w:highlight w:val="none"/>
              </w:rPr>
            </w:pPr>
          </w:p>
        </w:tc>
        <w:tc>
          <w:tcPr>
            <w:tcW w:w="2040" w:type="dxa"/>
            <w:tcBorders>
              <w:right w:val="single" w:color="000000" w:sz="6" w:space="0"/>
            </w:tcBorders>
            <w:noWrap w:val="0"/>
            <w:vAlign w:val="top"/>
          </w:tcPr>
          <w:p w14:paraId="40A6EE87">
            <w:pPr>
              <w:rPr>
                <w:rFonts w:ascii="Arial"/>
                <w:color w:val="auto"/>
                <w:sz w:val="21"/>
                <w:highlight w:val="none"/>
              </w:rPr>
            </w:pPr>
          </w:p>
        </w:tc>
      </w:tr>
      <w:tr w14:paraId="600FC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49D65029">
            <w:pPr>
              <w:rPr>
                <w:rFonts w:ascii="Arial"/>
                <w:color w:val="auto"/>
                <w:sz w:val="21"/>
                <w:highlight w:val="none"/>
              </w:rPr>
            </w:pPr>
          </w:p>
        </w:tc>
        <w:tc>
          <w:tcPr>
            <w:tcW w:w="2210" w:type="dxa"/>
            <w:noWrap w:val="0"/>
            <w:vAlign w:val="top"/>
          </w:tcPr>
          <w:p w14:paraId="7B7009E7">
            <w:pPr>
              <w:rPr>
                <w:rFonts w:ascii="Arial"/>
                <w:color w:val="auto"/>
                <w:sz w:val="21"/>
                <w:highlight w:val="none"/>
              </w:rPr>
            </w:pPr>
          </w:p>
        </w:tc>
        <w:tc>
          <w:tcPr>
            <w:tcW w:w="2359" w:type="dxa"/>
            <w:noWrap w:val="0"/>
            <w:vAlign w:val="top"/>
          </w:tcPr>
          <w:p w14:paraId="7A76F6EB">
            <w:pPr>
              <w:rPr>
                <w:rFonts w:ascii="Arial"/>
                <w:color w:val="auto"/>
                <w:sz w:val="21"/>
                <w:highlight w:val="none"/>
              </w:rPr>
            </w:pPr>
          </w:p>
        </w:tc>
        <w:tc>
          <w:tcPr>
            <w:tcW w:w="2040" w:type="dxa"/>
            <w:tcBorders>
              <w:right w:val="single" w:color="000000" w:sz="6" w:space="0"/>
            </w:tcBorders>
            <w:noWrap w:val="0"/>
            <w:vAlign w:val="top"/>
          </w:tcPr>
          <w:p w14:paraId="1D32EC73">
            <w:pPr>
              <w:rPr>
                <w:rFonts w:ascii="Arial"/>
                <w:color w:val="auto"/>
                <w:sz w:val="21"/>
                <w:highlight w:val="none"/>
              </w:rPr>
            </w:pPr>
          </w:p>
        </w:tc>
      </w:tr>
      <w:tr w14:paraId="05314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0A6F902D">
            <w:pPr>
              <w:rPr>
                <w:rFonts w:ascii="Arial"/>
                <w:color w:val="auto"/>
                <w:sz w:val="21"/>
                <w:highlight w:val="none"/>
              </w:rPr>
            </w:pPr>
          </w:p>
        </w:tc>
        <w:tc>
          <w:tcPr>
            <w:tcW w:w="2210" w:type="dxa"/>
            <w:noWrap w:val="0"/>
            <w:vAlign w:val="top"/>
          </w:tcPr>
          <w:p w14:paraId="578F1A99">
            <w:pPr>
              <w:rPr>
                <w:rFonts w:ascii="Arial"/>
                <w:color w:val="auto"/>
                <w:sz w:val="21"/>
                <w:highlight w:val="none"/>
              </w:rPr>
            </w:pPr>
          </w:p>
        </w:tc>
        <w:tc>
          <w:tcPr>
            <w:tcW w:w="2359" w:type="dxa"/>
            <w:noWrap w:val="0"/>
            <w:vAlign w:val="top"/>
          </w:tcPr>
          <w:p w14:paraId="6A7054FF">
            <w:pPr>
              <w:rPr>
                <w:rFonts w:ascii="Arial"/>
                <w:color w:val="auto"/>
                <w:sz w:val="21"/>
                <w:highlight w:val="none"/>
              </w:rPr>
            </w:pPr>
          </w:p>
        </w:tc>
        <w:tc>
          <w:tcPr>
            <w:tcW w:w="2040" w:type="dxa"/>
            <w:tcBorders>
              <w:right w:val="single" w:color="000000" w:sz="6" w:space="0"/>
            </w:tcBorders>
            <w:noWrap w:val="0"/>
            <w:vAlign w:val="top"/>
          </w:tcPr>
          <w:p w14:paraId="4060444C">
            <w:pPr>
              <w:rPr>
                <w:rFonts w:ascii="Arial"/>
                <w:color w:val="auto"/>
                <w:sz w:val="21"/>
                <w:highlight w:val="none"/>
              </w:rPr>
            </w:pPr>
          </w:p>
        </w:tc>
      </w:tr>
      <w:tr w14:paraId="0A25F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noWrap w:val="0"/>
            <w:vAlign w:val="top"/>
          </w:tcPr>
          <w:p w14:paraId="5A73AB68">
            <w:pPr>
              <w:rPr>
                <w:rFonts w:ascii="Arial"/>
                <w:color w:val="auto"/>
                <w:sz w:val="21"/>
                <w:highlight w:val="none"/>
              </w:rPr>
            </w:pPr>
          </w:p>
        </w:tc>
        <w:tc>
          <w:tcPr>
            <w:tcW w:w="2210" w:type="dxa"/>
            <w:noWrap w:val="0"/>
            <w:vAlign w:val="top"/>
          </w:tcPr>
          <w:p w14:paraId="4BD20AE9">
            <w:pPr>
              <w:rPr>
                <w:rFonts w:ascii="Arial"/>
                <w:color w:val="auto"/>
                <w:sz w:val="21"/>
                <w:highlight w:val="none"/>
              </w:rPr>
            </w:pPr>
          </w:p>
        </w:tc>
        <w:tc>
          <w:tcPr>
            <w:tcW w:w="2359" w:type="dxa"/>
            <w:noWrap w:val="0"/>
            <w:vAlign w:val="top"/>
          </w:tcPr>
          <w:p w14:paraId="0199A3B7">
            <w:pPr>
              <w:rPr>
                <w:rFonts w:ascii="Arial"/>
                <w:color w:val="auto"/>
                <w:sz w:val="21"/>
                <w:highlight w:val="none"/>
              </w:rPr>
            </w:pPr>
          </w:p>
        </w:tc>
        <w:tc>
          <w:tcPr>
            <w:tcW w:w="2040" w:type="dxa"/>
            <w:tcBorders>
              <w:right w:val="single" w:color="000000" w:sz="6" w:space="0"/>
            </w:tcBorders>
            <w:noWrap w:val="0"/>
            <w:vAlign w:val="top"/>
          </w:tcPr>
          <w:p w14:paraId="5C7D0D5B">
            <w:pPr>
              <w:rPr>
                <w:rFonts w:ascii="Arial"/>
                <w:color w:val="auto"/>
                <w:sz w:val="21"/>
                <w:highlight w:val="none"/>
              </w:rPr>
            </w:pPr>
          </w:p>
        </w:tc>
      </w:tr>
      <w:tr w14:paraId="57697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4454D252">
            <w:pPr>
              <w:rPr>
                <w:rFonts w:ascii="Arial"/>
                <w:color w:val="auto"/>
                <w:sz w:val="21"/>
                <w:highlight w:val="none"/>
              </w:rPr>
            </w:pPr>
          </w:p>
        </w:tc>
        <w:tc>
          <w:tcPr>
            <w:tcW w:w="2210" w:type="dxa"/>
            <w:noWrap w:val="0"/>
            <w:vAlign w:val="top"/>
          </w:tcPr>
          <w:p w14:paraId="479468F5">
            <w:pPr>
              <w:rPr>
                <w:rFonts w:ascii="Arial"/>
                <w:color w:val="auto"/>
                <w:sz w:val="21"/>
                <w:highlight w:val="none"/>
              </w:rPr>
            </w:pPr>
          </w:p>
        </w:tc>
        <w:tc>
          <w:tcPr>
            <w:tcW w:w="2359" w:type="dxa"/>
            <w:noWrap w:val="0"/>
            <w:vAlign w:val="top"/>
          </w:tcPr>
          <w:p w14:paraId="6125C0D9">
            <w:pPr>
              <w:rPr>
                <w:rFonts w:ascii="Arial"/>
                <w:color w:val="auto"/>
                <w:sz w:val="21"/>
                <w:highlight w:val="none"/>
              </w:rPr>
            </w:pPr>
          </w:p>
        </w:tc>
        <w:tc>
          <w:tcPr>
            <w:tcW w:w="2040" w:type="dxa"/>
            <w:tcBorders>
              <w:right w:val="single" w:color="000000" w:sz="6" w:space="0"/>
            </w:tcBorders>
            <w:noWrap w:val="0"/>
            <w:vAlign w:val="top"/>
          </w:tcPr>
          <w:p w14:paraId="5990E98A">
            <w:pPr>
              <w:rPr>
                <w:rFonts w:ascii="Arial"/>
                <w:color w:val="auto"/>
                <w:sz w:val="21"/>
                <w:highlight w:val="none"/>
              </w:rPr>
            </w:pPr>
          </w:p>
        </w:tc>
      </w:tr>
      <w:tr w14:paraId="2E638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103604C9">
            <w:pPr>
              <w:rPr>
                <w:rFonts w:ascii="Arial"/>
                <w:color w:val="auto"/>
                <w:sz w:val="21"/>
                <w:highlight w:val="none"/>
              </w:rPr>
            </w:pPr>
          </w:p>
        </w:tc>
        <w:tc>
          <w:tcPr>
            <w:tcW w:w="2210" w:type="dxa"/>
            <w:noWrap w:val="0"/>
            <w:vAlign w:val="top"/>
          </w:tcPr>
          <w:p w14:paraId="7957D1BD">
            <w:pPr>
              <w:rPr>
                <w:rFonts w:ascii="Arial"/>
                <w:color w:val="auto"/>
                <w:sz w:val="21"/>
                <w:highlight w:val="none"/>
              </w:rPr>
            </w:pPr>
          </w:p>
        </w:tc>
        <w:tc>
          <w:tcPr>
            <w:tcW w:w="2359" w:type="dxa"/>
            <w:noWrap w:val="0"/>
            <w:vAlign w:val="top"/>
          </w:tcPr>
          <w:p w14:paraId="336DF51D">
            <w:pPr>
              <w:rPr>
                <w:rFonts w:ascii="Arial"/>
                <w:color w:val="auto"/>
                <w:sz w:val="21"/>
                <w:highlight w:val="none"/>
              </w:rPr>
            </w:pPr>
          </w:p>
        </w:tc>
        <w:tc>
          <w:tcPr>
            <w:tcW w:w="2040" w:type="dxa"/>
            <w:tcBorders>
              <w:right w:val="single" w:color="000000" w:sz="6" w:space="0"/>
            </w:tcBorders>
            <w:noWrap w:val="0"/>
            <w:vAlign w:val="top"/>
          </w:tcPr>
          <w:p w14:paraId="138DC4F0">
            <w:pPr>
              <w:rPr>
                <w:rFonts w:ascii="Arial"/>
                <w:color w:val="auto"/>
                <w:sz w:val="21"/>
                <w:highlight w:val="none"/>
              </w:rPr>
            </w:pPr>
          </w:p>
        </w:tc>
      </w:tr>
      <w:tr w14:paraId="757AD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noWrap w:val="0"/>
            <w:vAlign w:val="top"/>
          </w:tcPr>
          <w:p w14:paraId="125CC0C7">
            <w:pPr>
              <w:rPr>
                <w:rFonts w:ascii="Arial"/>
                <w:color w:val="auto"/>
                <w:sz w:val="21"/>
                <w:highlight w:val="none"/>
              </w:rPr>
            </w:pPr>
          </w:p>
        </w:tc>
        <w:tc>
          <w:tcPr>
            <w:tcW w:w="2210" w:type="dxa"/>
            <w:noWrap w:val="0"/>
            <w:vAlign w:val="top"/>
          </w:tcPr>
          <w:p w14:paraId="37D9A0D6">
            <w:pPr>
              <w:rPr>
                <w:rFonts w:ascii="Arial"/>
                <w:color w:val="auto"/>
                <w:sz w:val="21"/>
                <w:highlight w:val="none"/>
              </w:rPr>
            </w:pPr>
          </w:p>
        </w:tc>
        <w:tc>
          <w:tcPr>
            <w:tcW w:w="2359" w:type="dxa"/>
            <w:noWrap w:val="0"/>
            <w:vAlign w:val="top"/>
          </w:tcPr>
          <w:p w14:paraId="52537983">
            <w:pPr>
              <w:rPr>
                <w:rFonts w:ascii="Arial"/>
                <w:color w:val="auto"/>
                <w:sz w:val="21"/>
                <w:highlight w:val="none"/>
              </w:rPr>
            </w:pPr>
          </w:p>
        </w:tc>
        <w:tc>
          <w:tcPr>
            <w:tcW w:w="2040" w:type="dxa"/>
            <w:tcBorders>
              <w:right w:val="single" w:color="000000" w:sz="6" w:space="0"/>
            </w:tcBorders>
            <w:noWrap w:val="0"/>
            <w:vAlign w:val="top"/>
          </w:tcPr>
          <w:p w14:paraId="2CD0C8EE">
            <w:pPr>
              <w:rPr>
                <w:rFonts w:ascii="Arial"/>
                <w:color w:val="auto"/>
                <w:sz w:val="21"/>
                <w:highlight w:val="none"/>
              </w:rPr>
            </w:pPr>
          </w:p>
        </w:tc>
      </w:tr>
      <w:tr w14:paraId="292E6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6273F4DF">
            <w:pPr>
              <w:rPr>
                <w:rFonts w:ascii="Arial"/>
                <w:color w:val="auto"/>
                <w:sz w:val="21"/>
                <w:highlight w:val="none"/>
              </w:rPr>
            </w:pPr>
          </w:p>
        </w:tc>
        <w:tc>
          <w:tcPr>
            <w:tcW w:w="2210" w:type="dxa"/>
            <w:noWrap w:val="0"/>
            <w:vAlign w:val="top"/>
          </w:tcPr>
          <w:p w14:paraId="5A4FE8C2">
            <w:pPr>
              <w:rPr>
                <w:rFonts w:ascii="Arial"/>
                <w:color w:val="auto"/>
                <w:sz w:val="21"/>
                <w:highlight w:val="none"/>
              </w:rPr>
            </w:pPr>
          </w:p>
        </w:tc>
        <w:tc>
          <w:tcPr>
            <w:tcW w:w="2359" w:type="dxa"/>
            <w:noWrap w:val="0"/>
            <w:vAlign w:val="top"/>
          </w:tcPr>
          <w:p w14:paraId="715BB3A5">
            <w:pPr>
              <w:rPr>
                <w:rFonts w:ascii="Arial"/>
                <w:color w:val="auto"/>
                <w:sz w:val="21"/>
                <w:highlight w:val="none"/>
              </w:rPr>
            </w:pPr>
          </w:p>
        </w:tc>
        <w:tc>
          <w:tcPr>
            <w:tcW w:w="2040" w:type="dxa"/>
            <w:tcBorders>
              <w:right w:val="single" w:color="000000" w:sz="6" w:space="0"/>
            </w:tcBorders>
            <w:noWrap w:val="0"/>
            <w:vAlign w:val="top"/>
          </w:tcPr>
          <w:p w14:paraId="429F5FAF">
            <w:pPr>
              <w:rPr>
                <w:rFonts w:ascii="Arial"/>
                <w:color w:val="auto"/>
                <w:sz w:val="21"/>
                <w:highlight w:val="none"/>
              </w:rPr>
            </w:pPr>
          </w:p>
        </w:tc>
      </w:tr>
      <w:tr w14:paraId="4D50E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249486D7">
            <w:pPr>
              <w:rPr>
                <w:rFonts w:ascii="Arial"/>
                <w:color w:val="auto"/>
                <w:sz w:val="21"/>
                <w:highlight w:val="none"/>
              </w:rPr>
            </w:pPr>
          </w:p>
        </w:tc>
        <w:tc>
          <w:tcPr>
            <w:tcW w:w="2210" w:type="dxa"/>
            <w:noWrap w:val="0"/>
            <w:vAlign w:val="top"/>
          </w:tcPr>
          <w:p w14:paraId="6568A6F5">
            <w:pPr>
              <w:rPr>
                <w:rFonts w:ascii="Arial"/>
                <w:color w:val="auto"/>
                <w:sz w:val="21"/>
                <w:highlight w:val="none"/>
              </w:rPr>
            </w:pPr>
          </w:p>
        </w:tc>
        <w:tc>
          <w:tcPr>
            <w:tcW w:w="2359" w:type="dxa"/>
            <w:noWrap w:val="0"/>
            <w:vAlign w:val="top"/>
          </w:tcPr>
          <w:p w14:paraId="41B5D9C2">
            <w:pPr>
              <w:rPr>
                <w:rFonts w:ascii="Arial"/>
                <w:color w:val="auto"/>
                <w:sz w:val="21"/>
                <w:highlight w:val="none"/>
              </w:rPr>
            </w:pPr>
          </w:p>
        </w:tc>
        <w:tc>
          <w:tcPr>
            <w:tcW w:w="2040" w:type="dxa"/>
            <w:tcBorders>
              <w:right w:val="single" w:color="000000" w:sz="6" w:space="0"/>
            </w:tcBorders>
            <w:noWrap w:val="0"/>
            <w:vAlign w:val="top"/>
          </w:tcPr>
          <w:p w14:paraId="0B57C8BA">
            <w:pPr>
              <w:rPr>
                <w:rFonts w:ascii="Arial"/>
                <w:color w:val="auto"/>
                <w:sz w:val="21"/>
                <w:highlight w:val="none"/>
              </w:rPr>
            </w:pPr>
          </w:p>
        </w:tc>
      </w:tr>
      <w:tr w14:paraId="4032B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noWrap w:val="0"/>
            <w:vAlign w:val="top"/>
          </w:tcPr>
          <w:p w14:paraId="5BB6F805">
            <w:pPr>
              <w:rPr>
                <w:rFonts w:ascii="Arial"/>
                <w:color w:val="auto"/>
                <w:sz w:val="21"/>
                <w:highlight w:val="none"/>
              </w:rPr>
            </w:pPr>
          </w:p>
        </w:tc>
        <w:tc>
          <w:tcPr>
            <w:tcW w:w="2210" w:type="dxa"/>
            <w:noWrap w:val="0"/>
            <w:vAlign w:val="top"/>
          </w:tcPr>
          <w:p w14:paraId="09749176">
            <w:pPr>
              <w:rPr>
                <w:rFonts w:ascii="Arial"/>
                <w:color w:val="auto"/>
                <w:sz w:val="21"/>
                <w:highlight w:val="none"/>
              </w:rPr>
            </w:pPr>
          </w:p>
        </w:tc>
        <w:tc>
          <w:tcPr>
            <w:tcW w:w="2359" w:type="dxa"/>
            <w:noWrap w:val="0"/>
            <w:vAlign w:val="top"/>
          </w:tcPr>
          <w:p w14:paraId="204C4B11">
            <w:pPr>
              <w:rPr>
                <w:rFonts w:ascii="Arial"/>
                <w:color w:val="auto"/>
                <w:sz w:val="21"/>
                <w:highlight w:val="none"/>
              </w:rPr>
            </w:pPr>
          </w:p>
        </w:tc>
        <w:tc>
          <w:tcPr>
            <w:tcW w:w="2040" w:type="dxa"/>
            <w:tcBorders>
              <w:right w:val="single" w:color="000000" w:sz="6" w:space="0"/>
            </w:tcBorders>
            <w:noWrap w:val="0"/>
            <w:vAlign w:val="top"/>
          </w:tcPr>
          <w:p w14:paraId="64A85EFB">
            <w:pPr>
              <w:rPr>
                <w:rFonts w:ascii="Arial"/>
                <w:color w:val="auto"/>
                <w:sz w:val="21"/>
                <w:highlight w:val="none"/>
              </w:rPr>
            </w:pPr>
          </w:p>
        </w:tc>
      </w:tr>
      <w:tr w14:paraId="382C8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3311914C">
            <w:pPr>
              <w:rPr>
                <w:rFonts w:ascii="Arial"/>
                <w:color w:val="auto"/>
                <w:sz w:val="21"/>
                <w:highlight w:val="none"/>
              </w:rPr>
            </w:pPr>
          </w:p>
        </w:tc>
        <w:tc>
          <w:tcPr>
            <w:tcW w:w="2210" w:type="dxa"/>
            <w:noWrap w:val="0"/>
            <w:vAlign w:val="top"/>
          </w:tcPr>
          <w:p w14:paraId="66057431">
            <w:pPr>
              <w:rPr>
                <w:rFonts w:ascii="Arial"/>
                <w:color w:val="auto"/>
                <w:sz w:val="21"/>
                <w:highlight w:val="none"/>
              </w:rPr>
            </w:pPr>
          </w:p>
        </w:tc>
        <w:tc>
          <w:tcPr>
            <w:tcW w:w="2359" w:type="dxa"/>
            <w:noWrap w:val="0"/>
            <w:vAlign w:val="top"/>
          </w:tcPr>
          <w:p w14:paraId="652463BC">
            <w:pPr>
              <w:rPr>
                <w:rFonts w:ascii="Arial"/>
                <w:color w:val="auto"/>
                <w:sz w:val="21"/>
                <w:highlight w:val="none"/>
              </w:rPr>
            </w:pPr>
          </w:p>
        </w:tc>
        <w:tc>
          <w:tcPr>
            <w:tcW w:w="2040" w:type="dxa"/>
            <w:tcBorders>
              <w:right w:val="single" w:color="000000" w:sz="6" w:space="0"/>
            </w:tcBorders>
            <w:noWrap w:val="0"/>
            <w:vAlign w:val="top"/>
          </w:tcPr>
          <w:p w14:paraId="36C628A7">
            <w:pPr>
              <w:rPr>
                <w:rFonts w:ascii="Arial"/>
                <w:color w:val="auto"/>
                <w:sz w:val="21"/>
                <w:highlight w:val="none"/>
              </w:rPr>
            </w:pPr>
          </w:p>
        </w:tc>
      </w:tr>
      <w:tr w14:paraId="63674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noWrap w:val="0"/>
            <w:vAlign w:val="top"/>
          </w:tcPr>
          <w:p w14:paraId="412B6921">
            <w:pPr>
              <w:rPr>
                <w:rFonts w:ascii="Arial"/>
                <w:color w:val="auto"/>
                <w:sz w:val="21"/>
                <w:highlight w:val="none"/>
              </w:rPr>
            </w:pPr>
          </w:p>
        </w:tc>
        <w:tc>
          <w:tcPr>
            <w:tcW w:w="2210" w:type="dxa"/>
            <w:noWrap w:val="0"/>
            <w:vAlign w:val="top"/>
          </w:tcPr>
          <w:p w14:paraId="0B494AEE">
            <w:pPr>
              <w:rPr>
                <w:rFonts w:ascii="Arial"/>
                <w:color w:val="auto"/>
                <w:sz w:val="21"/>
                <w:highlight w:val="none"/>
              </w:rPr>
            </w:pPr>
          </w:p>
        </w:tc>
        <w:tc>
          <w:tcPr>
            <w:tcW w:w="2359" w:type="dxa"/>
            <w:noWrap w:val="0"/>
            <w:vAlign w:val="top"/>
          </w:tcPr>
          <w:p w14:paraId="4C68CF23">
            <w:pPr>
              <w:rPr>
                <w:rFonts w:ascii="Arial"/>
                <w:color w:val="auto"/>
                <w:sz w:val="21"/>
                <w:highlight w:val="none"/>
              </w:rPr>
            </w:pPr>
          </w:p>
        </w:tc>
        <w:tc>
          <w:tcPr>
            <w:tcW w:w="2040" w:type="dxa"/>
            <w:tcBorders>
              <w:right w:val="single" w:color="000000" w:sz="6" w:space="0"/>
            </w:tcBorders>
            <w:noWrap w:val="0"/>
            <w:vAlign w:val="top"/>
          </w:tcPr>
          <w:p w14:paraId="64DBCACA">
            <w:pPr>
              <w:rPr>
                <w:rFonts w:ascii="Arial"/>
                <w:color w:val="auto"/>
                <w:sz w:val="21"/>
                <w:highlight w:val="none"/>
              </w:rPr>
            </w:pPr>
          </w:p>
        </w:tc>
      </w:tr>
      <w:tr w14:paraId="48BA5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293" w:type="dxa"/>
            <w:tcBorders>
              <w:left w:val="single" w:color="000000" w:sz="6" w:space="0"/>
            </w:tcBorders>
            <w:noWrap w:val="0"/>
            <w:vAlign w:val="top"/>
          </w:tcPr>
          <w:p w14:paraId="3E060911">
            <w:pPr>
              <w:rPr>
                <w:rFonts w:ascii="Arial"/>
                <w:color w:val="auto"/>
                <w:sz w:val="21"/>
                <w:highlight w:val="none"/>
              </w:rPr>
            </w:pPr>
          </w:p>
        </w:tc>
        <w:tc>
          <w:tcPr>
            <w:tcW w:w="2210" w:type="dxa"/>
            <w:noWrap w:val="0"/>
            <w:vAlign w:val="top"/>
          </w:tcPr>
          <w:p w14:paraId="777DD623">
            <w:pPr>
              <w:rPr>
                <w:rFonts w:ascii="Arial"/>
                <w:color w:val="auto"/>
                <w:sz w:val="21"/>
                <w:highlight w:val="none"/>
              </w:rPr>
            </w:pPr>
          </w:p>
        </w:tc>
        <w:tc>
          <w:tcPr>
            <w:tcW w:w="2359" w:type="dxa"/>
            <w:noWrap w:val="0"/>
            <w:vAlign w:val="top"/>
          </w:tcPr>
          <w:p w14:paraId="6AE05D77">
            <w:pPr>
              <w:rPr>
                <w:rFonts w:ascii="Arial"/>
                <w:color w:val="auto"/>
                <w:sz w:val="21"/>
                <w:highlight w:val="none"/>
              </w:rPr>
            </w:pPr>
          </w:p>
        </w:tc>
        <w:tc>
          <w:tcPr>
            <w:tcW w:w="2040" w:type="dxa"/>
            <w:tcBorders>
              <w:right w:val="single" w:color="000000" w:sz="6" w:space="0"/>
            </w:tcBorders>
            <w:noWrap w:val="0"/>
            <w:vAlign w:val="top"/>
          </w:tcPr>
          <w:p w14:paraId="5F4698F1">
            <w:pPr>
              <w:rPr>
                <w:rFonts w:ascii="Arial"/>
                <w:color w:val="auto"/>
                <w:sz w:val="21"/>
                <w:highlight w:val="none"/>
              </w:rPr>
            </w:pPr>
          </w:p>
        </w:tc>
      </w:tr>
      <w:tr w14:paraId="67E1A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293" w:type="dxa"/>
            <w:tcBorders>
              <w:left w:val="single" w:color="000000" w:sz="6" w:space="0"/>
              <w:bottom w:val="single" w:color="000000" w:sz="6" w:space="0"/>
            </w:tcBorders>
            <w:noWrap w:val="0"/>
            <w:vAlign w:val="top"/>
          </w:tcPr>
          <w:p w14:paraId="02A8B14F">
            <w:pPr>
              <w:rPr>
                <w:rFonts w:ascii="Arial"/>
                <w:color w:val="auto"/>
                <w:sz w:val="21"/>
                <w:highlight w:val="none"/>
              </w:rPr>
            </w:pPr>
          </w:p>
        </w:tc>
        <w:tc>
          <w:tcPr>
            <w:tcW w:w="2210" w:type="dxa"/>
            <w:tcBorders>
              <w:bottom w:val="single" w:color="000000" w:sz="6" w:space="0"/>
            </w:tcBorders>
            <w:noWrap w:val="0"/>
            <w:vAlign w:val="top"/>
          </w:tcPr>
          <w:p w14:paraId="7A5BAFFC">
            <w:pPr>
              <w:rPr>
                <w:rFonts w:ascii="Arial"/>
                <w:color w:val="auto"/>
                <w:sz w:val="21"/>
                <w:highlight w:val="none"/>
              </w:rPr>
            </w:pPr>
          </w:p>
        </w:tc>
        <w:tc>
          <w:tcPr>
            <w:tcW w:w="2359" w:type="dxa"/>
            <w:tcBorders>
              <w:bottom w:val="single" w:color="000000" w:sz="6" w:space="0"/>
            </w:tcBorders>
            <w:noWrap w:val="0"/>
            <w:vAlign w:val="top"/>
          </w:tcPr>
          <w:p w14:paraId="7A528D90">
            <w:pPr>
              <w:rPr>
                <w:rFonts w:ascii="Arial"/>
                <w:color w:val="auto"/>
                <w:sz w:val="21"/>
                <w:highlight w:val="none"/>
              </w:rPr>
            </w:pPr>
          </w:p>
        </w:tc>
        <w:tc>
          <w:tcPr>
            <w:tcW w:w="2040" w:type="dxa"/>
            <w:tcBorders>
              <w:bottom w:val="single" w:color="000000" w:sz="6" w:space="0"/>
              <w:right w:val="single" w:color="000000" w:sz="6" w:space="0"/>
            </w:tcBorders>
            <w:noWrap w:val="0"/>
            <w:vAlign w:val="top"/>
          </w:tcPr>
          <w:p w14:paraId="1F19EF29">
            <w:pPr>
              <w:rPr>
                <w:rFonts w:ascii="Arial"/>
                <w:color w:val="auto"/>
                <w:sz w:val="21"/>
                <w:highlight w:val="none"/>
              </w:rPr>
            </w:pPr>
          </w:p>
        </w:tc>
      </w:tr>
    </w:tbl>
    <w:p w14:paraId="502A00CF">
      <w:pPr>
        <w:pStyle w:val="8"/>
        <w:rPr>
          <w:color w:val="auto"/>
          <w:highlight w:val="none"/>
        </w:rPr>
      </w:pPr>
    </w:p>
    <w:p w14:paraId="6F8A9E56">
      <w:pPr>
        <w:rPr>
          <w:color w:val="auto"/>
          <w:highlight w:val="none"/>
        </w:rPr>
        <w:sectPr>
          <w:footerReference r:id="rId125" w:type="default"/>
          <w:pgSz w:w="11905" w:h="16840"/>
          <w:pgMar w:top="400" w:right="1399" w:bottom="1255" w:left="1587" w:header="0" w:footer="1093" w:gutter="0"/>
          <w:pgNumType w:fmt="decimal"/>
          <w:cols w:space="720" w:num="1"/>
        </w:sectPr>
      </w:pPr>
    </w:p>
    <w:p w14:paraId="0F490070">
      <w:pPr>
        <w:pStyle w:val="8"/>
        <w:spacing w:line="247" w:lineRule="auto"/>
        <w:rPr>
          <w:color w:val="auto"/>
          <w:highlight w:val="none"/>
        </w:rPr>
      </w:pPr>
    </w:p>
    <w:p w14:paraId="29FDFFD0">
      <w:pPr>
        <w:pStyle w:val="8"/>
        <w:spacing w:line="247" w:lineRule="auto"/>
        <w:rPr>
          <w:color w:val="auto"/>
          <w:highlight w:val="none"/>
        </w:rPr>
      </w:pPr>
    </w:p>
    <w:p w14:paraId="0EFB0E30">
      <w:pPr>
        <w:pStyle w:val="8"/>
        <w:spacing w:line="247" w:lineRule="auto"/>
        <w:rPr>
          <w:color w:val="auto"/>
          <w:highlight w:val="none"/>
        </w:rPr>
      </w:pPr>
    </w:p>
    <w:p w14:paraId="6BE4D7F2">
      <w:pPr>
        <w:pStyle w:val="8"/>
        <w:spacing w:line="248" w:lineRule="auto"/>
        <w:rPr>
          <w:color w:val="auto"/>
          <w:highlight w:val="none"/>
        </w:rPr>
      </w:pPr>
    </w:p>
    <w:p w14:paraId="1F987F1D">
      <w:pPr>
        <w:spacing w:before="88" w:line="225" w:lineRule="auto"/>
        <w:ind w:left="3278"/>
        <w:outlineLvl w:val="0"/>
        <w:rPr>
          <w:rFonts w:ascii="宋体" w:hAnsi="宋体" w:eastAsia="宋体" w:cs="宋体"/>
          <w:color w:val="auto"/>
          <w:sz w:val="27"/>
          <w:szCs w:val="27"/>
          <w:highlight w:val="none"/>
        </w:rPr>
      </w:pPr>
      <w:bookmarkStart w:id="212" w:name="bookmark359"/>
      <w:bookmarkEnd w:id="212"/>
      <w:bookmarkStart w:id="213" w:name="_Toc14024"/>
      <w:r>
        <w:rPr>
          <w:rFonts w:ascii="宋体" w:hAnsi="宋体" w:eastAsia="宋体" w:cs="宋体"/>
          <w:b/>
          <w:bCs/>
          <w:color w:val="auto"/>
          <w:spacing w:val="6"/>
          <w:sz w:val="27"/>
          <w:szCs w:val="27"/>
          <w:highlight w:val="none"/>
        </w:rPr>
        <w:t>七、项目管理机构</w:t>
      </w:r>
      <w:bookmarkEnd w:id="213"/>
    </w:p>
    <w:p w14:paraId="7C3A10BA">
      <w:pPr>
        <w:pStyle w:val="8"/>
        <w:spacing w:line="248" w:lineRule="auto"/>
        <w:rPr>
          <w:color w:val="auto"/>
          <w:highlight w:val="none"/>
        </w:rPr>
      </w:pPr>
    </w:p>
    <w:p w14:paraId="4E956BCF">
      <w:pPr>
        <w:spacing w:before="78" w:line="219" w:lineRule="auto"/>
        <w:ind w:left="15"/>
        <w:outlineLvl w:val="1"/>
        <w:rPr>
          <w:rFonts w:ascii="宋体" w:hAnsi="宋体" w:eastAsia="宋体" w:cs="宋体"/>
          <w:color w:val="auto"/>
          <w:sz w:val="24"/>
          <w:szCs w:val="24"/>
          <w:highlight w:val="none"/>
        </w:rPr>
      </w:pPr>
      <w:bookmarkStart w:id="214" w:name="_Toc2055"/>
      <w:r>
        <w:rPr>
          <w:rFonts w:ascii="宋体" w:hAnsi="宋体" w:eastAsia="宋体" w:cs="宋体"/>
          <w:b/>
          <w:bCs/>
          <w:color w:val="auto"/>
          <w:spacing w:val="-4"/>
          <w:sz w:val="24"/>
          <w:szCs w:val="24"/>
          <w:highlight w:val="none"/>
        </w:rPr>
        <w:t>（一）项目管理机构组成表</w:t>
      </w:r>
      <w:bookmarkEnd w:id="214"/>
    </w:p>
    <w:p w14:paraId="73359F8A">
      <w:pPr>
        <w:spacing w:line="146" w:lineRule="exact"/>
        <w:rPr>
          <w:color w:val="auto"/>
          <w:highlight w:val="none"/>
        </w:rPr>
      </w:pPr>
    </w:p>
    <w:tbl>
      <w:tblPr>
        <w:tblStyle w:val="16"/>
        <w:tblW w:w="89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3"/>
        <w:gridCol w:w="683"/>
        <w:gridCol w:w="837"/>
        <w:gridCol w:w="1365"/>
        <w:gridCol w:w="849"/>
        <w:gridCol w:w="1017"/>
        <w:gridCol w:w="1211"/>
        <w:gridCol w:w="1248"/>
        <w:gridCol w:w="1016"/>
      </w:tblGrid>
      <w:tr w14:paraId="6A82D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683" w:type="dxa"/>
            <w:vMerge w:val="restart"/>
            <w:tcBorders>
              <w:top w:val="single" w:color="000000" w:sz="6" w:space="0"/>
              <w:left w:val="single" w:color="000000" w:sz="6" w:space="0"/>
              <w:bottom w:val="nil"/>
            </w:tcBorders>
            <w:noWrap w:val="0"/>
            <w:vAlign w:val="top"/>
          </w:tcPr>
          <w:p w14:paraId="598FA412">
            <w:pPr>
              <w:spacing w:line="319" w:lineRule="auto"/>
              <w:rPr>
                <w:rFonts w:ascii="Arial"/>
                <w:color w:val="auto"/>
                <w:sz w:val="21"/>
                <w:highlight w:val="none"/>
              </w:rPr>
            </w:pPr>
          </w:p>
          <w:p w14:paraId="3FD7BE04">
            <w:pPr>
              <w:pStyle w:val="17"/>
              <w:spacing w:before="78" w:line="220" w:lineRule="auto"/>
              <w:ind w:left="102"/>
              <w:rPr>
                <w:color w:val="auto"/>
                <w:sz w:val="24"/>
                <w:szCs w:val="24"/>
                <w:highlight w:val="none"/>
              </w:rPr>
            </w:pPr>
            <w:r>
              <w:rPr>
                <w:color w:val="auto"/>
                <w:spacing w:val="-3"/>
                <w:sz w:val="24"/>
                <w:szCs w:val="24"/>
                <w:highlight w:val="none"/>
              </w:rPr>
              <w:t>职务</w:t>
            </w:r>
          </w:p>
        </w:tc>
        <w:tc>
          <w:tcPr>
            <w:tcW w:w="683" w:type="dxa"/>
            <w:vMerge w:val="restart"/>
            <w:tcBorders>
              <w:top w:val="single" w:color="000000" w:sz="6" w:space="0"/>
              <w:bottom w:val="nil"/>
            </w:tcBorders>
            <w:noWrap w:val="0"/>
            <w:vAlign w:val="top"/>
          </w:tcPr>
          <w:p w14:paraId="45EFEEC6">
            <w:pPr>
              <w:spacing w:line="319" w:lineRule="auto"/>
              <w:rPr>
                <w:rFonts w:ascii="Arial"/>
                <w:color w:val="auto"/>
                <w:sz w:val="21"/>
                <w:highlight w:val="none"/>
              </w:rPr>
            </w:pPr>
          </w:p>
          <w:p w14:paraId="0C6B4E5C">
            <w:pPr>
              <w:pStyle w:val="17"/>
              <w:spacing w:before="78" w:line="220" w:lineRule="auto"/>
              <w:ind w:left="102"/>
              <w:rPr>
                <w:color w:val="auto"/>
                <w:sz w:val="24"/>
                <w:szCs w:val="24"/>
                <w:highlight w:val="none"/>
              </w:rPr>
            </w:pPr>
            <w:r>
              <w:rPr>
                <w:color w:val="auto"/>
                <w:spacing w:val="-3"/>
                <w:sz w:val="24"/>
                <w:szCs w:val="24"/>
                <w:highlight w:val="none"/>
              </w:rPr>
              <w:t>姓名</w:t>
            </w:r>
          </w:p>
        </w:tc>
        <w:tc>
          <w:tcPr>
            <w:tcW w:w="837" w:type="dxa"/>
            <w:vMerge w:val="restart"/>
            <w:tcBorders>
              <w:top w:val="single" w:color="000000" w:sz="6" w:space="0"/>
              <w:bottom w:val="nil"/>
            </w:tcBorders>
            <w:noWrap w:val="0"/>
            <w:vAlign w:val="top"/>
          </w:tcPr>
          <w:p w14:paraId="01595919">
            <w:pPr>
              <w:spacing w:line="320" w:lineRule="auto"/>
              <w:rPr>
                <w:rFonts w:ascii="Arial"/>
                <w:color w:val="auto"/>
                <w:sz w:val="21"/>
                <w:highlight w:val="none"/>
              </w:rPr>
            </w:pPr>
          </w:p>
          <w:p w14:paraId="0A3FE82B">
            <w:pPr>
              <w:pStyle w:val="17"/>
              <w:spacing w:before="78" w:line="222" w:lineRule="auto"/>
              <w:ind w:left="182"/>
              <w:rPr>
                <w:color w:val="auto"/>
                <w:sz w:val="24"/>
                <w:szCs w:val="24"/>
                <w:highlight w:val="none"/>
              </w:rPr>
            </w:pPr>
            <w:r>
              <w:rPr>
                <w:color w:val="auto"/>
                <w:spacing w:val="-3"/>
                <w:sz w:val="24"/>
                <w:szCs w:val="24"/>
                <w:highlight w:val="none"/>
              </w:rPr>
              <w:t>职称</w:t>
            </w:r>
          </w:p>
        </w:tc>
        <w:tc>
          <w:tcPr>
            <w:tcW w:w="5690" w:type="dxa"/>
            <w:gridSpan w:val="5"/>
            <w:tcBorders>
              <w:top w:val="single" w:color="000000" w:sz="6" w:space="0"/>
            </w:tcBorders>
            <w:noWrap w:val="0"/>
            <w:vAlign w:val="top"/>
          </w:tcPr>
          <w:p w14:paraId="07ADE3A5">
            <w:pPr>
              <w:pStyle w:val="17"/>
              <w:spacing w:before="101" w:line="220" w:lineRule="auto"/>
              <w:ind w:left="1773"/>
              <w:rPr>
                <w:color w:val="auto"/>
                <w:sz w:val="24"/>
                <w:szCs w:val="24"/>
                <w:highlight w:val="none"/>
              </w:rPr>
            </w:pPr>
            <w:r>
              <w:rPr>
                <w:color w:val="auto"/>
                <w:spacing w:val="-1"/>
                <w:sz w:val="24"/>
                <w:szCs w:val="24"/>
                <w:highlight w:val="none"/>
              </w:rPr>
              <w:t>执业或职业资格证明</w:t>
            </w:r>
          </w:p>
        </w:tc>
        <w:tc>
          <w:tcPr>
            <w:tcW w:w="1016" w:type="dxa"/>
            <w:vMerge w:val="restart"/>
            <w:tcBorders>
              <w:top w:val="single" w:color="000000" w:sz="6" w:space="0"/>
              <w:bottom w:val="nil"/>
              <w:right w:val="single" w:color="000000" w:sz="6" w:space="0"/>
            </w:tcBorders>
            <w:noWrap w:val="0"/>
            <w:vAlign w:val="top"/>
          </w:tcPr>
          <w:p w14:paraId="0146918F">
            <w:pPr>
              <w:spacing w:line="320" w:lineRule="auto"/>
              <w:rPr>
                <w:rFonts w:ascii="Arial"/>
                <w:color w:val="auto"/>
                <w:sz w:val="21"/>
                <w:highlight w:val="none"/>
              </w:rPr>
            </w:pPr>
          </w:p>
          <w:p w14:paraId="09742107">
            <w:pPr>
              <w:pStyle w:val="17"/>
              <w:spacing w:before="78" w:line="221" w:lineRule="auto"/>
              <w:ind w:left="280"/>
              <w:rPr>
                <w:color w:val="auto"/>
                <w:sz w:val="24"/>
                <w:szCs w:val="24"/>
                <w:highlight w:val="none"/>
              </w:rPr>
            </w:pPr>
            <w:r>
              <w:rPr>
                <w:color w:val="auto"/>
                <w:spacing w:val="-4"/>
                <w:sz w:val="24"/>
                <w:szCs w:val="24"/>
                <w:highlight w:val="none"/>
              </w:rPr>
              <w:t>备注</w:t>
            </w:r>
          </w:p>
        </w:tc>
      </w:tr>
      <w:tr w14:paraId="1B609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83" w:type="dxa"/>
            <w:vMerge w:val="continue"/>
            <w:tcBorders>
              <w:top w:val="nil"/>
              <w:left w:val="single" w:color="000000" w:sz="6" w:space="0"/>
            </w:tcBorders>
            <w:noWrap w:val="0"/>
            <w:vAlign w:val="top"/>
          </w:tcPr>
          <w:p w14:paraId="715C44B3">
            <w:pPr>
              <w:rPr>
                <w:rFonts w:ascii="Arial"/>
                <w:color w:val="auto"/>
                <w:sz w:val="21"/>
                <w:highlight w:val="none"/>
              </w:rPr>
            </w:pPr>
          </w:p>
        </w:tc>
        <w:tc>
          <w:tcPr>
            <w:tcW w:w="683" w:type="dxa"/>
            <w:vMerge w:val="continue"/>
            <w:tcBorders>
              <w:top w:val="nil"/>
            </w:tcBorders>
            <w:noWrap w:val="0"/>
            <w:vAlign w:val="top"/>
          </w:tcPr>
          <w:p w14:paraId="7E3A6FBC">
            <w:pPr>
              <w:rPr>
                <w:rFonts w:ascii="Arial"/>
                <w:color w:val="auto"/>
                <w:sz w:val="21"/>
                <w:highlight w:val="none"/>
              </w:rPr>
            </w:pPr>
          </w:p>
        </w:tc>
        <w:tc>
          <w:tcPr>
            <w:tcW w:w="837" w:type="dxa"/>
            <w:vMerge w:val="continue"/>
            <w:tcBorders>
              <w:top w:val="nil"/>
            </w:tcBorders>
            <w:noWrap w:val="0"/>
            <w:vAlign w:val="top"/>
          </w:tcPr>
          <w:p w14:paraId="38DF9A88">
            <w:pPr>
              <w:rPr>
                <w:rFonts w:ascii="Arial"/>
                <w:color w:val="auto"/>
                <w:sz w:val="21"/>
                <w:highlight w:val="none"/>
              </w:rPr>
            </w:pPr>
          </w:p>
        </w:tc>
        <w:tc>
          <w:tcPr>
            <w:tcW w:w="1365" w:type="dxa"/>
            <w:noWrap w:val="0"/>
            <w:vAlign w:val="top"/>
          </w:tcPr>
          <w:p w14:paraId="1FDADC15">
            <w:pPr>
              <w:pStyle w:val="17"/>
              <w:spacing w:before="97" w:line="219" w:lineRule="auto"/>
              <w:ind w:left="207"/>
              <w:rPr>
                <w:color w:val="auto"/>
                <w:sz w:val="24"/>
                <w:szCs w:val="24"/>
                <w:highlight w:val="none"/>
              </w:rPr>
            </w:pPr>
            <w:r>
              <w:rPr>
                <w:color w:val="auto"/>
                <w:spacing w:val="-2"/>
                <w:sz w:val="24"/>
                <w:szCs w:val="24"/>
                <w:highlight w:val="none"/>
              </w:rPr>
              <w:t>证书名称</w:t>
            </w:r>
          </w:p>
        </w:tc>
        <w:tc>
          <w:tcPr>
            <w:tcW w:w="849" w:type="dxa"/>
            <w:noWrap w:val="0"/>
            <w:vAlign w:val="top"/>
          </w:tcPr>
          <w:p w14:paraId="0E8C6F63">
            <w:pPr>
              <w:pStyle w:val="17"/>
              <w:spacing w:before="98" w:line="220" w:lineRule="auto"/>
              <w:ind w:left="194"/>
              <w:rPr>
                <w:color w:val="auto"/>
                <w:sz w:val="24"/>
                <w:szCs w:val="24"/>
                <w:highlight w:val="none"/>
              </w:rPr>
            </w:pPr>
            <w:r>
              <w:rPr>
                <w:color w:val="auto"/>
                <w:spacing w:val="-4"/>
                <w:sz w:val="24"/>
                <w:szCs w:val="24"/>
                <w:highlight w:val="none"/>
              </w:rPr>
              <w:t>级别</w:t>
            </w:r>
          </w:p>
        </w:tc>
        <w:tc>
          <w:tcPr>
            <w:tcW w:w="1017" w:type="dxa"/>
            <w:noWrap w:val="0"/>
            <w:vAlign w:val="top"/>
          </w:tcPr>
          <w:p w14:paraId="0C645A46">
            <w:pPr>
              <w:pStyle w:val="17"/>
              <w:spacing w:before="98" w:line="221" w:lineRule="auto"/>
              <w:ind w:left="275"/>
              <w:rPr>
                <w:color w:val="auto"/>
                <w:sz w:val="24"/>
                <w:szCs w:val="24"/>
                <w:highlight w:val="none"/>
              </w:rPr>
            </w:pPr>
            <w:r>
              <w:rPr>
                <w:color w:val="auto"/>
                <w:spacing w:val="-3"/>
                <w:sz w:val="24"/>
                <w:szCs w:val="24"/>
                <w:highlight w:val="none"/>
              </w:rPr>
              <w:t>证号</w:t>
            </w:r>
          </w:p>
        </w:tc>
        <w:tc>
          <w:tcPr>
            <w:tcW w:w="1211" w:type="dxa"/>
            <w:noWrap w:val="0"/>
            <w:vAlign w:val="top"/>
          </w:tcPr>
          <w:p w14:paraId="643089CC">
            <w:pPr>
              <w:pStyle w:val="17"/>
              <w:spacing w:before="98" w:line="220" w:lineRule="auto"/>
              <w:ind w:left="375"/>
              <w:rPr>
                <w:color w:val="auto"/>
                <w:sz w:val="24"/>
                <w:szCs w:val="24"/>
                <w:highlight w:val="none"/>
              </w:rPr>
            </w:pPr>
            <w:r>
              <w:rPr>
                <w:color w:val="auto"/>
                <w:spacing w:val="-3"/>
                <w:sz w:val="24"/>
                <w:szCs w:val="24"/>
                <w:highlight w:val="none"/>
              </w:rPr>
              <w:t>专业</w:t>
            </w:r>
          </w:p>
        </w:tc>
        <w:tc>
          <w:tcPr>
            <w:tcW w:w="1248" w:type="dxa"/>
            <w:noWrap w:val="0"/>
            <w:vAlign w:val="top"/>
          </w:tcPr>
          <w:p w14:paraId="0A94D4F0">
            <w:pPr>
              <w:pStyle w:val="17"/>
              <w:spacing w:before="97" w:line="219" w:lineRule="auto"/>
              <w:ind w:left="157"/>
              <w:rPr>
                <w:color w:val="auto"/>
                <w:sz w:val="24"/>
                <w:szCs w:val="24"/>
                <w:highlight w:val="none"/>
              </w:rPr>
            </w:pPr>
            <w:r>
              <w:rPr>
                <w:color w:val="auto"/>
                <w:spacing w:val="-3"/>
                <w:sz w:val="24"/>
                <w:szCs w:val="24"/>
                <w:highlight w:val="none"/>
              </w:rPr>
              <w:t>社会保险</w:t>
            </w:r>
          </w:p>
        </w:tc>
        <w:tc>
          <w:tcPr>
            <w:tcW w:w="1016" w:type="dxa"/>
            <w:vMerge w:val="continue"/>
            <w:tcBorders>
              <w:top w:val="nil"/>
              <w:right w:val="single" w:color="000000" w:sz="6" w:space="0"/>
            </w:tcBorders>
            <w:noWrap w:val="0"/>
            <w:vAlign w:val="top"/>
          </w:tcPr>
          <w:p w14:paraId="5F2C2220">
            <w:pPr>
              <w:rPr>
                <w:rFonts w:ascii="Arial"/>
                <w:color w:val="auto"/>
                <w:sz w:val="21"/>
                <w:highlight w:val="none"/>
              </w:rPr>
            </w:pPr>
          </w:p>
        </w:tc>
      </w:tr>
      <w:tr w14:paraId="57CF7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65BE6454">
            <w:pPr>
              <w:rPr>
                <w:rFonts w:ascii="Arial"/>
                <w:color w:val="auto"/>
                <w:sz w:val="21"/>
                <w:highlight w:val="none"/>
              </w:rPr>
            </w:pPr>
          </w:p>
        </w:tc>
        <w:tc>
          <w:tcPr>
            <w:tcW w:w="683" w:type="dxa"/>
            <w:noWrap w:val="0"/>
            <w:vAlign w:val="top"/>
          </w:tcPr>
          <w:p w14:paraId="3756D966">
            <w:pPr>
              <w:rPr>
                <w:rFonts w:ascii="Arial"/>
                <w:color w:val="auto"/>
                <w:sz w:val="21"/>
                <w:highlight w:val="none"/>
              </w:rPr>
            </w:pPr>
          </w:p>
        </w:tc>
        <w:tc>
          <w:tcPr>
            <w:tcW w:w="837" w:type="dxa"/>
            <w:noWrap w:val="0"/>
            <w:vAlign w:val="top"/>
          </w:tcPr>
          <w:p w14:paraId="67C17AE3">
            <w:pPr>
              <w:rPr>
                <w:rFonts w:ascii="Arial"/>
                <w:color w:val="auto"/>
                <w:sz w:val="21"/>
                <w:highlight w:val="none"/>
              </w:rPr>
            </w:pPr>
          </w:p>
        </w:tc>
        <w:tc>
          <w:tcPr>
            <w:tcW w:w="1365" w:type="dxa"/>
            <w:noWrap w:val="0"/>
            <w:vAlign w:val="top"/>
          </w:tcPr>
          <w:p w14:paraId="31988062">
            <w:pPr>
              <w:rPr>
                <w:rFonts w:ascii="Arial"/>
                <w:color w:val="auto"/>
                <w:sz w:val="21"/>
                <w:highlight w:val="none"/>
              </w:rPr>
            </w:pPr>
          </w:p>
        </w:tc>
        <w:tc>
          <w:tcPr>
            <w:tcW w:w="849" w:type="dxa"/>
            <w:noWrap w:val="0"/>
            <w:vAlign w:val="top"/>
          </w:tcPr>
          <w:p w14:paraId="1539D4E6">
            <w:pPr>
              <w:rPr>
                <w:rFonts w:ascii="Arial"/>
                <w:color w:val="auto"/>
                <w:sz w:val="21"/>
                <w:highlight w:val="none"/>
              </w:rPr>
            </w:pPr>
          </w:p>
        </w:tc>
        <w:tc>
          <w:tcPr>
            <w:tcW w:w="1017" w:type="dxa"/>
            <w:noWrap w:val="0"/>
            <w:vAlign w:val="top"/>
          </w:tcPr>
          <w:p w14:paraId="6B0F48EC">
            <w:pPr>
              <w:rPr>
                <w:rFonts w:ascii="Arial"/>
                <w:color w:val="auto"/>
                <w:sz w:val="21"/>
                <w:highlight w:val="none"/>
              </w:rPr>
            </w:pPr>
          </w:p>
        </w:tc>
        <w:tc>
          <w:tcPr>
            <w:tcW w:w="1211" w:type="dxa"/>
            <w:noWrap w:val="0"/>
            <w:vAlign w:val="top"/>
          </w:tcPr>
          <w:p w14:paraId="3532C36F">
            <w:pPr>
              <w:rPr>
                <w:rFonts w:ascii="Arial"/>
                <w:color w:val="auto"/>
                <w:sz w:val="21"/>
                <w:highlight w:val="none"/>
              </w:rPr>
            </w:pPr>
          </w:p>
        </w:tc>
        <w:tc>
          <w:tcPr>
            <w:tcW w:w="1248" w:type="dxa"/>
            <w:noWrap w:val="0"/>
            <w:vAlign w:val="top"/>
          </w:tcPr>
          <w:p w14:paraId="7127BE40">
            <w:pPr>
              <w:rPr>
                <w:rFonts w:ascii="Arial"/>
                <w:color w:val="auto"/>
                <w:sz w:val="21"/>
                <w:highlight w:val="none"/>
              </w:rPr>
            </w:pPr>
          </w:p>
        </w:tc>
        <w:tc>
          <w:tcPr>
            <w:tcW w:w="1016" w:type="dxa"/>
            <w:tcBorders>
              <w:right w:val="single" w:color="000000" w:sz="6" w:space="0"/>
            </w:tcBorders>
            <w:noWrap w:val="0"/>
            <w:vAlign w:val="top"/>
          </w:tcPr>
          <w:p w14:paraId="5718CE39">
            <w:pPr>
              <w:rPr>
                <w:rFonts w:ascii="Arial"/>
                <w:color w:val="auto"/>
                <w:sz w:val="21"/>
                <w:highlight w:val="none"/>
              </w:rPr>
            </w:pPr>
          </w:p>
        </w:tc>
      </w:tr>
      <w:tr w14:paraId="51CF6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32139834">
            <w:pPr>
              <w:rPr>
                <w:rFonts w:ascii="Arial"/>
                <w:color w:val="auto"/>
                <w:sz w:val="21"/>
                <w:highlight w:val="none"/>
              </w:rPr>
            </w:pPr>
          </w:p>
        </w:tc>
        <w:tc>
          <w:tcPr>
            <w:tcW w:w="683" w:type="dxa"/>
            <w:noWrap w:val="0"/>
            <w:vAlign w:val="top"/>
          </w:tcPr>
          <w:p w14:paraId="021AB876">
            <w:pPr>
              <w:rPr>
                <w:rFonts w:ascii="Arial"/>
                <w:color w:val="auto"/>
                <w:sz w:val="21"/>
                <w:highlight w:val="none"/>
              </w:rPr>
            </w:pPr>
          </w:p>
        </w:tc>
        <w:tc>
          <w:tcPr>
            <w:tcW w:w="837" w:type="dxa"/>
            <w:noWrap w:val="0"/>
            <w:vAlign w:val="top"/>
          </w:tcPr>
          <w:p w14:paraId="42F02B29">
            <w:pPr>
              <w:rPr>
                <w:rFonts w:ascii="Arial"/>
                <w:color w:val="auto"/>
                <w:sz w:val="21"/>
                <w:highlight w:val="none"/>
              </w:rPr>
            </w:pPr>
          </w:p>
        </w:tc>
        <w:tc>
          <w:tcPr>
            <w:tcW w:w="1365" w:type="dxa"/>
            <w:noWrap w:val="0"/>
            <w:vAlign w:val="top"/>
          </w:tcPr>
          <w:p w14:paraId="3005BC36">
            <w:pPr>
              <w:rPr>
                <w:rFonts w:ascii="Arial"/>
                <w:color w:val="auto"/>
                <w:sz w:val="21"/>
                <w:highlight w:val="none"/>
              </w:rPr>
            </w:pPr>
          </w:p>
        </w:tc>
        <w:tc>
          <w:tcPr>
            <w:tcW w:w="849" w:type="dxa"/>
            <w:noWrap w:val="0"/>
            <w:vAlign w:val="top"/>
          </w:tcPr>
          <w:p w14:paraId="40EB3801">
            <w:pPr>
              <w:rPr>
                <w:rFonts w:ascii="Arial"/>
                <w:color w:val="auto"/>
                <w:sz w:val="21"/>
                <w:highlight w:val="none"/>
              </w:rPr>
            </w:pPr>
          </w:p>
        </w:tc>
        <w:tc>
          <w:tcPr>
            <w:tcW w:w="1017" w:type="dxa"/>
            <w:noWrap w:val="0"/>
            <w:vAlign w:val="top"/>
          </w:tcPr>
          <w:p w14:paraId="2E297F28">
            <w:pPr>
              <w:rPr>
                <w:rFonts w:ascii="Arial"/>
                <w:color w:val="auto"/>
                <w:sz w:val="21"/>
                <w:highlight w:val="none"/>
              </w:rPr>
            </w:pPr>
          </w:p>
        </w:tc>
        <w:tc>
          <w:tcPr>
            <w:tcW w:w="1211" w:type="dxa"/>
            <w:noWrap w:val="0"/>
            <w:vAlign w:val="top"/>
          </w:tcPr>
          <w:p w14:paraId="3BDA0549">
            <w:pPr>
              <w:rPr>
                <w:rFonts w:ascii="Arial"/>
                <w:color w:val="auto"/>
                <w:sz w:val="21"/>
                <w:highlight w:val="none"/>
              </w:rPr>
            </w:pPr>
          </w:p>
        </w:tc>
        <w:tc>
          <w:tcPr>
            <w:tcW w:w="1248" w:type="dxa"/>
            <w:noWrap w:val="0"/>
            <w:vAlign w:val="top"/>
          </w:tcPr>
          <w:p w14:paraId="52747428">
            <w:pPr>
              <w:rPr>
                <w:rFonts w:ascii="Arial"/>
                <w:color w:val="auto"/>
                <w:sz w:val="21"/>
                <w:highlight w:val="none"/>
              </w:rPr>
            </w:pPr>
          </w:p>
        </w:tc>
        <w:tc>
          <w:tcPr>
            <w:tcW w:w="1016" w:type="dxa"/>
            <w:tcBorders>
              <w:right w:val="single" w:color="000000" w:sz="6" w:space="0"/>
            </w:tcBorders>
            <w:noWrap w:val="0"/>
            <w:vAlign w:val="top"/>
          </w:tcPr>
          <w:p w14:paraId="557050D9">
            <w:pPr>
              <w:rPr>
                <w:rFonts w:ascii="Arial"/>
                <w:color w:val="auto"/>
                <w:sz w:val="21"/>
                <w:highlight w:val="none"/>
              </w:rPr>
            </w:pPr>
          </w:p>
        </w:tc>
      </w:tr>
      <w:tr w14:paraId="50044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noWrap w:val="0"/>
            <w:vAlign w:val="top"/>
          </w:tcPr>
          <w:p w14:paraId="38D8B82C">
            <w:pPr>
              <w:rPr>
                <w:rFonts w:ascii="Arial"/>
                <w:color w:val="auto"/>
                <w:sz w:val="21"/>
                <w:highlight w:val="none"/>
              </w:rPr>
            </w:pPr>
          </w:p>
        </w:tc>
        <w:tc>
          <w:tcPr>
            <w:tcW w:w="683" w:type="dxa"/>
            <w:noWrap w:val="0"/>
            <w:vAlign w:val="top"/>
          </w:tcPr>
          <w:p w14:paraId="39CF40AA">
            <w:pPr>
              <w:rPr>
                <w:rFonts w:ascii="Arial"/>
                <w:color w:val="auto"/>
                <w:sz w:val="21"/>
                <w:highlight w:val="none"/>
              </w:rPr>
            </w:pPr>
          </w:p>
        </w:tc>
        <w:tc>
          <w:tcPr>
            <w:tcW w:w="837" w:type="dxa"/>
            <w:noWrap w:val="0"/>
            <w:vAlign w:val="top"/>
          </w:tcPr>
          <w:p w14:paraId="1C20E60D">
            <w:pPr>
              <w:rPr>
                <w:rFonts w:ascii="Arial"/>
                <w:color w:val="auto"/>
                <w:sz w:val="21"/>
                <w:highlight w:val="none"/>
              </w:rPr>
            </w:pPr>
          </w:p>
        </w:tc>
        <w:tc>
          <w:tcPr>
            <w:tcW w:w="1365" w:type="dxa"/>
            <w:noWrap w:val="0"/>
            <w:vAlign w:val="top"/>
          </w:tcPr>
          <w:p w14:paraId="1FAC77A6">
            <w:pPr>
              <w:rPr>
                <w:rFonts w:ascii="Arial"/>
                <w:color w:val="auto"/>
                <w:sz w:val="21"/>
                <w:highlight w:val="none"/>
              </w:rPr>
            </w:pPr>
          </w:p>
        </w:tc>
        <w:tc>
          <w:tcPr>
            <w:tcW w:w="849" w:type="dxa"/>
            <w:noWrap w:val="0"/>
            <w:vAlign w:val="top"/>
          </w:tcPr>
          <w:p w14:paraId="26A1675D">
            <w:pPr>
              <w:rPr>
                <w:rFonts w:ascii="Arial"/>
                <w:color w:val="auto"/>
                <w:sz w:val="21"/>
                <w:highlight w:val="none"/>
              </w:rPr>
            </w:pPr>
          </w:p>
        </w:tc>
        <w:tc>
          <w:tcPr>
            <w:tcW w:w="1017" w:type="dxa"/>
            <w:noWrap w:val="0"/>
            <w:vAlign w:val="top"/>
          </w:tcPr>
          <w:p w14:paraId="13FF3FCB">
            <w:pPr>
              <w:rPr>
                <w:rFonts w:ascii="Arial"/>
                <w:color w:val="auto"/>
                <w:sz w:val="21"/>
                <w:highlight w:val="none"/>
              </w:rPr>
            </w:pPr>
          </w:p>
        </w:tc>
        <w:tc>
          <w:tcPr>
            <w:tcW w:w="1211" w:type="dxa"/>
            <w:noWrap w:val="0"/>
            <w:vAlign w:val="top"/>
          </w:tcPr>
          <w:p w14:paraId="18FBE575">
            <w:pPr>
              <w:rPr>
                <w:rFonts w:ascii="Arial"/>
                <w:color w:val="auto"/>
                <w:sz w:val="21"/>
                <w:highlight w:val="none"/>
              </w:rPr>
            </w:pPr>
          </w:p>
        </w:tc>
        <w:tc>
          <w:tcPr>
            <w:tcW w:w="1248" w:type="dxa"/>
            <w:noWrap w:val="0"/>
            <w:vAlign w:val="top"/>
          </w:tcPr>
          <w:p w14:paraId="3A33B4C1">
            <w:pPr>
              <w:rPr>
                <w:rFonts w:ascii="Arial"/>
                <w:color w:val="auto"/>
                <w:sz w:val="21"/>
                <w:highlight w:val="none"/>
              </w:rPr>
            </w:pPr>
          </w:p>
        </w:tc>
        <w:tc>
          <w:tcPr>
            <w:tcW w:w="1016" w:type="dxa"/>
            <w:tcBorders>
              <w:right w:val="single" w:color="000000" w:sz="6" w:space="0"/>
            </w:tcBorders>
            <w:noWrap w:val="0"/>
            <w:vAlign w:val="top"/>
          </w:tcPr>
          <w:p w14:paraId="49DD6A24">
            <w:pPr>
              <w:rPr>
                <w:rFonts w:ascii="Arial"/>
                <w:color w:val="auto"/>
                <w:sz w:val="21"/>
                <w:highlight w:val="none"/>
              </w:rPr>
            </w:pPr>
          </w:p>
        </w:tc>
      </w:tr>
      <w:tr w14:paraId="13724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023B0EA5">
            <w:pPr>
              <w:rPr>
                <w:rFonts w:ascii="Arial"/>
                <w:color w:val="auto"/>
                <w:sz w:val="21"/>
                <w:highlight w:val="none"/>
              </w:rPr>
            </w:pPr>
          </w:p>
        </w:tc>
        <w:tc>
          <w:tcPr>
            <w:tcW w:w="683" w:type="dxa"/>
            <w:noWrap w:val="0"/>
            <w:vAlign w:val="top"/>
          </w:tcPr>
          <w:p w14:paraId="36A46A74">
            <w:pPr>
              <w:rPr>
                <w:rFonts w:ascii="Arial"/>
                <w:color w:val="auto"/>
                <w:sz w:val="21"/>
                <w:highlight w:val="none"/>
              </w:rPr>
            </w:pPr>
          </w:p>
        </w:tc>
        <w:tc>
          <w:tcPr>
            <w:tcW w:w="837" w:type="dxa"/>
            <w:noWrap w:val="0"/>
            <w:vAlign w:val="top"/>
          </w:tcPr>
          <w:p w14:paraId="694BDA66">
            <w:pPr>
              <w:rPr>
                <w:rFonts w:ascii="Arial"/>
                <w:color w:val="auto"/>
                <w:sz w:val="21"/>
                <w:highlight w:val="none"/>
              </w:rPr>
            </w:pPr>
          </w:p>
        </w:tc>
        <w:tc>
          <w:tcPr>
            <w:tcW w:w="1365" w:type="dxa"/>
            <w:noWrap w:val="0"/>
            <w:vAlign w:val="top"/>
          </w:tcPr>
          <w:p w14:paraId="133E74F4">
            <w:pPr>
              <w:rPr>
                <w:rFonts w:ascii="Arial"/>
                <w:color w:val="auto"/>
                <w:sz w:val="21"/>
                <w:highlight w:val="none"/>
              </w:rPr>
            </w:pPr>
          </w:p>
        </w:tc>
        <w:tc>
          <w:tcPr>
            <w:tcW w:w="849" w:type="dxa"/>
            <w:noWrap w:val="0"/>
            <w:vAlign w:val="top"/>
          </w:tcPr>
          <w:p w14:paraId="0BFD1142">
            <w:pPr>
              <w:rPr>
                <w:rFonts w:ascii="Arial"/>
                <w:color w:val="auto"/>
                <w:sz w:val="21"/>
                <w:highlight w:val="none"/>
              </w:rPr>
            </w:pPr>
          </w:p>
        </w:tc>
        <w:tc>
          <w:tcPr>
            <w:tcW w:w="1017" w:type="dxa"/>
            <w:noWrap w:val="0"/>
            <w:vAlign w:val="top"/>
          </w:tcPr>
          <w:p w14:paraId="27B3EED7">
            <w:pPr>
              <w:rPr>
                <w:rFonts w:ascii="Arial"/>
                <w:color w:val="auto"/>
                <w:sz w:val="21"/>
                <w:highlight w:val="none"/>
              </w:rPr>
            </w:pPr>
          </w:p>
        </w:tc>
        <w:tc>
          <w:tcPr>
            <w:tcW w:w="1211" w:type="dxa"/>
            <w:noWrap w:val="0"/>
            <w:vAlign w:val="top"/>
          </w:tcPr>
          <w:p w14:paraId="3E43C7F9">
            <w:pPr>
              <w:rPr>
                <w:rFonts w:ascii="Arial"/>
                <w:color w:val="auto"/>
                <w:sz w:val="21"/>
                <w:highlight w:val="none"/>
              </w:rPr>
            </w:pPr>
          </w:p>
        </w:tc>
        <w:tc>
          <w:tcPr>
            <w:tcW w:w="1248" w:type="dxa"/>
            <w:noWrap w:val="0"/>
            <w:vAlign w:val="top"/>
          </w:tcPr>
          <w:p w14:paraId="0CA480FD">
            <w:pPr>
              <w:rPr>
                <w:rFonts w:ascii="Arial"/>
                <w:color w:val="auto"/>
                <w:sz w:val="21"/>
                <w:highlight w:val="none"/>
              </w:rPr>
            </w:pPr>
          </w:p>
        </w:tc>
        <w:tc>
          <w:tcPr>
            <w:tcW w:w="1016" w:type="dxa"/>
            <w:tcBorders>
              <w:right w:val="single" w:color="000000" w:sz="6" w:space="0"/>
            </w:tcBorders>
            <w:noWrap w:val="0"/>
            <w:vAlign w:val="top"/>
          </w:tcPr>
          <w:p w14:paraId="5F9410F7">
            <w:pPr>
              <w:rPr>
                <w:rFonts w:ascii="Arial"/>
                <w:color w:val="auto"/>
                <w:sz w:val="21"/>
                <w:highlight w:val="none"/>
              </w:rPr>
            </w:pPr>
          </w:p>
        </w:tc>
      </w:tr>
      <w:tr w14:paraId="49350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4EADA1CD">
            <w:pPr>
              <w:rPr>
                <w:rFonts w:ascii="Arial"/>
                <w:color w:val="auto"/>
                <w:sz w:val="21"/>
                <w:highlight w:val="none"/>
              </w:rPr>
            </w:pPr>
          </w:p>
        </w:tc>
        <w:tc>
          <w:tcPr>
            <w:tcW w:w="683" w:type="dxa"/>
            <w:noWrap w:val="0"/>
            <w:vAlign w:val="top"/>
          </w:tcPr>
          <w:p w14:paraId="4485807F">
            <w:pPr>
              <w:rPr>
                <w:rFonts w:ascii="Arial"/>
                <w:color w:val="auto"/>
                <w:sz w:val="21"/>
                <w:highlight w:val="none"/>
              </w:rPr>
            </w:pPr>
          </w:p>
        </w:tc>
        <w:tc>
          <w:tcPr>
            <w:tcW w:w="837" w:type="dxa"/>
            <w:noWrap w:val="0"/>
            <w:vAlign w:val="top"/>
          </w:tcPr>
          <w:p w14:paraId="112468AC">
            <w:pPr>
              <w:rPr>
                <w:rFonts w:ascii="Arial"/>
                <w:color w:val="auto"/>
                <w:sz w:val="21"/>
                <w:highlight w:val="none"/>
              </w:rPr>
            </w:pPr>
          </w:p>
        </w:tc>
        <w:tc>
          <w:tcPr>
            <w:tcW w:w="1365" w:type="dxa"/>
            <w:noWrap w:val="0"/>
            <w:vAlign w:val="top"/>
          </w:tcPr>
          <w:p w14:paraId="3F20F2FB">
            <w:pPr>
              <w:rPr>
                <w:rFonts w:ascii="Arial"/>
                <w:color w:val="auto"/>
                <w:sz w:val="21"/>
                <w:highlight w:val="none"/>
              </w:rPr>
            </w:pPr>
          </w:p>
        </w:tc>
        <w:tc>
          <w:tcPr>
            <w:tcW w:w="849" w:type="dxa"/>
            <w:noWrap w:val="0"/>
            <w:vAlign w:val="top"/>
          </w:tcPr>
          <w:p w14:paraId="5A0D5674">
            <w:pPr>
              <w:rPr>
                <w:rFonts w:ascii="Arial"/>
                <w:color w:val="auto"/>
                <w:sz w:val="21"/>
                <w:highlight w:val="none"/>
              </w:rPr>
            </w:pPr>
          </w:p>
        </w:tc>
        <w:tc>
          <w:tcPr>
            <w:tcW w:w="1017" w:type="dxa"/>
            <w:noWrap w:val="0"/>
            <w:vAlign w:val="top"/>
          </w:tcPr>
          <w:p w14:paraId="34907497">
            <w:pPr>
              <w:rPr>
                <w:rFonts w:ascii="Arial"/>
                <w:color w:val="auto"/>
                <w:sz w:val="21"/>
                <w:highlight w:val="none"/>
              </w:rPr>
            </w:pPr>
          </w:p>
        </w:tc>
        <w:tc>
          <w:tcPr>
            <w:tcW w:w="1211" w:type="dxa"/>
            <w:noWrap w:val="0"/>
            <w:vAlign w:val="top"/>
          </w:tcPr>
          <w:p w14:paraId="4898E0BA">
            <w:pPr>
              <w:rPr>
                <w:rFonts w:ascii="Arial"/>
                <w:color w:val="auto"/>
                <w:sz w:val="21"/>
                <w:highlight w:val="none"/>
              </w:rPr>
            </w:pPr>
          </w:p>
        </w:tc>
        <w:tc>
          <w:tcPr>
            <w:tcW w:w="1248" w:type="dxa"/>
            <w:noWrap w:val="0"/>
            <w:vAlign w:val="top"/>
          </w:tcPr>
          <w:p w14:paraId="226E2056">
            <w:pPr>
              <w:rPr>
                <w:rFonts w:ascii="Arial"/>
                <w:color w:val="auto"/>
                <w:sz w:val="21"/>
                <w:highlight w:val="none"/>
              </w:rPr>
            </w:pPr>
          </w:p>
        </w:tc>
        <w:tc>
          <w:tcPr>
            <w:tcW w:w="1016" w:type="dxa"/>
            <w:tcBorders>
              <w:right w:val="single" w:color="000000" w:sz="6" w:space="0"/>
            </w:tcBorders>
            <w:noWrap w:val="0"/>
            <w:vAlign w:val="top"/>
          </w:tcPr>
          <w:p w14:paraId="2B5374C0">
            <w:pPr>
              <w:rPr>
                <w:rFonts w:ascii="Arial"/>
                <w:color w:val="auto"/>
                <w:sz w:val="21"/>
                <w:highlight w:val="none"/>
              </w:rPr>
            </w:pPr>
          </w:p>
        </w:tc>
      </w:tr>
      <w:tr w14:paraId="751FB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67E9B61B">
            <w:pPr>
              <w:rPr>
                <w:rFonts w:ascii="Arial"/>
                <w:color w:val="auto"/>
                <w:sz w:val="21"/>
                <w:highlight w:val="none"/>
              </w:rPr>
            </w:pPr>
          </w:p>
        </w:tc>
        <w:tc>
          <w:tcPr>
            <w:tcW w:w="683" w:type="dxa"/>
            <w:noWrap w:val="0"/>
            <w:vAlign w:val="top"/>
          </w:tcPr>
          <w:p w14:paraId="3B89321A">
            <w:pPr>
              <w:rPr>
                <w:rFonts w:ascii="Arial"/>
                <w:color w:val="auto"/>
                <w:sz w:val="21"/>
                <w:highlight w:val="none"/>
              </w:rPr>
            </w:pPr>
          </w:p>
        </w:tc>
        <w:tc>
          <w:tcPr>
            <w:tcW w:w="837" w:type="dxa"/>
            <w:noWrap w:val="0"/>
            <w:vAlign w:val="top"/>
          </w:tcPr>
          <w:p w14:paraId="67D6EAB8">
            <w:pPr>
              <w:rPr>
                <w:rFonts w:ascii="Arial"/>
                <w:color w:val="auto"/>
                <w:sz w:val="21"/>
                <w:highlight w:val="none"/>
              </w:rPr>
            </w:pPr>
          </w:p>
        </w:tc>
        <w:tc>
          <w:tcPr>
            <w:tcW w:w="1365" w:type="dxa"/>
            <w:noWrap w:val="0"/>
            <w:vAlign w:val="top"/>
          </w:tcPr>
          <w:p w14:paraId="3DF757CF">
            <w:pPr>
              <w:rPr>
                <w:rFonts w:ascii="Arial"/>
                <w:color w:val="auto"/>
                <w:sz w:val="21"/>
                <w:highlight w:val="none"/>
              </w:rPr>
            </w:pPr>
          </w:p>
        </w:tc>
        <w:tc>
          <w:tcPr>
            <w:tcW w:w="849" w:type="dxa"/>
            <w:noWrap w:val="0"/>
            <w:vAlign w:val="top"/>
          </w:tcPr>
          <w:p w14:paraId="0143B125">
            <w:pPr>
              <w:rPr>
                <w:rFonts w:ascii="Arial"/>
                <w:color w:val="auto"/>
                <w:sz w:val="21"/>
                <w:highlight w:val="none"/>
              </w:rPr>
            </w:pPr>
          </w:p>
        </w:tc>
        <w:tc>
          <w:tcPr>
            <w:tcW w:w="1017" w:type="dxa"/>
            <w:noWrap w:val="0"/>
            <w:vAlign w:val="top"/>
          </w:tcPr>
          <w:p w14:paraId="3606C297">
            <w:pPr>
              <w:rPr>
                <w:rFonts w:ascii="Arial"/>
                <w:color w:val="auto"/>
                <w:sz w:val="21"/>
                <w:highlight w:val="none"/>
              </w:rPr>
            </w:pPr>
          </w:p>
        </w:tc>
        <w:tc>
          <w:tcPr>
            <w:tcW w:w="1211" w:type="dxa"/>
            <w:noWrap w:val="0"/>
            <w:vAlign w:val="top"/>
          </w:tcPr>
          <w:p w14:paraId="25C0FF67">
            <w:pPr>
              <w:rPr>
                <w:rFonts w:ascii="Arial"/>
                <w:color w:val="auto"/>
                <w:sz w:val="21"/>
                <w:highlight w:val="none"/>
              </w:rPr>
            </w:pPr>
          </w:p>
        </w:tc>
        <w:tc>
          <w:tcPr>
            <w:tcW w:w="1248" w:type="dxa"/>
            <w:noWrap w:val="0"/>
            <w:vAlign w:val="top"/>
          </w:tcPr>
          <w:p w14:paraId="00B2FB68">
            <w:pPr>
              <w:rPr>
                <w:rFonts w:ascii="Arial"/>
                <w:color w:val="auto"/>
                <w:sz w:val="21"/>
                <w:highlight w:val="none"/>
              </w:rPr>
            </w:pPr>
          </w:p>
        </w:tc>
        <w:tc>
          <w:tcPr>
            <w:tcW w:w="1016" w:type="dxa"/>
            <w:tcBorders>
              <w:right w:val="single" w:color="000000" w:sz="6" w:space="0"/>
            </w:tcBorders>
            <w:noWrap w:val="0"/>
            <w:vAlign w:val="top"/>
          </w:tcPr>
          <w:p w14:paraId="24E66B65">
            <w:pPr>
              <w:rPr>
                <w:rFonts w:ascii="Arial"/>
                <w:color w:val="auto"/>
                <w:sz w:val="21"/>
                <w:highlight w:val="none"/>
              </w:rPr>
            </w:pPr>
          </w:p>
        </w:tc>
      </w:tr>
      <w:tr w14:paraId="5C975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4F6FB832">
            <w:pPr>
              <w:rPr>
                <w:rFonts w:ascii="Arial"/>
                <w:color w:val="auto"/>
                <w:sz w:val="21"/>
                <w:highlight w:val="none"/>
              </w:rPr>
            </w:pPr>
          </w:p>
        </w:tc>
        <w:tc>
          <w:tcPr>
            <w:tcW w:w="683" w:type="dxa"/>
            <w:noWrap w:val="0"/>
            <w:vAlign w:val="top"/>
          </w:tcPr>
          <w:p w14:paraId="5C47EDF8">
            <w:pPr>
              <w:rPr>
                <w:rFonts w:ascii="Arial"/>
                <w:color w:val="auto"/>
                <w:sz w:val="21"/>
                <w:highlight w:val="none"/>
              </w:rPr>
            </w:pPr>
          </w:p>
        </w:tc>
        <w:tc>
          <w:tcPr>
            <w:tcW w:w="837" w:type="dxa"/>
            <w:noWrap w:val="0"/>
            <w:vAlign w:val="top"/>
          </w:tcPr>
          <w:p w14:paraId="46BB4DD9">
            <w:pPr>
              <w:rPr>
                <w:rFonts w:ascii="Arial"/>
                <w:color w:val="auto"/>
                <w:sz w:val="21"/>
                <w:highlight w:val="none"/>
              </w:rPr>
            </w:pPr>
          </w:p>
        </w:tc>
        <w:tc>
          <w:tcPr>
            <w:tcW w:w="1365" w:type="dxa"/>
            <w:noWrap w:val="0"/>
            <w:vAlign w:val="top"/>
          </w:tcPr>
          <w:p w14:paraId="65705A75">
            <w:pPr>
              <w:rPr>
                <w:rFonts w:ascii="Arial"/>
                <w:color w:val="auto"/>
                <w:sz w:val="21"/>
                <w:highlight w:val="none"/>
              </w:rPr>
            </w:pPr>
          </w:p>
        </w:tc>
        <w:tc>
          <w:tcPr>
            <w:tcW w:w="849" w:type="dxa"/>
            <w:noWrap w:val="0"/>
            <w:vAlign w:val="top"/>
          </w:tcPr>
          <w:p w14:paraId="5A6383C6">
            <w:pPr>
              <w:rPr>
                <w:rFonts w:ascii="Arial"/>
                <w:color w:val="auto"/>
                <w:sz w:val="21"/>
                <w:highlight w:val="none"/>
              </w:rPr>
            </w:pPr>
          </w:p>
        </w:tc>
        <w:tc>
          <w:tcPr>
            <w:tcW w:w="1017" w:type="dxa"/>
            <w:noWrap w:val="0"/>
            <w:vAlign w:val="top"/>
          </w:tcPr>
          <w:p w14:paraId="6BE2C096">
            <w:pPr>
              <w:rPr>
                <w:rFonts w:ascii="Arial"/>
                <w:color w:val="auto"/>
                <w:sz w:val="21"/>
                <w:highlight w:val="none"/>
              </w:rPr>
            </w:pPr>
          </w:p>
        </w:tc>
        <w:tc>
          <w:tcPr>
            <w:tcW w:w="1211" w:type="dxa"/>
            <w:noWrap w:val="0"/>
            <w:vAlign w:val="top"/>
          </w:tcPr>
          <w:p w14:paraId="41CB625B">
            <w:pPr>
              <w:rPr>
                <w:rFonts w:ascii="Arial"/>
                <w:color w:val="auto"/>
                <w:sz w:val="21"/>
                <w:highlight w:val="none"/>
              </w:rPr>
            </w:pPr>
          </w:p>
        </w:tc>
        <w:tc>
          <w:tcPr>
            <w:tcW w:w="1248" w:type="dxa"/>
            <w:noWrap w:val="0"/>
            <w:vAlign w:val="top"/>
          </w:tcPr>
          <w:p w14:paraId="718929B4">
            <w:pPr>
              <w:rPr>
                <w:rFonts w:ascii="Arial"/>
                <w:color w:val="auto"/>
                <w:sz w:val="21"/>
                <w:highlight w:val="none"/>
              </w:rPr>
            </w:pPr>
          </w:p>
        </w:tc>
        <w:tc>
          <w:tcPr>
            <w:tcW w:w="1016" w:type="dxa"/>
            <w:tcBorders>
              <w:right w:val="single" w:color="000000" w:sz="6" w:space="0"/>
            </w:tcBorders>
            <w:noWrap w:val="0"/>
            <w:vAlign w:val="top"/>
          </w:tcPr>
          <w:p w14:paraId="103B231E">
            <w:pPr>
              <w:rPr>
                <w:rFonts w:ascii="Arial"/>
                <w:color w:val="auto"/>
                <w:sz w:val="21"/>
                <w:highlight w:val="none"/>
              </w:rPr>
            </w:pPr>
          </w:p>
        </w:tc>
      </w:tr>
      <w:tr w14:paraId="7B156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78F322F3">
            <w:pPr>
              <w:rPr>
                <w:rFonts w:ascii="Arial"/>
                <w:color w:val="auto"/>
                <w:sz w:val="21"/>
                <w:highlight w:val="none"/>
              </w:rPr>
            </w:pPr>
          </w:p>
        </w:tc>
        <w:tc>
          <w:tcPr>
            <w:tcW w:w="683" w:type="dxa"/>
            <w:noWrap w:val="0"/>
            <w:vAlign w:val="top"/>
          </w:tcPr>
          <w:p w14:paraId="2CD9C9B3">
            <w:pPr>
              <w:rPr>
                <w:rFonts w:ascii="Arial"/>
                <w:color w:val="auto"/>
                <w:sz w:val="21"/>
                <w:highlight w:val="none"/>
              </w:rPr>
            </w:pPr>
          </w:p>
        </w:tc>
        <w:tc>
          <w:tcPr>
            <w:tcW w:w="837" w:type="dxa"/>
            <w:noWrap w:val="0"/>
            <w:vAlign w:val="top"/>
          </w:tcPr>
          <w:p w14:paraId="228491F4">
            <w:pPr>
              <w:rPr>
                <w:rFonts w:ascii="Arial"/>
                <w:color w:val="auto"/>
                <w:sz w:val="21"/>
                <w:highlight w:val="none"/>
              </w:rPr>
            </w:pPr>
          </w:p>
        </w:tc>
        <w:tc>
          <w:tcPr>
            <w:tcW w:w="1365" w:type="dxa"/>
            <w:noWrap w:val="0"/>
            <w:vAlign w:val="top"/>
          </w:tcPr>
          <w:p w14:paraId="108B7D30">
            <w:pPr>
              <w:rPr>
                <w:rFonts w:ascii="Arial"/>
                <w:color w:val="auto"/>
                <w:sz w:val="21"/>
                <w:highlight w:val="none"/>
              </w:rPr>
            </w:pPr>
          </w:p>
        </w:tc>
        <w:tc>
          <w:tcPr>
            <w:tcW w:w="849" w:type="dxa"/>
            <w:noWrap w:val="0"/>
            <w:vAlign w:val="top"/>
          </w:tcPr>
          <w:p w14:paraId="53AF57F1">
            <w:pPr>
              <w:rPr>
                <w:rFonts w:ascii="Arial"/>
                <w:color w:val="auto"/>
                <w:sz w:val="21"/>
                <w:highlight w:val="none"/>
              </w:rPr>
            </w:pPr>
          </w:p>
        </w:tc>
        <w:tc>
          <w:tcPr>
            <w:tcW w:w="1017" w:type="dxa"/>
            <w:noWrap w:val="0"/>
            <w:vAlign w:val="top"/>
          </w:tcPr>
          <w:p w14:paraId="2ABC651D">
            <w:pPr>
              <w:rPr>
                <w:rFonts w:ascii="Arial"/>
                <w:color w:val="auto"/>
                <w:sz w:val="21"/>
                <w:highlight w:val="none"/>
              </w:rPr>
            </w:pPr>
          </w:p>
        </w:tc>
        <w:tc>
          <w:tcPr>
            <w:tcW w:w="1211" w:type="dxa"/>
            <w:noWrap w:val="0"/>
            <w:vAlign w:val="top"/>
          </w:tcPr>
          <w:p w14:paraId="2DB62085">
            <w:pPr>
              <w:rPr>
                <w:rFonts w:ascii="Arial"/>
                <w:color w:val="auto"/>
                <w:sz w:val="21"/>
                <w:highlight w:val="none"/>
              </w:rPr>
            </w:pPr>
          </w:p>
        </w:tc>
        <w:tc>
          <w:tcPr>
            <w:tcW w:w="1248" w:type="dxa"/>
            <w:noWrap w:val="0"/>
            <w:vAlign w:val="top"/>
          </w:tcPr>
          <w:p w14:paraId="2675DD04">
            <w:pPr>
              <w:rPr>
                <w:rFonts w:ascii="Arial"/>
                <w:color w:val="auto"/>
                <w:sz w:val="21"/>
                <w:highlight w:val="none"/>
              </w:rPr>
            </w:pPr>
          </w:p>
        </w:tc>
        <w:tc>
          <w:tcPr>
            <w:tcW w:w="1016" w:type="dxa"/>
            <w:tcBorders>
              <w:right w:val="single" w:color="000000" w:sz="6" w:space="0"/>
            </w:tcBorders>
            <w:noWrap w:val="0"/>
            <w:vAlign w:val="top"/>
          </w:tcPr>
          <w:p w14:paraId="2CF953DE">
            <w:pPr>
              <w:rPr>
                <w:rFonts w:ascii="Arial"/>
                <w:color w:val="auto"/>
                <w:sz w:val="21"/>
                <w:highlight w:val="none"/>
              </w:rPr>
            </w:pPr>
          </w:p>
        </w:tc>
      </w:tr>
      <w:tr w14:paraId="35849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noWrap w:val="0"/>
            <w:vAlign w:val="top"/>
          </w:tcPr>
          <w:p w14:paraId="58879602">
            <w:pPr>
              <w:rPr>
                <w:rFonts w:ascii="Arial"/>
                <w:color w:val="auto"/>
                <w:sz w:val="21"/>
                <w:highlight w:val="none"/>
              </w:rPr>
            </w:pPr>
          </w:p>
        </w:tc>
        <w:tc>
          <w:tcPr>
            <w:tcW w:w="683" w:type="dxa"/>
            <w:noWrap w:val="0"/>
            <w:vAlign w:val="top"/>
          </w:tcPr>
          <w:p w14:paraId="2E7E8450">
            <w:pPr>
              <w:rPr>
                <w:rFonts w:ascii="Arial"/>
                <w:color w:val="auto"/>
                <w:sz w:val="21"/>
                <w:highlight w:val="none"/>
              </w:rPr>
            </w:pPr>
          </w:p>
        </w:tc>
        <w:tc>
          <w:tcPr>
            <w:tcW w:w="837" w:type="dxa"/>
            <w:noWrap w:val="0"/>
            <w:vAlign w:val="top"/>
          </w:tcPr>
          <w:p w14:paraId="20630493">
            <w:pPr>
              <w:rPr>
                <w:rFonts w:ascii="Arial"/>
                <w:color w:val="auto"/>
                <w:sz w:val="21"/>
                <w:highlight w:val="none"/>
              </w:rPr>
            </w:pPr>
          </w:p>
        </w:tc>
        <w:tc>
          <w:tcPr>
            <w:tcW w:w="1365" w:type="dxa"/>
            <w:noWrap w:val="0"/>
            <w:vAlign w:val="top"/>
          </w:tcPr>
          <w:p w14:paraId="27FD4C24">
            <w:pPr>
              <w:rPr>
                <w:rFonts w:ascii="Arial"/>
                <w:color w:val="auto"/>
                <w:sz w:val="21"/>
                <w:highlight w:val="none"/>
              </w:rPr>
            </w:pPr>
          </w:p>
        </w:tc>
        <w:tc>
          <w:tcPr>
            <w:tcW w:w="849" w:type="dxa"/>
            <w:noWrap w:val="0"/>
            <w:vAlign w:val="top"/>
          </w:tcPr>
          <w:p w14:paraId="63CCD50A">
            <w:pPr>
              <w:rPr>
                <w:rFonts w:ascii="Arial"/>
                <w:color w:val="auto"/>
                <w:sz w:val="21"/>
                <w:highlight w:val="none"/>
              </w:rPr>
            </w:pPr>
          </w:p>
        </w:tc>
        <w:tc>
          <w:tcPr>
            <w:tcW w:w="1017" w:type="dxa"/>
            <w:noWrap w:val="0"/>
            <w:vAlign w:val="top"/>
          </w:tcPr>
          <w:p w14:paraId="28E96C45">
            <w:pPr>
              <w:rPr>
                <w:rFonts w:ascii="Arial"/>
                <w:color w:val="auto"/>
                <w:sz w:val="21"/>
                <w:highlight w:val="none"/>
              </w:rPr>
            </w:pPr>
          </w:p>
        </w:tc>
        <w:tc>
          <w:tcPr>
            <w:tcW w:w="1211" w:type="dxa"/>
            <w:noWrap w:val="0"/>
            <w:vAlign w:val="top"/>
          </w:tcPr>
          <w:p w14:paraId="1BA8F317">
            <w:pPr>
              <w:rPr>
                <w:rFonts w:ascii="Arial"/>
                <w:color w:val="auto"/>
                <w:sz w:val="21"/>
                <w:highlight w:val="none"/>
              </w:rPr>
            </w:pPr>
          </w:p>
        </w:tc>
        <w:tc>
          <w:tcPr>
            <w:tcW w:w="1248" w:type="dxa"/>
            <w:noWrap w:val="0"/>
            <w:vAlign w:val="top"/>
          </w:tcPr>
          <w:p w14:paraId="595824D9">
            <w:pPr>
              <w:rPr>
                <w:rFonts w:ascii="Arial"/>
                <w:color w:val="auto"/>
                <w:sz w:val="21"/>
                <w:highlight w:val="none"/>
              </w:rPr>
            </w:pPr>
          </w:p>
        </w:tc>
        <w:tc>
          <w:tcPr>
            <w:tcW w:w="1016" w:type="dxa"/>
            <w:tcBorders>
              <w:right w:val="single" w:color="000000" w:sz="6" w:space="0"/>
            </w:tcBorders>
            <w:noWrap w:val="0"/>
            <w:vAlign w:val="top"/>
          </w:tcPr>
          <w:p w14:paraId="6225D516">
            <w:pPr>
              <w:rPr>
                <w:rFonts w:ascii="Arial"/>
                <w:color w:val="auto"/>
                <w:sz w:val="21"/>
                <w:highlight w:val="none"/>
              </w:rPr>
            </w:pPr>
          </w:p>
        </w:tc>
      </w:tr>
      <w:tr w14:paraId="291C4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622E00D9">
            <w:pPr>
              <w:rPr>
                <w:rFonts w:ascii="Arial"/>
                <w:color w:val="auto"/>
                <w:sz w:val="21"/>
                <w:highlight w:val="none"/>
              </w:rPr>
            </w:pPr>
          </w:p>
        </w:tc>
        <w:tc>
          <w:tcPr>
            <w:tcW w:w="683" w:type="dxa"/>
            <w:noWrap w:val="0"/>
            <w:vAlign w:val="top"/>
          </w:tcPr>
          <w:p w14:paraId="2E1FF8F1">
            <w:pPr>
              <w:rPr>
                <w:rFonts w:ascii="Arial"/>
                <w:color w:val="auto"/>
                <w:sz w:val="21"/>
                <w:highlight w:val="none"/>
              </w:rPr>
            </w:pPr>
          </w:p>
        </w:tc>
        <w:tc>
          <w:tcPr>
            <w:tcW w:w="837" w:type="dxa"/>
            <w:noWrap w:val="0"/>
            <w:vAlign w:val="top"/>
          </w:tcPr>
          <w:p w14:paraId="14A393F5">
            <w:pPr>
              <w:rPr>
                <w:rFonts w:ascii="Arial"/>
                <w:color w:val="auto"/>
                <w:sz w:val="21"/>
                <w:highlight w:val="none"/>
              </w:rPr>
            </w:pPr>
          </w:p>
        </w:tc>
        <w:tc>
          <w:tcPr>
            <w:tcW w:w="1365" w:type="dxa"/>
            <w:noWrap w:val="0"/>
            <w:vAlign w:val="top"/>
          </w:tcPr>
          <w:p w14:paraId="40B6A971">
            <w:pPr>
              <w:rPr>
                <w:rFonts w:ascii="Arial"/>
                <w:color w:val="auto"/>
                <w:sz w:val="21"/>
                <w:highlight w:val="none"/>
              </w:rPr>
            </w:pPr>
          </w:p>
        </w:tc>
        <w:tc>
          <w:tcPr>
            <w:tcW w:w="849" w:type="dxa"/>
            <w:noWrap w:val="0"/>
            <w:vAlign w:val="top"/>
          </w:tcPr>
          <w:p w14:paraId="41FAD170">
            <w:pPr>
              <w:rPr>
                <w:rFonts w:ascii="Arial"/>
                <w:color w:val="auto"/>
                <w:sz w:val="21"/>
                <w:highlight w:val="none"/>
              </w:rPr>
            </w:pPr>
          </w:p>
        </w:tc>
        <w:tc>
          <w:tcPr>
            <w:tcW w:w="1017" w:type="dxa"/>
            <w:noWrap w:val="0"/>
            <w:vAlign w:val="top"/>
          </w:tcPr>
          <w:p w14:paraId="556F19EA">
            <w:pPr>
              <w:rPr>
                <w:rFonts w:ascii="Arial"/>
                <w:color w:val="auto"/>
                <w:sz w:val="21"/>
                <w:highlight w:val="none"/>
              </w:rPr>
            </w:pPr>
          </w:p>
        </w:tc>
        <w:tc>
          <w:tcPr>
            <w:tcW w:w="1211" w:type="dxa"/>
            <w:noWrap w:val="0"/>
            <w:vAlign w:val="top"/>
          </w:tcPr>
          <w:p w14:paraId="30AEBC44">
            <w:pPr>
              <w:rPr>
                <w:rFonts w:ascii="Arial"/>
                <w:color w:val="auto"/>
                <w:sz w:val="21"/>
                <w:highlight w:val="none"/>
              </w:rPr>
            </w:pPr>
          </w:p>
        </w:tc>
        <w:tc>
          <w:tcPr>
            <w:tcW w:w="1248" w:type="dxa"/>
            <w:noWrap w:val="0"/>
            <w:vAlign w:val="top"/>
          </w:tcPr>
          <w:p w14:paraId="43EB0EFA">
            <w:pPr>
              <w:rPr>
                <w:rFonts w:ascii="Arial"/>
                <w:color w:val="auto"/>
                <w:sz w:val="21"/>
                <w:highlight w:val="none"/>
              </w:rPr>
            </w:pPr>
          </w:p>
        </w:tc>
        <w:tc>
          <w:tcPr>
            <w:tcW w:w="1016" w:type="dxa"/>
            <w:tcBorders>
              <w:right w:val="single" w:color="000000" w:sz="6" w:space="0"/>
            </w:tcBorders>
            <w:noWrap w:val="0"/>
            <w:vAlign w:val="top"/>
          </w:tcPr>
          <w:p w14:paraId="12B7BB5D">
            <w:pPr>
              <w:rPr>
                <w:rFonts w:ascii="Arial"/>
                <w:color w:val="auto"/>
                <w:sz w:val="21"/>
                <w:highlight w:val="none"/>
              </w:rPr>
            </w:pPr>
          </w:p>
        </w:tc>
      </w:tr>
      <w:tr w14:paraId="37703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25E3E4B3">
            <w:pPr>
              <w:rPr>
                <w:rFonts w:ascii="Arial"/>
                <w:color w:val="auto"/>
                <w:sz w:val="21"/>
                <w:highlight w:val="none"/>
              </w:rPr>
            </w:pPr>
          </w:p>
        </w:tc>
        <w:tc>
          <w:tcPr>
            <w:tcW w:w="683" w:type="dxa"/>
            <w:noWrap w:val="0"/>
            <w:vAlign w:val="top"/>
          </w:tcPr>
          <w:p w14:paraId="2AE3C5B0">
            <w:pPr>
              <w:rPr>
                <w:rFonts w:ascii="Arial"/>
                <w:color w:val="auto"/>
                <w:sz w:val="21"/>
                <w:highlight w:val="none"/>
              </w:rPr>
            </w:pPr>
          </w:p>
        </w:tc>
        <w:tc>
          <w:tcPr>
            <w:tcW w:w="837" w:type="dxa"/>
            <w:noWrap w:val="0"/>
            <w:vAlign w:val="top"/>
          </w:tcPr>
          <w:p w14:paraId="1BFD90A0">
            <w:pPr>
              <w:rPr>
                <w:rFonts w:ascii="Arial"/>
                <w:color w:val="auto"/>
                <w:sz w:val="21"/>
                <w:highlight w:val="none"/>
              </w:rPr>
            </w:pPr>
          </w:p>
        </w:tc>
        <w:tc>
          <w:tcPr>
            <w:tcW w:w="1365" w:type="dxa"/>
            <w:noWrap w:val="0"/>
            <w:vAlign w:val="top"/>
          </w:tcPr>
          <w:p w14:paraId="58F641CA">
            <w:pPr>
              <w:rPr>
                <w:rFonts w:ascii="Arial"/>
                <w:color w:val="auto"/>
                <w:sz w:val="21"/>
                <w:highlight w:val="none"/>
              </w:rPr>
            </w:pPr>
          </w:p>
        </w:tc>
        <w:tc>
          <w:tcPr>
            <w:tcW w:w="849" w:type="dxa"/>
            <w:noWrap w:val="0"/>
            <w:vAlign w:val="top"/>
          </w:tcPr>
          <w:p w14:paraId="6FA78ADC">
            <w:pPr>
              <w:rPr>
                <w:rFonts w:ascii="Arial"/>
                <w:color w:val="auto"/>
                <w:sz w:val="21"/>
                <w:highlight w:val="none"/>
              </w:rPr>
            </w:pPr>
          </w:p>
        </w:tc>
        <w:tc>
          <w:tcPr>
            <w:tcW w:w="1017" w:type="dxa"/>
            <w:noWrap w:val="0"/>
            <w:vAlign w:val="top"/>
          </w:tcPr>
          <w:p w14:paraId="348F1B4F">
            <w:pPr>
              <w:rPr>
                <w:rFonts w:ascii="Arial"/>
                <w:color w:val="auto"/>
                <w:sz w:val="21"/>
                <w:highlight w:val="none"/>
              </w:rPr>
            </w:pPr>
          </w:p>
        </w:tc>
        <w:tc>
          <w:tcPr>
            <w:tcW w:w="1211" w:type="dxa"/>
            <w:noWrap w:val="0"/>
            <w:vAlign w:val="top"/>
          </w:tcPr>
          <w:p w14:paraId="5808969C">
            <w:pPr>
              <w:rPr>
                <w:rFonts w:ascii="Arial"/>
                <w:color w:val="auto"/>
                <w:sz w:val="21"/>
                <w:highlight w:val="none"/>
              </w:rPr>
            </w:pPr>
          </w:p>
        </w:tc>
        <w:tc>
          <w:tcPr>
            <w:tcW w:w="1248" w:type="dxa"/>
            <w:noWrap w:val="0"/>
            <w:vAlign w:val="top"/>
          </w:tcPr>
          <w:p w14:paraId="7AE65EBF">
            <w:pPr>
              <w:rPr>
                <w:rFonts w:ascii="Arial"/>
                <w:color w:val="auto"/>
                <w:sz w:val="21"/>
                <w:highlight w:val="none"/>
              </w:rPr>
            </w:pPr>
          </w:p>
        </w:tc>
        <w:tc>
          <w:tcPr>
            <w:tcW w:w="1016" w:type="dxa"/>
            <w:tcBorders>
              <w:right w:val="single" w:color="000000" w:sz="6" w:space="0"/>
            </w:tcBorders>
            <w:noWrap w:val="0"/>
            <w:vAlign w:val="top"/>
          </w:tcPr>
          <w:p w14:paraId="12640B78">
            <w:pPr>
              <w:rPr>
                <w:rFonts w:ascii="Arial"/>
                <w:color w:val="auto"/>
                <w:sz w:val="21"/>
                <w:highlight w:val="none"/>
              </w:rPr>
            </w:pPr>
          </w:p>
        </w:tc>
      </w:tr>
      <w:tr w14:paraId="35FFC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76AEF84D">
            <w:pPr>
              <w:rPr>
                <w:rFonts w:ascii="Arial"/>
                <w:color w:val="auto"/>
                <w:sz w:val="21"/>
                <w:highlight w:val="none"/>
              </w:rPr>
            </w:pPr>
          </w:p>
        </w:tc>
        <w:tc>
          <w:tcPr>
            <w:tcW w:w="683" w:type="dxa"/>
            <w:noWrap w:val="0"/>
            <w:vAlign w:val="top"/>
          </w:tcPr>
          <w:p w14:paraId="13F46C43">
            <w:pPr>
              <w:rPr>
                <w:rFonts w:ascii="Arial"/>
                <w:color w:val="auto"/>
                <w:sz w:val="21"/>
                <w:highlight w:val="none"/>
              </w:rPr>
            </w:pPr>
          </w:p>
        </w:tc>
        <w:tc>
          <w:tcPr>
            <w:tcW w:w="837" w:type="dxa"/>
            <w:noWrap w:val="0"/>
            <w:vAlign w:val="top"/>
          </w:tcPr>
          <w:p w14:paraId="7A1F9302">
            <w:pPr>
              <w:rPr>
                <w:rFonts w:ascii="Arial"/>
                <w:color w:val="auto"/>
                <w:sz w:val="21"/>
                <w:highlight w:val="none"/>
              </w:rPr>
            </w:pPr>
          </w:p>
        </w:tc>
        <w:tc>
          <w:tcPr>
            <w:tcW w:w="1365" w:type="dxa"/>
            <w:noWrap w:val="0"/>
            <w:vAlign w:val="top"/>
          </w:tcPr>
          <w:p w14:paraId="0315E811">
            <w:pPr>
              <w:rPr>
                <w:rFonts w:ascii="Arial"/>
                <w:color w:val="auto"/>
                <w:sz w:val="21"/>
                <w:highlight w:val="none"/>
              </w:rPr>
            </w:pPr>
          </w:p>
        </w:tc>
        <w:tc>
          <w:tcPr>
            <w:tcW w:w="849" w:type="dxa"/>
            <w:noWrap w:val="0"/>
            <w:vAlign w:val="top"/>
          </w:tcPr>
          <w:p w14:paraId="6A9C397F">
            <w:pPr>
              <w:rPr>
                <w:rFonts w:ascii="Arial"/>
                <w:color w:val="auto"/>
                <w:sz w:val="21"/>
                <w:highlight w:val="none"/>
              </w:rPr>
            </w:pPr>
          </w:p>
        </w:tc>
        <w:tc>
          <w:tcPr>
            <w:tcW w:w="1017" w:type="dxa"/>
            <w:noWrap w:val="0"/>
            <w:vAlign w:val="top"/>
          </w:tcPr>
          <w:p w14:paraId="3BA8BAA6">
            <w:pPr>
              <w:rPr>
                <w:rFonts w:ascii="Arial"/>
                <w:color w:val="auto"/>
                <w:sz w:val="21"/>
                <w:highlight w:val="none"/>
              </w:rPr>
            </w:pPr>
          </w:p>
        </w:tc>
        <w:tc>
          <w:tcPr>
            <w:tcW w:w="1211" w:type="dxa"/>
            <w:noWrap w:val="0"/>
            <w:vAlign w:val="top"/>
          </w:tcPr>
          <w:p w14:paraId="3C23BF4E">
            <w:pPr>
              <w:rPr>
                <w:rFonts w:ascii="Arial"/>
                <w:color w:val="auto"/>
                <w:sz w:val="21"/>
                <w:highlight w:val="none"/>
              </w:rPr>
            </w:pPr>
          </w:p>
        </w:tc>
        <w:tc>
          <w:tcPr>
            <w:tcW w:w="1248" w:type="dxa"/>
            <w:noWrap w:val="0"/>
            <w:vAlign w:val="top"/>
          </w:tcPr>
          <w:p w14:paraId="48A7E967">
            <w:pPr>
              <w:rPr>
                <w:rFonts w:ascii="Arial"/>
                <w:color w:val="auto"/>
                <w:sz w:val="21"/>
                <w:highlight w:val="none"/>
              </w:rPr>
            </w:pPr>
          </w:p>
        </w:tc>
        <w:tc>
          <w:tcPr>
            <w:tcW w:w="1016" w:type="dxa"/>
            <w:tcBorders>
              <w:right w:val="single" w:color="000000" w:sz="6" w:space="0"/>
            </w:tcBorders>
            <w:noWrap w:val="0"/>
            <w:vAlign w:val="top"/>
          </w:tcPr>
          <w:p w14:paraId="62CC708B">
            <w:pPr>
              <w:rPr>
                <w:rFonts w:ascii="Arial"/>
                <w:color w:val="auto"/>
                <w:sz w:val="21"/>
                <w:highlight w:val="none"/>
              </w:rPr>
            </w:pPr>
          </w:p>
        </w:tc>
      </w:tr>
      <w:tr w14:paraId="645B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55E8FE93">
            <w:pPr>
              <w:rPr>
                <w:rFonts w:ascii="Arial"/>
                <w:color w:val="auto"/>
                <w:sz w:val="21"/>
                <w:highlight w:val="none"/>
              </w:rPr>
            </w:pPr>
          </w:p>
        </w:tc>
        <w:tc>
          <w:tcPr>
            <w:tcW w:w="683" w:type="dxa"/>
            <w:noWrap w:val="0"/>
            <w:vAlign w:val="top"/>
          </w:tcPr>
          <w:p w14:paraId="37FA845E">
            <w:pPr>
              <w:rPr>
                <w:rFonts w:ascii="Arial"/>
                <w:color w:val="auto"/>
                <w:sz w:val="21"/>
                <w:highlight w:val="none"/>
              </w:rPr>
            </w:pPr>
          </w:p>
        </w:tc>
        <w:tc>
          <w:tcPr>
            <w:tcW w:w="837" w:type="dxa"/>
            <w:noWrap w:val="0"/>
            <w:vAlign w:val="top"/>
          </w:tcPr>
          <w:p w14:paraId="6B56FAC0">
            <w:pPr>
              <w:rPr>
                <w:rFonts w:ascii="Arial"/>
                <w:color w:val="auto"/>
                <w:sz w:val="21"/>
                <w:highlight w:val="none"/>
              </w:rPr>
            </w:pPr>
          </w:p>
        </w:tc>
        <w:tc>
          <w:tcPr>
            <w:tcW w:w="1365" w:type="dxa"/>
            <w:noWrap w:val="0"/>
            <w:vAlign w:val="top"/>
          </w:tcPr>
          <w:p w14:paraId="1367A2E8">
            <w:pPr>
              <w:rPr>
                <w:rFonts w:ascii="Arial"/>
                <w:color w:val="auto"/>
                <w:sz w:val="21"/>
                <w:highlight w:val="none"/>
              </w:rPr>
            </w:pPr>
          </w:p>
        </w:tc>
        <w:tc>
          <w:tcPr>
            <w:tcW w:w="849" w:type="dxa"/>
            <w:noWrap w:val="0"/>
            <w:vAlign w:val="top"/>
          </w:tcPr>
          <w:p w14:paraId="7B027D07">
            <w:pPr>
              <w:rPr>
                <w:rFonts w:ascii="Arial"/>
                <w:color w:val="auto"/>
                <w:sz w:val="21"/>
                <w:highlight w:val="none"/>
              </w:rPr>
            </w:pPr>
          </w:p>
        </w:tc>
        <w:tc>
          <w:tcPr>
            <w:tcW w:w="1017" w:type="dxa"/>
            <w:noWrap w:val="0"/>
            <w:vAlign w:val="top"/>
          </w:tcPr>
          <w:p w14:paraId="422789C3">
            <w:pPr>
              <w:rPr>
                <w:rFonts w:ascii="Arial"/>
                <w:color w:val="auto"/>
                <w:sz w:val="21"/>
                <w:highlight w:val="none"/>
              </w:rPr>
            </w:pPr>
          </w:p>
        </w:tc>
        <w:tc>
          <w:tcPr>
            <w:tcW w:w="1211" w:type="dxa"/>
            <w:noWrap w:val="0"/>
            <w:vAlign w:val="top"/>
          </w:tcPr>
          <w:p w14:paraId="57C177AC">
            <w:pPr>
              <w:rPr>
                <w:rFonts w:ascii="Arial"/>
                <w:color w:val="auto"/>
                <w:sz w:val="21"/>
                <w:highlight w:val="none"/>
              </w:rPr>
            </w:pPr>
          </w:p>
        </w:tc>
        <w:tc>
          <w:tcPr>
            <w:tcW w:w="1248" w:type="dxa"/>
            <w:noWrap w:val="0"/>
            <w:vAlign w:val="top"/>
          </w:tcPr>
          <w:p w14:paraId="7898E2F9">
            <w:pPr>
              <w:rPr>
                <w:rFonts w:ascii="Arial"/>
                <w:color w:val="auto"/>
                <w:sz w:val="21"/>
                <w:highlight w:val="none"/>
              </w:rPr>
            </w:pPr>
          </w:p>
        </w:tc>
        <w:tc>
          <w:tcPr>
            <w:tcW w:w="1016" w:type="dxa"/>
            <w:tcBorders>
              <w:right w:val="single" w:color="000000" w:sz="6" w:space="0"/>
            </w:tcBorders>
            <w:noWrap w:val="0"/>
            <w:vAlign w:val="top"/>
          </w:tcPr>
          <w:p w14:paraId="491D6D9B">
            <w:pPr>
              <w:rPr>
                <w:rFonts w:ascii="Arial"/>
                <w:color w:val="auto"/>
                <w:sz w:val="21"/>
                <w:highlight w:val="none"/>
              </w:rPr>
            </w:pPr>
          </w:p>
        </w:tc>
      </w:tr>
      <w:tr w14:paraId="3C6DF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683" w:type="dxa"/>
            <w:tcBorders>
              <w:left w:val="single" w:color="000000" w:sz="6" w:space="0"/>
            </w:tcBorders>
            <w:noWrap w:val="0"/>
            <w:vAlign w:val="top"/>
          </w:tcPr>
          <w:p w14:paraId="52D5436B">
            <w:pPr>
              <w:rPr>
                <w:rFonts w:ascii="Arial"/>
                <w:color w:val="auto"/>
                <w:sz w:val="21"/>
                <w:highlight w:val="none"/>
              </w:rPr>
            </w:pPr>
          </w:p>
        </w:tc>
        <w:tc>
          <w:tcPr>
            <w:tcW w:w="683" w:type="dxa"/>
            <w:noWrap w:val="0"/>
            <w:vAlign w:val="top"/>
          </w:tcPr>
          <w:p w14:paraId="3CF6E861">
            <w:pPr>
              <w:rPr>
                <w:rFonts w:ascii="Arial"/>
                <w:color w:val="auto"/>
                <w:sz w:val="21"/>
                <w:highlight w:val="none"/>
              </w:rPr>
            </w:pPr>
          </w:p>
        </w:tc>
        <w:tc>
          <w:tcPr>
            <w:tcW w:w="837" w:type="dxa"/>
            <w:noWrap w:val="0"/>
            <w:vAlign w:val="top"/>
          </w:tcPr>
          <w:p w14:paraId="3FC2D5D3">
            <w:pPr>
              <w:rPr>
                <w:rFonts w:ascii="Arial"/>
                <w:color w:val="auto"/>
                <w:sz w:val="21"/>
                <w:highlight w:val="none"/>
              </w:rPr>
            </w:pPr>
          </w:p>
        </w:tc>
        <w:tc>
          <w:tcPr>
            <w:tcW w:w="1365" w:type="dxa"/>
            <w:noWrap w:val="0"/>
            <w:vAlign w:val="top"/>
          </w:tcPr>
          <w:p w14:paraId="642CD415">
            <w:pPr>
              <w:rPr>
                <w:rFonts w:ascii="Arial"/>
                <w:color w:val="auto"/>
                <w:sz w:val="21"/>
                <w:highlight w:val="none"/>
              </w:rPr>
            </w:pPr>
          </w:p>
        </w:tc>
        <w:tc>
          <w:tcPr>
            <w:tcW w:w="849" w:type="dxa"/>
            <w:noWrap w:val="0"/>
            <w:vAlign w:val="top"/>
          </w:tcPr>
          <w:p w14:paraId="477A72FB">
            <w:pPr>
              <w:rPr>
                <w:rFonts w:ascii="Arial"/>
                <w:color w:val="auto"/>
                <w:sz w:val="21"/>
                <w:highlight w:val="none"/>
              </w:rPr>
            </w:pPr>
          </w:p>
        </w:tc>
        <w:tc>
          <w:tcPr>
            <w:tcW w:w="1017" w:type="dxa"/>
            <w:noWrap w:val="0"/>
            <w:vAlign w:val="top"/>
          </w:tcPr>
          <w:p w14:paraId="51368156">
            <w:pPr>
              <w:rPr>
                <w:rFonts w:ascii="Arial"/>
                <w:color w:val="auto"/>
                <w:sz w:val="21"/>
                <w:highlight w:val="none"/>
              </w:rPr>
            </w:pPr>
          </w:p>
        </w:tc>
        <w:tc>
          <w:tcPr>
            <w:tcW w:w="1211" w:type="dxa"/>
            <w:noWrap w:val="0"/>
            <w:vAlign w:val="top"/>
          </w:tcPr>
          <w:p w14:paraId="56325F3D">
            <w:pPr>
              <w:rPr>
                <w:rFonts w:ascii="Arial"/>
                <w:color w:val="auto"/>
                <w:sz w:val="21"/>
                <w:highlight w:val="none"/>
              </w:rPr>
            </w:pPr>
          </w:p>
        </w:tc>
        <w:tc>
          <w:tcPr>
            <w:tcW w:w="1248" w:type="dxa"/>
            <w:noWrap w:val="0"/>
            <w:vAlign w:val="top"/>
          </w:tcPr>
          <w:p w14:paraId="516AD8F2">
            <w:pPr>
              <w:rPr>
                <w:rFonts w:ascii="Arial"/>
                <w:color w:val="auto"/>
                <w:sz w:val="21"/>
                <w:highlight w:val="none"/>
              </w:rPr>
            </w:pPr>
          </w:p>
        </w:tc>
        <w:tc>
          <w:tcPr>
            <w:tcW w:w="1016" w:type="dxa"/>
            <w:tcBorders>
              <w:right w:val="single" w:color="000000" w:sz="6" w:space="0"/>
            </w:tcBorders>
            <w:noWrap w:val="0"/>
            <w:vAlign w:val="top"/>
          </w:tcPr>
          <w:p w14:paraId="2D6F0975">
            <w:pPr>
              <w:rPr>
                <w:rFonts w:ascii="Arial"/>
                <w:color w:val="auto"/>
                <w:sz w:val="21"/>
                <w:highlight w:val="none"/>
              </w:rPr>
            </w:pPr>
          </w:p>
        </w:tc>
      </w:tr>
      <w:tr w14:paraId="79DDD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683" w:type="dxa"/>
            <w:tcBorders>
              <w:left w:val="single" w:color="000000" w:sz="6" w:space="0"/>
              <w:bottom w:val="single" w:color="000000" w:sz="6" w:space="0"/>
            </w:tcBorders>
            <w:noWrap w:val="0"/>
            <w:vAlign w:val="top"/>
          </w:tcPr>
          <w:p w14:paraId="6AEB82A8">
            <w:pPr>
              <w:rPr>
                <w:rFonts w:ascii="Arial"/>
                <w:color w:val="auto"/>
                <w:sz w:val="21"/>
                <w:highlight w:val="none"/>
              </w:rPr>
            </w:pPr>
          </w:p>
        </w:tc>
        <w:tc>
          <w:tcPr>
            <w:tcW w:w="683" w:type="dxa"/>
            <w:tcBorders>
              <w:bottom w:val="single" w:color="000000" w:sz="6" w:space="0"/>
            </w:tcBorders>
            <w:noWrap w:val="0"/>
            <w:vAlign w:val="top"/>
          </w:tcPr>
          <w:p w14:paraId="69C74D2D">
            <w:pPr>
              <w:rPr>
                <w:rFonts w:ascii="Arial"/>
                <w:color w:val="auto"/>
                <w:sz w:val="21"/>
                <w:highlight w:val="none"/>
              </w:rPr>
            </w:pPr>
          </w:p>
        </w:tc>
        <w:tc>
          <w:tcPr>
            <w:tcW w:w="837" w:type="dxa"/>
            <w:tcBorders>
              <w:bottom w:val="single" w:color="000000" w:sz="6" w:space="0"/>
            </w:tcBorders>
            <w:noWrap w:val="0"/>
            <w:vAlign w:val="top"/>
          </w:tcPr>
          <w:p w14:paraId="2DAFE624">
            <w:pPr>
              <w:rPr>
                <w:rFonts w:ascii="Arial"/>
                <w:color w:val="auto"/>
                <w:sz w:val="21"/>
                <w:highlight w:val="none"/>
              </w:rPr>
            </w:pPr>
          </w:p>
        </w:tc>
        <w:tc>
          <w:tcPr>
            <w:tcW w:w="1365" w:type="dxa"/>
            <w:tcBorders>
              <w:bottom w:val="single" w:color="000000" w:sz="6" w:space="0"/>
            </w:tcBorders>
            <w:noWrap w:val="0"/>
            <w:vAlign w:val="top"/>
          </w:tcPr>
          <w:p w14:paraId="58625A02">
            <w:pPr>
              <w:rPr>
                <w:rFonts w:ascii="Arial"/>
                <w:color w:val="auto"/>
                <w:sz w:val="21"/>
                <w:highlight w:val="none"/>
              </w:rPr>
            </w:pPr>
          </w:p>
        </w:tc>
        <w:tc>
          <w:tcPr>
            <w:tcW w:w="849" w:type="dxa"/>
            <w:tcBorders>
              <w:bottom w:val="single" w:color="000000" w:sz="6" w:space="0"/>
            </w:tcBorders>
            <w:noWrap w:val="0"/>
            <w:vAlign w:val="top"/>
          </w:tcPr>
          <w:p w14:paraId="35F19AD9">
            <w:pPr>
              <w:rPr>
                <w:rFonts w:ascii="Arial"/>
                <w:color w:val="auto"/>
                <w:sz w:val="21"/>
                <w:highlight w:val="none"/>
              </w:rPr>
            </w:pPr>
          </w:p>
        </w:tc>
        <w:tc>
          <w:tcPr>
            <w:tcW w:w="1017" w:type="dxa"/>
            <w:tcBorders>
              <w:bottom w:val="single" w:color="000000" w:sz="6" w:space="0"/>
            </w:tcBorders>
            <w:noWrap w:val="0"/>
            <w:vAlign w:val="top"/>
          </w:tcPr>
          <w:p w14:paraId="5F5CDE20">
            <w:pPr>
              <w:rPr>
                <w:rFonts w:ascii="Arial"/>
                <w:color w:val="auto"/>
                <w:sz w:val="21"/>
                <w:highlight w:val="none"/>
              </w:rPr>
            </w:pPr>
          </w:p>
        </w:tc>
        <w:tc>
          <w:tcPr>
            <w:tcW w:w="1211" w:type="dxa"/>
            <w:tcBorders>
              <w:bottom w:val="single" w:color="000000" w:sz="6" w:space="0"/>
            </w:tcBorders>
            <w:noWrap w:val="0"/>
            <w:vAlign w:val="top"/>
          </w:tcPr>
          <w:p w14:paraId="1F2C345A">
            <w:pPr>
              <w:rPr>
                <w:rFonts w:ascii="Arial"/>
                <w:color w:val="auto"/>
                <w:sz w:val="21"/>
                <w:highlight w:val="none"/>
              </w:rPr>
            </w:pPr>
          </w:p>
        </w:tc>
        <w:tc>
          <w:tcPr>
            <w:tcW w:w="1248" w:type="dxa"/>
            <w:tcBorders>
              <w:bottom w:val="single" w:color="000000" w:sz="6" w:space="0"/>
            </w:tcBorders>
            <w:noWrap w:val="0"/>
            <w:vAlign w:val="top"/>
          </w:tcPr>
          <w:p w14:paraId="5E14DC4E">
            <w:pPr>
              <w:rPr>
                <w:rFonts w:ascii="Arial"/>
                <w:color w:val="auto"/>
                <w:sz w:val="21"/>
                <w:highlight w:val="none"/>
              </w:rPr>
            </w:pPr>
          </w:p>
        </w:tc>
        <w:tc>
          <w:tcPr>
            <w:tcW w:w="1016" w:type="dxa"/>
            <w:tcBorders>
              <w:bottom w:val="single" w:color="000000" w:sz="6" w:space="0"/>
              <w:right w:val="single" w:color="000000" w:sz="6" w:space="0"/>
            </w:tcBorders>
            <w:noWrap w:val="0"/>
            <w:vAlign w:val="top"/>
          </w:tcPr>
          <w:p w14:paraId="340D1403">
            <w:pPr>
              <w:rPr>
                <w:rFonts w:ascii="Arial"/>
                <w:color w:val="auto"/>
                <w:sz w:val="21"/>
                <w:highlight w:val="none"/>
              </w:rPr>
            </w:pPr>
          </w:p>
        </w:tc>
      </w:tr>
    </w:tbl>
    <w:p w14:paraId="14EC7F6E">
      <w:pPr>
        <w:spacing w:before="39" w:line="360" w:lineRule="auto"/>
        <w:ind w:left="11" w:firstLine="47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注：拟派项目管理机构主要人员必须在浙江省水利厅“浙江省水利建设市场信息”</w:t>
      </w:r>
      <w:r>
        <w:rPr>
          <w:rFonts w:ascii="宋体" w:hAnsi="宋体" w:eastAsia="宋体" w:cs="宋体"/>
          <w:color w:val="auto"/>
          <w:spacing w:val="6"/>
          <w:sz w:val="24"/>
          <w:szCs w:val="24"/>
          <w:highlight w:val="none"/>
        </w:rPr>
        <w:t xml:space="preserve"> </w:t>
      </w:r>
      <w:r>
        <w:rPr>
          <w:rFonts w:ascii="宋体" w:hAnsi="宋体" w:eastAsia="宋体" w:cs="宋体"/>
          <w:color w:val="auto"/>
          <w:sz w:val="24"/>
          <w:szCs w:val="24"/>
          <w:highlight w:val="none"/>
        </w:rPr>
        <w:t>上已经公示。投标人应在“十、原件的复制件”中提供 “浙江省水利工程建设管理</w:t>
      </w:r>
      <w:r>
        <w:rPr>
          <w:rFonts w:ascii="宋体" w:hAnsi="宋体" w:eastAsia="宋体" w:cs="宋体"/>
          <w:color w:val="auto"/>
          <w:spacing w:val="4"/>
          <w:sz w:val="24"/>
          <w:szCs w:val="24"/>
          <w:highlight w:val="none"/>
        </w:rPr>
        <w:t xml:space="preserve">   </w:t>
      </w:r>
      <w:r>
        <w:rPr>
          <w:rFonts w:ascii="宋体" w:hAnsi="宋体" w:eastAsia="宋体" w:cs="宋体"/>
          <w:color w:val="auto"/>
          <w:spacing w:val="-1"/>
          <w:sz w:val="24"/>
          <w:szCs w:val="24"/>
          <w:highlight w:val="none"/>
        </w:rPr>
        <w:t>系统（透明工程）”的打印件，打印件应含有</w:t>
      </w:r>
      <w:r>
        <w:rPr>
          <w:rFonts w:ascii="宋体" w:hAnsi="宋体" w:eastAsia="宋体" w:cs="宋体"/>
          <w:color w:val="auto"/>
          <w:spacing w:val="-2"/>
          <w:sz w:val="24"/>
          <w:szCs w:val="24"/>
          <w:highlight w:val="none"/>
        </w:rPr>
        <w:t>“浙江水利透明工程”水印。</w:t>
      </w:r>
    </w:p>
    <w:p w14:paraId="685C3CAC">
      <w:pPr>
        <w:spacing w:line="360" w:lineRule="auto"/>
        <w:rPr>
          <w:rFonts w:ascii="宋体" w:hAnsi="宋体" w:eastAsia="宋体" w:cs="宋体"/>
          <w:color w:val="auto"/>
          <w:sz w:val="24"/>
          <w:szCs w:val="24"/>
          <w:highlight w:val="none"/>
        </w:rPr>
        <w:sectPr>
          <w:footerReference r:id="rId126" w:type="default"/>
          <w:pgSz w:w="11905" w:h="16840"/>
          <w:pgMar w:top="400" w:right="1288" w:bottom="1255" w:left="1587" w:header="0" w:footer="1093" w:gutter="0"/>
          <w:pgNumType w:fmt="decimal"/>
          <w:cols w:space="720" w:num="1"/>
        </w:sectPr>
      </w:pPr>
    </w:p>
    <w:p w14:paraId="7700ABC4">
      <w:pPr>
        <w:pStyle w:val="8"/>
        <w:spacing w:line="247" w:lineRule="auto"/>
        <w:rPr>
          <w:color w:val="auto"/>
          <w:highlight w:val="none"/>
        </w:rPr>
      </w:pPr>
    </w:p>
    <w:p w14:paraId="51170D61">
      <w:pPr>
        <w:pStyle w:val="8"/>
        <w:spacing w:line="248" w:lineRule="auto"/>
        <w:rPr>
          <w:color w:val="auto"/>
          <w:highlight w:val="none"/>
        </w:rPr>
      </w:pPr>
    </w:p>
    <w:p w14:paraId="10F47AD3">
      <w:pPr>
        <w:pStyle w:val="8"/>
        <w:spacing w:line="248" w:lineRule="auto"/>
        <w:rPr>
          <w:color w:val="auto"/>
          <w:highlight w:val="none"/>
        </w:rPr>
      </w:pPr>
    </w:p>
    <w:p w14:paraId="1D4C6D07">
      <w:pPr>
        <w:pStyle w:val="8"/>
        <w:spacing w:line="248" w:lineRule="auto"/>
        <w:rPr>
          <w:color w:val="auto"/>
          <w:highlight w:val="none"/>
        </w:rPr>
      </w:pPr>
    </w:p>
    <w:p w14:paraId="2D04A571">
      <w:pPr>
        <w:spacing w:before="78" w:line="219" w:lineRule="auto"/>
        <w:ind w:left="15"/>
        <w:outlineLvl w:val="1"/>
        <w:rPr>
          <w:rFonts w:ascii="宋体" w:hAnsi="宋体" w:eastAsia="宋体" w:cs="宋体"/>
          <w:color w:val="auto"/>
          <w:sz w:val="24"/>
          <w:szCs w:val="24"/>
          <w:highlight w:val="none"/>
        </w:rPr>
      </w:pPr>
      <w:bookmarkStart w:id="215" w:name="bookmark605"/>
      <w:bookmarkEnd w:id="215"/>
      <w:bookmarkStart w:id="216" w:name="_Toc25092"/>
      <w:r>
        <w:rPr>
          <w:rFonts w:ascii="宋体" w:hAnsi="宋体" w:eastAsia="宋体" w:cs="宋体"/>
          <w:b/>
          <w:bCs/>
          <w:color w:val="auto"/>
          <w:spacing w:val="-5"/>
          <w:sz w:val="24"/>
          <w:szCs w:val="24"/>
          <w:highlight w:val="none"/>
        </w:rPr>
        <w:t>（二）主要人员简历表</w:t>
      </w:r>
      <w:bookmarkEnd w:id="216"/>
    </w:p>
    <w:p w14:paraId="20255CCA">
      <w:pPr>
        <w:spacing w:line="146" w:lineRule="exact"/>
        <w:rPr>
          <w:color w:val="auto"/>
          <w:highlight w:val="none"/>
        </w:rPr>
      </w:pPr>
    </w:p>
    <w:tbl>
      <w:tblPr>
        <w:tblStyle w:val="16"/>
        <w:tblW w:w="884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8"/>
        <w:gridCol w:w="326"/>
        <w:gridCol w:w="1243"/>
        <w:gridCol w:w="762"/>
        <w:gridCol w:w="1252"/>
        <w:gridCol w:w="111"/>
        <w:gridCol w:w="1319"/>
        <w:gridCol w:w="1309"/>
        <w:gridCol w:w="1318"/>
      </w:tblGrid>
      <w:tr w14:paraId="4DBF35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534" w:type="dxa"/>
            <w:gridSpan w:val="2"/>
            <w:tcBorders>
              <w:top w:val="single" w:color="000000" w:sz="6" w:space="0"/>
              <w:left w:val="single" w:color="000000" w:sz="6" w:space="0"/>
            </w:tcBorders>
            <w:noWrap w:val="0"/>
            <w:vAlign w:val="top"/>
          </w:tcPr>
          <w:p w14:paraId="0EEFFD2E">
            <w:pPr>
              <w:pStyle w:val="17"/>
              <w:spacing w:before="107" w:line="220" w:lineRule="auto"/>
              <w:ind w:left="287"/>
              <w:rPr>
                <w:color w:val="auto"/>
                <w:sz w:val="24"/>
                <w:szCs w:val="24"/>
                <w:highlight w:val="none"/>
              </w:rPr>
            </w:pPr>
            <w:r>
              <w:rPr>
                <w:color w:val="auto"/>
                <w:spacing w:val="-5"/>
                <w:sz w:val="24"/>
                <w:szCs w:val="24"/>
                <w:highlight w:val="none"/>
              </w:rPr>
              <w:t>姓</w:t>
            </w:r>
            <w:r>
              <w:rPr>
                <w:color w:val="auto"/>
                <w:spacing w:val="3"/>
                <w:sz w:val="24"/>
                <w:szCs w:val="24"/>
                <w:highlight w:val="none"/>
              </w:rPr>
              <w:t xml:space="preserve">    </w:t>
            </w:r>
            <w:r>
              <w:rPr>
                <w:color w:val="auto"/>
                <w:spacing w:val="-5"/>
                <w:sz w:val="24"/>
                <w:szCs w:val="24"/>
                <w:highlight w:val="none"/>
              </w:rPr>
              <w:t>名</w:t>
            </w:r>
          </w:p>
        </w:tc>
        <w:tc>
          <w:tcPr>
            <w:tcW w:w="1243" w:type="dxa"/>
            <w:tcBorders>
              <w:top w:val="single" w:color="000000" w:sz="6" w:space="0"/>
            </w:tcBorders>
            <w:noWrap w:val="0"/>
            <w:vAlign w:val="top"/>
          </w:tcPr>
          <w:p w14:paraId="6FCD5C01">
            <w:pPr>
              <w:rPr>
                <w:rFonts w:ascii="Arial"/>
                <w:color w:val="auto"/>
                <w:sz w:val="21"/>
                <w:highlight w:val="none"/>
              </w:rPr>
            </w:pPr>
          </w:p>
        </w:tc>
        <w:tc>
          <w:tcPr>
            <w:tcW w:w="762" w:type="dxa"/>
            <w:tcBorders>
              <w:top w:val="single" w:color="000000" w:sz="6" w:space="0"/>
            </w:tcBorders>
            <w:noWrap w:val="0"/>
            <w:vAlign w:val="top"/>
          </w:tcPr>
          <w:p w14:paraId="05700DBA">
            <w:pPr>
              <w:pStyle w:val="17"/>
              <w:spacing w:before="107" w:line="220" w:lineRule="auto"/>
              <w:ind w:left="146"/>
              <w:rPr>
                <w:color w:val="auto"/>
                <w:sz w:val="24"/>
                <w:szCs w:val="24"/>
                <w:highlight w:val="none"/>
              </w:rPr>
            </w:pPr>
            <w:r>
              <w:rPr>
                <w:color w:val="auto"/>
                <w:spacing w:val="-3"/>
                <w:sz w:val="24"/>
                <w:szCs w:val="24"/>
                <w:highlight w:val="none"/>
              </w:rPr>
              <w:t>年龄</w:t>
            </w:r>
          </w:p>
        </w:tc>
        <w:tc>
          <w:tcPr>
            <w:tcW w:w="1252" w:type="dxa"/>
            <w:tcBorders>
              <w:top w:val="single" w:color="000000" w:sz="6" w:space="0"/>
            </w:tcBorders>
            <w:noWrap w:val="0"/>
            <w:vAlign w:val="top"/>
          </w:tcPr>
          <w:p w14:paraId="402541DE">
            <w:pPr>
              <w:rPr>
                <w:rFonts w:ascii="Arial"/>
                <w:color w:val="auto"/>
                <w:sz w:val="21"/>
                <w:highlight w:val="none"/>
              </w:rPr>
            </w:pPr>
          </w:p>
        </w:tc>
        <w:tc>
          <w:tcPr>
            <w:tcW w:w="2739" w:type="dxa"/>
            <w:gridSpan w:val="3"/>
            <w:tcBorders>
              <w:top w:val="single" w:color="000000" w:sz="6" w:space="0"/>
            </w:tcBorders>
            <w:noWrap w:val="0"/>
            <w:vAlign w:val="top"/>
          </w:tcPr>
          <w:p w14:paraId="5811AF73">
            <w:pPr>
              <w:pStyle w:val="17"/>
              <w:spacing w:before="107" w:line="221" w:lineRule="auto"/>
              <w:ind w:left="664"/>
              <w:rPr>
                <w:color w:val="auto"/>
                <w:sz w:val="24"/>
                <w:szCs w:val="24"/>
                <w:highlight w:val="none"/>
              </w:rPr>
            </w:pPr>
            <w:r>
              <w:rPr>
                <w:color w:val="auto"/>
                <w:spacing w:val="-8"/>
                <w:sz w:val="24"/>
                <w:szCs w:val="24"/>
                <w:highlight w:val="none"/>
              </w:rPr>
              <w:t>学</w:t>
            </w:r>
            <w:r>
              <w:rPr>
                <w:color w:val="auto"/>
                <w:spacing w:val="1"/>
                <w:sz w:val="24"/>
                <w:szCs w:val="24"/>
                <w:highlight w:val="none"/>
              </w:rPr>
              <w:t xml:space="preserve">        </w:t>
            </w:r>
            <w:r>
              <w:rPr>
                <w:color w:val="auto"/>
                <w:spacing w:val="-8"/>
                <w:sz w:val="24"/>
                <w:szCs w:val="24"/>
                <w:highlight w:val="none"/>
              </w:rPr>
              <w:t>历</w:t>
            </w:r>
          </w:p>
        </w:tc>
        <w:tc>
          <w:tcPr>
            <w:tcW w:w="1318" w:type="dxa"/>
            <w:tcBorders>
              <w:top w:val="single" w:color="000000" w:sz="6" w:space="0"/>
              <w:right w:val="single" w:color="000000" w:sz="6" w:space="0"/>
            </w:tcBorders>
            <w:noWrap w:val="0"/>
            <w:vAlign w:val="top"/>
          </w:tcPr>
          <w:p w14:paraId="54C8D050">
            <w:pPr>
              <w:rPr>
                <w:rFonts w:ascii="Arial"/>
                <w:color w:val="auto"/>
                <w:sz w:val="21"/>
                <w:highlight w:val="none"/>
              </w:rPr>
            </w:pPr>
          </w:p>
        </w:tc>
      </w:tr>
      <w:tr w14:paraId="30209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534" w:type="dxa"/>
            <w:gridSpan w:val="2"/>
            <w:tcBorders>
              <w:left w:val="single" w:color="000000" w:sz="6" w:space="0"/>
            </w:tcBorders>
            <w:noWrap w:val="0"/>
            <w:vAlign w:val="top"/>
          </w:tcPr>
          <w:p w14:paraId="35BE9451">
            <w:pPr>
              <w:pStyle w:val="17"/>
              <w:spacing w:before="103" w:line="220" w:lineRule="auto"/>
              <w:ind w:left="287"/>
              <w:rPr>
                <w:color w:val="auto"/>
                <w:sz w:val="24"/>
                <w:szCs w:val="24"/>
                <w:highlight w:val="none"/>
              </w:rPr>
            </w:pPr>
            <w:r>
              <w:rPr>
                <w:color w:val="auto"/>
                <w:spacing w:val="-2"/>
                <w:sz w:val="24"/>
                <w:szCs w:val="24"/>
                <w:highlight w:val="none"/>
              </w:rPr>
              <w:t>执业资格</w:t>
            </w:r>
          </w:p>
        </w:tc>
        <w:tc>
          <w:tcPr>
            <w:tcW w:w="3257" w:type="dxa"/>
            <w:gridSpan w:val="3"/>
            <w:noWrap w:val="0"/>
            <w:vAlign w:val="top"/>
          </w:tcPr>
          <w:p w14:paraId="7385CB01">
            <w:pPr>
              <w:rPr>
                <w:rFonts w:ascii="Arial"/>
                <w:color w:val="auto"/>
                <w:sz w:val="21"/>
                <w:highlight w:val="none"/>
              </w:rPr>
            </w:pPr>
          </w:p>
        </w:tc>
        <w:tc>
          <w:tcPr>
            <w:tcW w:w="2739" w:type="dxa"/>
            <w:gridSpan w:val="3"/>
            <w:noWrap w:val="0"/>
            <w:vAlign w:val="top"/>
          </w:tcPr>
          <w:p w14:paraId="6B5BA7AD">
            <w:pPr>
              <w:pStyle w:val="17"/>
              <w:spacing w:before="104" w:line="219" w:lineRule="auto"/>
              <w:ind w:left="184"/>
              <w:rPr>
                <w:color w:val="auto"/>
                <w:sz w:val="24"/>
                <w:szCs w:val="24"/>
                <w:highlight w:val="none"/>
              </w:rPr>
            </w:pPr>
            <w:r>
              <w:rPr>
                <w:color w:val="auto"/>
                <w:spacing w:val="-2"/>
                <w:sz w:val="24"/>
                <w:szCs w:val="24"/>
                <w:highlight w:val="none"/>
              </w:rPr>
              <w:t>安全生产考核合格证书</w:t>
            </w:r>
          </w:p>
        </w:tc>
        <w:tc>
          <w:tcPr>
            <w:tcW w:w="1318" w:type="dxa"/>
            <w:tcBorders>
              <w:right w:val="single" w:color="000000" w:sz="6" w:space="0"/>
            </w:tcBorders>
            <w:noWrap w:val="0"/>
            <w:vAlign w:val="top"/>
          </w:tcPr>
          <w:p w14:paraId="6FDE1637">
            <w:pPr>
              <w:rPr>
                <w:rFonts w:ascii="Arial"/>
                <w:color w:val="auto"/>
                <w:sz w:val="21"/>
                <w:highlight w:val="none"/>
              </w:rPr>
            </w:pPr>
          </w:p>
        </w:tc>
      </w:tr>
      <w:tr w14:paraId="43F77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534" w:type="dxa"/>
            <w:gridSpan w:val="2"/>
            <w:tcBorders>
              <w:left w:val="single" w:color="000000" w:sz="6" w:space="0"/>
            </w:tcBorders>
            <w:noWrap w:val="0"/>
            <w:vAlign w:val="top"/>
          </w:tcPr>
          <w:p w14:paraId="6B3C858C">
            <w:pPr>
              <w:pStyle w:val="17"/>
              <w:spacing w:before="104" w:line="222" w:lineRule="auto"/>
              <w:ind w:left="288"/>
              <w:rPr>
                <w:color w:val="auto"/>
                <w:sz w:val="24"/>
                <w:szCs w:val="24"/>
                <w:highlight w:val="none"/>
              </w:rPr>
            </w:pPr>
            <w:r>
              <w:rPr>
                <w:color w:val="auto"/>
                <w:spacing w:val="-6"/>
                <w:sz w:val="24"/>
                <w:szCs w:val="24"/>
                <w:highlight w:val="none"/>
              </w:rPr>
              <w:t>职</w:t>
            </w:r>
            <w:r>
              <w:rPr>
                <w:color w:val="auto"/>
                <w:spacing w:val="2"/>
                <w:sz w:val="24"/>
                <w:szCs w:val="24"/>
                <w:highlight w:val="none"/>
              </w:rPr>
              <w:t xml:space="preserve">    </w:t>
            </w:r>
            <w:r>
              <w:rPr>
                <w:color w:val="auto"/>
                <w:spacing w:val="-6"/>
                <w:sz w:val="24"/>
                <w:szCs w:val="24"/>
                <w:highlight w:val="none"/>
              </w:rPr>
              <w:t>称</w:t>
            </w:r>
          </w:p>
        </w:tc>
        <w:tc>
          <w:tcPr>
            <w:tcW w:w="1243" w:type="dxa"/>
            <w:noWrap w:val="0"/>
            <w:vAlign w:val="top"/>
          </w:tcPr>
          <w:p w14:paraId="396F2F7F">
            <w:pPr>
              <w:rPr>
                <w:rFonts w:ascii="Arial"/>
                <w:color w:val="auto"/>
                <w:sz w:val="21"/>
                <w:highlight w:val="none"/>
              </w:rPr>
            </w:pPr>
          </w:p>
        </w:tc>
        <w:tc>
          <w:tcPr>
            <w:tcW w:w="762" w:type="dxa"/>
            <w:noWrap w:val="0"/>
            <w:vAlign w:val="top"/>
          </w:tcPr>
          <w:p w14:paraId="1CA7A08C">
            <w:pPr>
              <w:pStyle w:val="17"/>
              <w:spacing w:before="104" w:line="220" w:lineRule="auto"/>
              <w:ind w:left="146"/>
              <w:rPr>
                <w:color w:val="auto"/>
                <w:sz w:val="24"/>
                <w:szCs w:val="24"/>
                <w:highlight w:val="none"/>
              </w:rPr>
            </w:pPr>
            <w:r>
              <w:rPr>
                <w:color w:val="auto"/>
                <w:spacing w:val="-3"/>
                <w:sz w:val="24"/>
                <w:szCs w:val="24"/>
                <w:highlight w:val="none"/>
              </w:rPr>
              <w:t>职务</w:t>
            </w:r>
          </w:p>
        </w:tc>
        <w:tc>
          <w:tcPr>
            <w:tcW w:w="1252" w:type="dxa"/>
            <w:noWrap w:val="0"/>
            <w:vAlign w:val="top"/>
          </w:tcPr>
          <w:p w14:paraId="15125507">
            <w:pPr>
              <w:rPr>
                <w:rFonts w:ascii="Arial"/>
                <w:color w:val="auto"/>
                <w:sz w:val="21"/>
                <w:highlight w:val="none"/>
              </w:rPr>
            </w:pPr>
          </w:p>
        </w:tc>
        <w:tc>
          <w:tcPr>
            <w:tcW w:w="2739" w:type="dxa"/>
            <w:gridSpan w:val="3"/>
            <w:noWrap w:val="0"/>
            <w:vAlign w:val="top"/>
          </w:tcPr>
          <w:p w14:paraId="06D3F095">
            <w:pPr>
              <w:pStyle w:val="17"/>
              <w:spacing w:before="104" w:line="219" w:lineRule="auto"/>
              <w:ind w:left="539"/>
              <w:rPr>
                <w:color w:val="auto"/>
                <w:sz w:val="24"/>
                <w:szCs w:val="24"/>
                <w:highlight w:val="none"/>
              </w:rPr>
            </w:pPr>
            <w:r>
              <w:rPr>
                <w:color w:val="auto"/>
                <w:spacing w:val="-2"/>
                <w:sz w:val="24"/>
                <w:szCs w:val="24"/>
                <w:highlight w:val="none"/>
              </w:rPr>
              <w:t>拟在本合同任职</w:t>
            </w:r>
          </w:p>
        </w:tc>
        <w:tc>
          <w:tcPr>
            <w:tcW w:w="1318" w:type="dxa"/>
            <w:tcBorders>
              <w:right w:val="single" w:color="000000" w:sz="6" w:space="0"/>
            </w:tcBorders>
            <w:noWrap w:val="0"/>
            <w:vAlign w:val="top"/>
          </w:tcPr>
          <w:p w14:paraId="200F734D">
            <w:pPr>
              <w:rPr>
                <w:rFonts w:ascii="Arial"/>
                <w:color w:val="auto"/>
                <w:sz w:val="21"/>
                <w:highlight w:val="none"/>
              </w:rPr>
            </w:pPr>
          </w:p>
        </w:tc>
      </w:tr>
      <w:tr w14:paraId="01C9D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534" w:type="dxa"/>
            <w:gridSpan w:val="2"/>
            <w:tcBorders>
              <w:left w:val="single" w:color="000000" w:sz="6" w:space="0"/>
            </w:tcBorders>
            <w:noWrap w:val="0"/>
            <w:vAlign w:val="top"/>
          </w:tcPr>
          <w:p w14:paraId="2876AA0E">
            <w:pPr>
              <w:pStyle w:val="17"/>
              <w:spacing w:before="106" w:line="220" w:lineRule="auto"/>
              <w:ind w:left="291"/>
              <w:rPr>
                <w:color w:val="auto"/>
                <w:sz w:val="24"/>
                <w:szCs w:val="24"/>
                <w:highlight w:val="none"/>
              </w:rPr>
            </w:pPr>
            <w:r>
              <w:rPr>
                <w:color w:val="auto"/>
                <w:spacing w:val="-3"/>
                <w:sz w:val="24"/>
                <w:szCs w:val="24"/>
                <w:highlight w:val="none"/>
              </w:rPr>
              <w:t>毕业学校</w:t>
            </w:r>
          </w:p>
        </w:tc>
        <w:tc>
          <w:tcPr>
            <w:tcW w:w="7314" w:type="dxa"/>
            <w:gridSpan w:val="7"/>
            <w:tcBorders>
              <w:right w:val="single" w:color="000000" w:sz="6" w:space="0"/>
            </w:tcBorders>
            <w:noWrap w:val="0"/>
            <w:vAlign w:val="top"/>
          </w:tcPr>
          <w:p w14:paraId="4105245A">
            <w:pPr>
              <w:pStyle w:val="17"/>
              <w:spacing w:before="106" w:line="220" w:lineRule="auto"/>
              <w:ind w:left="1442"/>
              <w:rPr>
                <w:color w:val="auto"/>
                <w:sz w:val="24"/>
                <w:szCs w:val="24"/>
                <w:highlight w:val="none"/>
              </w:rPr>
            </w:pPr>
            <w:r>
              <w:rPr>
                <w:color w:val="auto"/>
                <w:spacing w:val="-2"/>
                <w:sz w:val="24"/>
                <w:szCs w:val="24"/>
                <w:highlight w:val="none"/>
              </w:rPr>
              <w:t>年毕业于</w:t>
            </w:r>
            <w:r>
              <w:rPr>
                <w:color w:val="auto"/>
                <w:spacing w:val="1"/>
                <w:sz w:val="24"/>
                <w:szCs w:val="24"/>
                <w:highlight w:val="none"/>
              </w:rPr>
              <w:t xml:space="preserve">                 </w:t>
            </w:r>
            <w:r>
              <w:rPr>
                <w:color w:val="auto"/>
                <w:spacing w:val="-2"/>
                <w:sz w:val="24"/>
                <w:szCs w:val="24"/>
                <w:highlight w:val="none"/>
              </w:rPr>
              <w:t>学校         专业</w:t>
            </w:r>
          </w:p>
        </w:tc>
      </w:tr>
      <w:tr w14:paraId="5EFE0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8848" w:type="dxa"/>
            <w:gridSpan w:val="9"/>
            <w:tcBorders>
              <w:left w:val="single" w:color="000000" w:sz="6" w:space="0"/>
              <w:right w:val="single" w:color="000000" w:sz="6" w:space="0"/>
            </w:tcBorders>
            <w:noWrap w:val="0"/>
            <w:vAlign w:val="top"/>
          </w:tcPr>
          <w:p w14:paraId="53D38334">
            <w:pPr>
              <w:pStyle w:val="17"/>
              <w:spacing w:before="106" w:line="220" w:lineRule="auto"/>
              <w:ind w:left="3467"/>
              <w:rPr>
                <w:color w:val="auto"/>
                <w:sz w:val="24"/>
                <w:szCs w:val="24"/>
                <w:highlight w:val="none"/>
              </w:rPr>
            </w:pPr>
            <w:r>
              <w:rPr>
                <w:color w:val="auto"/>
                <w:spacing w:val="-2"/>
                <w:sz w:val="24"/>
                <w:szCs w:val="24"/>
                <w:highlight w:val="none"/>
              </w:rPr>
              <w:t>主要施工管理经历</w:t>
            </w:r>
          </w:p>
        </w:tc>
      </w:tr>
      <w:tr w14:paraId="5D865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5CF92DB3">
            <w:pPr>
              <w:pStyle w:val="17"/>
              <w:spacing w:before="108" w:line="222" w:lineRule="auto"/>
              <w:ind w:left="375"/>
              <w:rPr>
                <w:color w:val="auto"/>
                <w:sz w:val="24"/>
                <w:szCs w:val="24"/>
                <w:highlight w:val="none"/>
              </w:rPr>
            </w:pPr>
            <w:r>
              <w:rPr>
                <w:color w:val="auto"/>
                <w:spacing w:val="-6"/>
                <w:sz w:val="24"/>
                <w:szCs w:val="24"/>
                <w:highlight w:val="none"/>
              </w:rPr>
              <w:t>时间</w:t>
            </w:r>
          </w:p>
        </w:tc>
        <w:tc>
          <w:tcPr>
            <w:tcW w:w="3694" w:type="dxa"/>
            <w:gridSpan w:val="5"/>
            <w:noWrap w:val="0"/>
            <w:vAlign w:val="top"/>
          </w:tcPr>
          <w:p w14:paraId="6D1DF4A0">
            <w:pPr>
              <w:pStyle w:val="17"/>
              <w:spacing w:before="108" w:line="220" w:lineRule="auto"/>
              <w:ind w:left="893"/>
              <w:rPr>
                <w:color w:val="auto"/>
                <w:sz w:val="24"/>
                <w:szCs w:val="24"/>
                <w:highlight w:val="none"/>
              </w:rPr>
            </w:pPr>
            <w:r>
              <w:rPr>
                <w:color w:val="auto"/>
                <w:spacing w:val="-2"/>
                <w:sz w:val="24"/>
                <w:szCs w:val="24"/>
                <w:highlight w:val="none"/>
              </w:rPr>
              <w:t>参加过的类似项目</w:t>
            </w:r>
          </w:p>
        </w:tc>
        <w:tc>
          <w:tcPr>
            <w:tcW w:w="1319" w:type="dxa"/>
            <w:noWrap w:val="0"/>
            <w:vAlign w:val="top"/>
          </w:tcPr>
          <w:p w14:paraId="2173FA70">
            <w:pPr>
              <w:pStyle w:val="17"/>
              <w:spacing w:before="108" w:line="220" w:lineRule="auto"/>
              <w:ind w:left="188"/>
              <w:rPr>
                <w:color w:val="auto"/>
                <w:sz w:val="24"/>
                <w:szCs w:val="24"/>
                <w:highlight w:val="none"/>
              </w:rPr>
            </w:pPr>
            <w:r>
              <w:rPr>
                <w:color w:val="auto"/>
                <w:spacing w:val="-2"/>
                <w:sz w:val="24"/>
                <w:szCs w:val="24"/>
                <w:highlight w:val="none"/>
              </w:rPr>
              <w:t>担任职务</w:t>
            </w:r>
          </w:p>
        </w:tc>
        <w:tc>
          <w:tcPr>
            <w:tcW w:w="2627" w:type="dxa"/>
            <w:gridSpan w:val="2"/>
            <w:tcBorders>
              <w:right w:val="single" w:color="000000" w:sz="6" w:space="0"/>
            </w:tcBorders>
            <w:noWrap w:val="0"/>
            <w:vAlign w:val="top"/>
          </w:tcPr>
          <w:p w14:paraId="5543FBF9">
            <w:pPr>
              <w:pStyle w:val="17"/>
              <w:spacing w:before="109" w:line="220" w:lineRule="auto"/>
              <w:ind w:left="364"/>
              <w:rPr>
                <w:color w:val="auto"/>
                <w:sz w:val="24"/>
                <w:szCs w:val="24"/>
                <w:highlight w:val="none"/>
              </w:rPr>
            </w:pPr>
            <w:r>
              <w:rPr>
                <w:color w:val="auto"/>
                <w:spacing w:val="-2"/>
                <w:sz w:val="24"/>
                <w:szCs w:val="24"/>
                <w:highlight w:val="none"/>
              </w:rPr>
              <w:t>发包人及联系电话</w:t>
            </w:r>
          </w:p>
        </w:tc>
      </w:tr>
      <w:tr w14:paraId="7795C3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08" w:type="dxa"/>
            <w:tcBorders>
              <w:left w:val="single" w:color="000000" w:sz="6" w:space="0"/>
            </w:tcBorders>
            <w:noWrap w:val="0"/>
            <w:vAlign w:val="top"/>
          </w:tcPr>
          <w:p w14:paraId="6D79DB78">
            <w:pPr>
              <w:rPr>
                <w:rFonts w:ascii="Arial"/>
                <w:color w:val="auto"/>
                <w:sz w:val="21"/>
                <w:highlight w:val="none"/>
              </w:rPr>
            </w:pPr>
          </w:p>
        </w:tc>
        <w:tc>
          <w:tcPr>
            <w:tcW w:w="3694" w:type="dxa"/>
            <w:gridSpan w:val="5"/>
            <w:noWrap w:val="0"/>
            <w:vAlign w:val="top"/>
          </w:tcPr>
          <w:p w14:paraId="2C2003B1">
            <w:pPr>
              <w:rPr>
                <w:rFonts w:ascii="Arial"/>
                <w:color w:val="auto"/>
                <w:sz w:val="21"/>
                <w:highlight w:val="none"/>
              </w:rPr>
            </w:pPr>
          </w:p>
        </w:tc>
        <w:tc>
          <w:tcPr>
            <w:tcW w:w="1319" w:type="dxa"/>
            <w:noWrap w:val="0"/>
            <w:vAlign w:val="top"/>
          </w:tcPr>
          <w:p w14:paraId="5C4475CF">
            <w:pPr>
              <w:rPr>
                <w:rFonts w:ascii="Arial"/>
                <w:color w:val="auto"/>
                <w:sz w:val="21"/>
                <w:highlight w:val="none"/>
              </w:rPr>
            </w:pPr>
          </w:p>
        </w:tc>
        <w:tc>
          <w:tcPr>
            <w:tcW w:w="2627" w:type="dxa"/>
            <w:gridSpan w:val="2"/>
            <w:tcBorders>
              <w:right w:val="single" w:color="000000" w:sz="6" w:space="0"/>
            </w:tcBorders>
            <w:noWrap w:val="0"/>
            <w:vAlign w:val="top"/>
          </w:tcPr>
          <w:p w14:paraId="6D91D73D">
            <w:pPr>
              <w:rPr>
                <w:rFonts w:ascii="Arial"/>
                <w:color w:val="auto"/>
                <w:sz w:val="21"/>
                <w:highlight w:val="none"/>
              </w:rPr>
            </w:pPr>
          </w:p>
        </w:tc>
      </w:tr>
      <w:tr w14:paraId="41699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247E1274">
            <w:pPr>
              <w:rPr>
                <w:rFonts w:ascii="Arial"/>
                <w:color w:val="auto"/>
                <w:sz w:val="21"/>
                <w:highlight w:val="none"/>
              </w:rPr>
            </w:pPr>
          </w:p>
        </w:tc>
        <w:tc>
          <w:tcPr>
            <w:tcW w:w="3694" w:type="dxa"/>
            <w:gridSpan w:val="5"/>
            <w:noWrap w:val="0"/>
            <w:vAlign w:val="top"/>
          </w:tcPr>
          <w:p w14:paraId="41BB0765">
            <w:pPr>
              <w:rPr>
                <w:rFonts w:ascii="Arial"/>
                <w:color w:val="auto"/>
                <w:sz w:val="21"/>
                <w:highlight w:val="none"/>
              </w:rPr>
            </w:pPr>
          </w:p>
        </w:tc>
        <w:tc>
          <w:tcPr>
            <w:tcW w:w="1319" w:type="dxa"/>
            <w:noWrap w:val="0"/>
            <w:vAlign w:val="top"/>
          </w:tcPr>
          <w:p w14:paraId="4718E2DD">
            <w:pPr>
              <w:rPr>
                <w:rFonts w:ascii="Arial"/>
                <w:color w:val="auto"/>
                <w:sz w:val="21"/>
                <w:highlight w:val="none"/>
              </w:rPr>
            </w:pPr>
          </w:p>
        </w:tc>
        <w:tc>
          <w:tcPr>
            <w:tcW w:w="2627" w:type="dxa"/>
            <w:gridSpan w:val="2"/>
            <w:tcBorders>
              <w:right w:val="single" w:color="000000" w:sz="6" w:space="0"/>
            </w:tcBorders>
            <w:noWrap w:val="0"/>
            <w:vAlign w:val="top"/>
          </w:tcPr>
          <w:p w14:paraId="62E2A7B3">
            <w:pPr>
              <w:rPr>
                <w:rFonts w:ascii="Arial"/>
                <w:color w:val="auto"/>
                <w:sz w:val="21"/>
                <w:highlight w:val="none"/>
              </w:rPr>
            </w:pPr>
          </w:p>
        </w:tc>
      </w:tr>
      <w:tr w14:paraId="34763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3CF188BE">
            <w:pPr>
              <w:rPr>
                <w:rFonts w:ascii="Arial"/>
                <w:color w:val="auto"/>
                <w:sz w:val="21"/>
                <w:highlight w:val="none"/>
              </w:rPr>
            </w:pPr>
          </w:p>
        </w:tc>
        <w:tc>
          <w:tcPr>
            <w:tcW w:w="3694" w:type="dxa"/>
            <w:gridSpan w:val="5"/>
            <w:noWrap w:val="0"/>
            <w:vAlign w:val="top"/>
          </w:tcPr>
          <w:p w14:paraId="755E638C">
            <w:pPr>
              <w:rPr>
                <w:rFonts w:ascii="Arial"/>
                <w:color w:val="auto"/>
                <w:sz w:val="21"/>
                <w:highlight w:val="none"/>
              </w:rPr>
            </w:pPr>
          </w:p>
        </w:tc>
        <w:tc>
          <w:tcPr>
            <w:tcW w:w="1319" w:type="dxa"/>
            <w:noWrap w:val="0"/>
            <w:vAlign w:val="top"/>
          </w:tcPr>
          <w:p w14:paraId="322FED1F">
            <w:pPr>
              <w:rPr>
                <w:rFonts w:ascii="Arial"/>
                <w:color w:val="auto"/>
                <w:sz w:val="21"/>
                <w:highlight w:val="none"/>
              </w:rPr>
            </w:pPr>
          </w:p>
        </w:tc>
        <w:tc>
          <w:tcPr>
            <w:tcW w:w="2627" w:type="dxa"/>
            <w:gridSpan w:val="2"/>
            <w:tcBorders>
              <w:right w:val="single" w:color="000000" w:sz="6" w:space="0"/>
            </w:tcBorders>
            <w:noWrap w:val="0"/>
            <w:vAlign w:val="top"/>
          </w:tcPr>
          <w:p w14:paraId="5B2827E0">
            <w:pPr>
              <w:rPr>
                <w:rFonts w:ascii="Arial"/>
                <w:color w:val="auto"/>
                <w:sz w:val="21"/>
                <w:highlight w:val="none"/>
              </w:rPr>
            </w:pPr>
          </w:p>
        </w:tc>
      </w:tr>
      <w:tr w14:paraId="63251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08" w:type="dxa"/>
            <w:tcBorders>
              <w:left w:val="single" w:color="000000" w:sz="6" w:space="0"/>
            </w:tcBorders>
            <w:noWrap w:val="0"/>
            <w:vAlign w:val="top"/>
          </w:tcPr>
          <w:p w14:paraId="489C38D8">
            <w:pPr>
              <w:rPr>
                <w:rFonts w:ascii="Arial"/>
                <w:color w:val="auto"/>
                <w:sz w:val="21"/>
                <w:highlight w:val="none"/>
              </w:rPr>
            </w:pPr>
          </w:p>
        </w:tc>
        <w:tc>
          <w:tcPr>
            <w:tcW w:w="3694" w:type="dxa"/>
            <w:gridSpan w:val="5"/>
            <w:noWrap w:val="0"/>
            <w:vAlign w:val="top"/>
          </w:tcPr>
          <w:p w14:paraId="772FA4AE">
            <w:pPr>
              <w:rPr>
                <w:rFonts w:ascii="Arial"/>
                <w:color w:val="auto"/>
                <w:sz w:val="21"/>
                <w:highlight w:val="none"/>
              </w:rPr>
            </w:pPr>
          </w:p>
        </w:tc>
        <w:tc>
          <w:tcPr>
            <w:tcW w:w="1319" w:type="dxa"/>
            <w:noWrap w:val="0"/>
            <w:vAlign w:val="top"/>
          </w:tcPr>
          <w:p w14:paraId="3F0CC5BC">
            <w:pPr>
              <w:rPr>
                <w:rFonts w:ascii="Arial"/>
                <w:color w:val="auto"/>
                <w:sz w:val="21"/>
                <w:highlight w:val="none"/>
              </w:rPr>
            </w:pPr>
          </w:p>
        </w:tc>
        <w:tc>
          <w:tcPr>
            <w:tcW w:w="2627" w:type="dxa"/>
            <w:gridSpan w:val="2"/>
            <w:tcBorders>
              <w:right w:val="single" w:color="000000" w:sz="6" w:space="0"/>
            </w:tcBorders>
            <w:noWrap w:val="0"/>
            <w:vAlign w:val="top"/>
          </w:tcPr>
          <w:p w14:paraId="5E688067">
            <w:pPr>
              <w:rPr>
                <w:rFonts w:ascii="Arial"/>
                <w:color w:val="auto"/>
                <w:sz w:val="21"/>
                <w:highlight w:val="none"/>
              </w:rPr>
            </w:pPr>
          </w:p>
        </w:tc>
      </w:tr>
      <w:tr w14:paraId="5480C8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03B9B4C7">
            <w:pPr>
              <w:rPr>
                <w:rFonts w:ascii="Arial"/>
                <w:color w:val="auto"/>
                <w:sz w:val="21"/>
                <w:highlight w:val="none"/>
              </w:rPr>
            </w:pPr>
          </w:p>
        </w:tc>
        <w:tc>
          <w:tcPr>
            <w:tcW w:w="3694" w:type="dxa"/>
            <w:gridSpan w:val="5"/>
            <w:noWrap w:val="0"/>
            <w:vAlign w:val="top"/>
          </w:tcPr>
          <w:p w14:paraId="06D811CE">
            <w:pPr>
              <w:rPr>
                <w:rFonts w:ascii="Arial"/>
                <w:color w:val="auto"/>
                <w:sz w:val="21"/>
                <w:highlight w:val="none"/>
              </w:rPr>
            </w:pPr>
          </w:p>
        </w:tc>
        <w:tc>
          <w:tcPr>
            <w:tcW w:w="1319" w:type="dxa"/>
            <w:noWrap w:val="0"/>
            <w:vAlign w:val="top"/>
          </w:tcPr>
          <w:p w14:paraId="34A846F8">
            <w:pPr>
              <w:rPr>
                <w:rFonts w:ascii="Arial"/>
                <w:color w:val="auto"/>
                <w:sz w:val="21"/>
                <w:highlight w:val="none"/>
              </w:rPr>
            </w:pPr>
          </w:p>
        </w:tc>
        <w:tc>
          <w:tcPr>
            <w:tcW w:w="2627" w:type="dxa"/>
            <w:gridSpan w:val="2"/>
            <w:tcBorders>
              <w:right w:val="single" w:color="000000" w:sz="6" w:space="0"/>
            </w:tcBorders>
            <w:noWrap w:val="0"/>
            <w:vAlign w:val="top"/>
          </w:tcPr>
          <w:p w14:paraId="057FF26E">
            <w:pPr>
              <w:rPr>
                <w:rFonts w:ascii="Arial"/>
                <w:color w:val="auto"/>
                <w:sz w:val="21"/>
                <w:highlight w:val="none"/>
              </w:rPr>
            </w:pPr>
          </w:p>
        </w:tc>
      </w:tr>
      <w:tr w14:paraId="55AB7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6FC560A9">
            <w:pPr>
              <w:rPr>
                <w:rFonts w:ascii="Arial"/>
                <w:color w:val="auto"/>
                <w:sz w:val="21"/>
                <w:highlight w:val="none"/>
              </w:rPr>
            </w:pPr>
          </w:p>
        </w:tc>
        <w:tc>
          <w:tcPr>
            <w:tcW w:w="3694" w:type="dxa"/>
            <w:gridSpan w:val="5"/>
            <w:noWrap w:val="0"/>
            <w:vAlign w:val="top"/>
          </w:tcPr>
          <w:p w14:paraId="1FD77A9B">
            <w:pPr>
              <w:rPr>
                <w:rFonts w:ascii="Arial"/>
                <w:color w:val="auto"/>
                <w:sz w:val="21"/>
                <w:highlight w:val="none"/>
              </w:rPr>
            </w:pPr>
          </w:p>
        </w:tc>
        <w:tc>
          <w:tcPr>
            <w:tcW w:w="1319" w:type="dxa"/>
            <w:noWrap w:val="0"/>
            <w:vAlign w:val="top"/>
          </w:tcPr>
          <w:p w14:paraId="6FC5DC05">
            <w:pPr>
              <w:rPr>
                <w:rFonts w:ascii="Arial"/>
                <w:color w:val="auto"/>
                <w:sz w:val="21"/>
                <w:highlight w:val="none"/>
              </w:rPr>
            </w:pPr>
          </w:p>
        </w:tc>
        <w:tc>
          <w:tcPr>
            <w:tcW w:w="2627" w:type="dxa"/>
            <w:gridSpan w:val="2"/>
            <w:tcBorders>
              <w:right w:val="single" w:color="000000" w:sz="6" w:space="0"/>
            </w:tcBorders>
            <w:noWrap w:val="0"/>
            <w:vAlign w:val="top"/>
          </w:tcPr>
          <w:p w14:paraId="0FE86E01">
            <w:pPr>
              <w:rPr>
                <w:rFonts w:ascii="Arial"/>
                <w:color w:val="auto"/>
                <w:sz w:val="21"/>
                <w:highlight w:val="none"/>
              </w:rPr>
            </w:pPr>
          </w:p>
        </w:tc>
      </w:tr>
      <w:tr w14:paraId="0886F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08" w:type="dxa"/>
            <w:tcBorders>
              <w:left w:val="single" w:color="000000" w:sz="6" w:space="0"/>
            </w:tcBorders>
            <w:noWrap w:val="0"/>
            <w:vAlign w:val="top"/>
          </w:tcPr>
          <w:p w14:paraId="3B915D7C">
            <w:pPr>
              <w:rPr>
                <w:rFonts w:ascii="Arial"/>
                <w:color w:val="auto"/>
                <w:sz w:val="21"/>
                <w:highlight w:val="none"/>
              </w:rPr>
            </w:pPr>
          </w:p>
        </w:tc>
        <w:tc>
          <w:tcPr>
            <w:tcW w:w="3694" w:type="dxa"/>
            <w:gridSpan w:val="5"/>
            <w:noWrap w:val="0"/>
            <w:vAlign w:val="top"/>
          </w:tcPr>
          <w:p w14:paraId="1BAD2FD4">
            <w:pPr>
              <w:rPr>
                <w:rFonts w:ascii="Arial"/>
                <w:color w:val="auto"/>
                <w:sz w:val="21"/>
                <w:highlight w:val="none"/>
              </w:rPr>
            </w:pPr>
          </w:p>
        </w:tc>
        <w:tc>
          <w:tcPr>
            <w:tcW w:w="1319" w:type="dxa"/>
            <w:noWrap w:val="0"/>
            <w:vAlign w:val="top"/>
          </w:tcPr>
          <w:p w14:paraId="3994C3CC">
            <w:pPr>
              <w:rPr>
                <w:rFonts w:ascii="Arial"/>
                <w:color w:val="auto"/>
                <w:sz w:val="21"/>
                <w:highlight w:val="none"/>
              </w:rPr>
            </w:pPr>
          </w:p>
        </w:tc>
        <w:tc>
          <w:tcPr>
            <w:tcW w:w="2627" w:type="dxa"/>
            <w:gridSpan w:val="2"/>
            <w:tcBorders>
              <w:right w:val="single" w:color="000000" w:sz="6" w:space="0"/>
            </w:tcBorders>
            <w:noWrap w:val="0"/>
            <w:vAlign w:val="top"/>
          </w:tcPr>
          <w:p w14:paraId="0B4C5447">
            <w:pPr>
              <w:rPr>
                <w:rFonts w:ascii="Arial"/>
                <w:color w:val="auto"/>
                <w:sz w:val="21"/>
                <w:highlight w:val="none"/>
              </w:rPr>
            </w:pPr>
          </w:p>
        </w:tc>
      </w:tr>
      <w:tr w14:paraId="1F996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4F8ECF5B">
            <w:pPr>
              <w:rPr>
                <w:rFonts w:ascii="Arial"/>
                <w:color w:val="auto"/>
                <w:sz w:val="21"/>
                <w:highlight w:val="none"/>
              </w:rPr>
            </w:pPr>
          </w:p>
        </w:tc>
        <w:tc>
          <w:tcPr>
            <w:tcW w:w="3694" w:type="dxa"/>
            <w:gridSpan w:val="5"/>
            <w:noWrap w:val="0"/>
            <w:vAlign w:val="top"/>
          </w:tcPr>
          <w:p w14:paraId="6550B302">
            <w:pPr>
              <w:rPr>
                <w:rFonts w:ascii="Arial"/>
                <w:color w:val="auto"/>
                <w:sz w:val="21"/>
                <w:highlight w:val="none"/>
              </w:rPr>
            </w:pPr>
          </w:p>
        </w:tc>
        <w:tc>
          <w:tcPr>
            <w:tcW w:w="1319" w:type="dxa"/>
            <w:noWrap w:val="0"/>
            <w:vAlign w:val="top"/>
          </w:tcPr>
          <w:p w14:paraId="25A38061">
            <w:pPr>
              <w:rPr>
                <w:rFonts w:ascii="Arial"/>
                <w:color w:val="auto"/>
                <w:sz w:val="21"/>
                <w:highlight w:val="none"/>
              </w:rPr>
            </w:pPr>
          </w:p>
        </w:tc>
        <w:tc>
          <w:tcPr>
            <w:tcW w:w="2627" w:type="dxa"/>
            <w:gridSpan w:val="2"/>
            <w:tcBorders>
              <w:right w:val="single" w:color="000000" w:sz="6" w:space="0"/>
            </w:tcBorders>
            <w:noWrap w:val="0"/>
            <w:vAlign w:val="top"/>
          </w:tcPr>
          <w:p w14:paraId="21ADED79">
            <w:pPr>
              <w:rPr>
                <w:rFonts w:ascii="Arial"/>
                <w:color w:val="auto"/>
                <w:sz w:val="21"/>
                <w:highlight w:val="none"/>
              </w:rPr>
            </w:pPr>
          </w:p>
        </w:tc>
      </w:tr>
      <w:tr w14:paraId="4824E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22517D74">
            <w:pPr>
              <w:rPr>
                <w:rFonts w:ascii="Arial"/>
                <w:color w:val="auto"/>
                <w:sz w:val="21"/>
                <w:highlight w:val="none"/>
              </w:rPr>
            </w:pPr>
          </w:p>
        </w:tc>
        <w:tc>
          <w:tcPr>
            <w:tcW w:w="3694" w:type="dxa"/>
            <w:gridSpan w:val="5"/>
            <w:noWrap w:val="0"/>
            <w:vAlign w:val="top"/>
          </w:tcPr>
          <w:p w14:paraId="649A2079">
            <w:pPr>
              <w:rPr>
                <w:rFonts w:ascii="Arial"/>
                <w:color w:val="auto"/>
                <w:sz w:val="21"/>
                <w:highlight w:val="none"/>
              </w:rPr>
            </w:pPr>
          </w:p>
        </w:tc>
        <w:tc>
          <w:tcPr>
            <w:tcW w:w="1319" w:type="dxa"/>
            <w:noWrap w:val="0"/>
            <w:vAlign w:val="top"/>
          </w:tcPr>
          <w:p w14:paraId="5738A80B">
            <w:pPr>
              <w:rPr>
                <w:rFonts w:ascii="Arial"/>
                <w:color w:val="auto"/>
                <w:sz w:val="21"/>
                <w:highlight w:val="none"/>
              </w:rPr>
            </w:pPr>
          </w:p>
        </w:tc>
        <w:tc>
          <w:tcPr>
            <w:tcW w:w="2627" w:type="dxa"/>
            <w:gridSpan w:val="2"/>
            <w:tcBorders>
              <w:right w:val="single" w:color="000000" w:sz="6" w:space="0"/>
            </w:tcBorders>
            <w:noWrap w:val="0"/>
            <w:vAlign w:val="top"/>
          </w:tcPr>
          <w:p w14:paraId="0AE3E87B">
            <w:pPr>
              <w:rPr>
                <w:rFonts w:ascii="Arial"/>
                <w:color w:val="auto"/>
                <w:sz w:val="21"/>
                <w:highlight w:val="none"/>
              </w:rPr>
            </w:pPr>
          </w:p>
        </w:tc>
      </w:tr>
      <w:tr w14:paraId="6DD25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208" w:type="dxa"/>
            <w:tcBorders>
              <w:left w:val="single" w:color="000000" w:sz="6" w:space="0"/>
            </w:tcBorders>
            <w:noWrap w:val="0"/>
            <w:vAlign w:val="top"/>
          </w:tcPr>
          <w:p w14:paraId="5877260A">
            <w:pPr>
              <w:rPr>
                <w:rFonts w:ascii="Arial"/>
                <w:color w:val="auto"/>
                <w:sz w:val="21"/>
                <w:highlight w:val="none"/>
              </w:rPr>
            </w:pPr>
          </w:p>
        </w:tc>
        <w:tc>
          <w:tcPr>
            <w:tcW w:w="3694" w:type="dxa"/>
            <w:gridSpan w:val="5"/>
            <w:noWrap w:val="0"/>
            <w:vAlign w:val="top"/>
          </w:tcPr>
          <w:p w14:paraId="6D61CB82">
            <w:pPr>
              <w:rPr>
                <w:rFonts w:ascii="Arial"/>
                <w:color w:val="auto"/>
                <w:sz w:val="21"/>
                <w:highlight w:val="none"/>
              </w:rPr>
            </w:pPr>
          </w:p>
        </w:tc>
        <w:tc>
          <w:tcPr>
            <w:tcW w:w="1319" w:type="dxa"/>
            <w:noWrap w:val="0"/>
            <w:vAlign w:val="top"/>
          </w:tcPr>
          <w:p w14:paraId="24BABD94">
            <w:pPr>
              <w:rPr>
                <w:rFonts w:ascii="Arial"/>
                <w:color w:val="auto"/>
                <w:sz w:val="21"/>
                <w:highlight w:val="none"/>
              </w:rPr>
            </w:pPr>
          </w:p>
        </w:tc>
        <w:tc>
          <w:tcPr>
            <w:tcW w:w="2627" w:type="dxa"/>
            <w:gridSpan w:val="2"/>
            <w:tcBorders>
              <w:right w:val="single" w:color="000000" w:sz="6" w:space="0"/>
            </w:tcBorders>
            <w:noWrap w:val="0"/>
            <w:vAlign w:val="top"/>
          </w:tcPr>
          <w:p w14:paraId="12A716B9">
            <w:pPr>
              <w:rPr>
                <w:rFonts w:ascii="Arial"/>
                <w:color w:val="auto"/>
                <w:sz w:val="21"/>
                <w:highlight w:val="none"/>
              </w:rPr>
            </w:pPr>
          </w:p>
        </w:tc>
      </w:tr>
      <w:tr w14:paraId="11E91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3C9F5986">
            <w:pPr>
              <w:rPr>
                <w:rFonts w:ascii="Arial"/>
                <w:color w:val="auto"/>
                <w:sz w:val="21"/>
                <w:highlight w:val="none"/>
              </w:rPr>
            </w:pPr>
          </w:p>
        </w:tc>
        <w:tc>
          <w:tcPr>
            <w:tcW w:w="3694" w:type="dxa"/>
            <w:gridSpan w:val="5"/>
            <w:noWrap w:val="0"/>
            <w:vAlign w:val="top"/>
          </w:tcPr>
          <w:p w14:paraId="6D400C19">
            <w:pPr>
              <w:rPr>
                <w:rFonts w:ascii="Arial"/>
                <w:color w:val="auto"/>
                <w:sz w:val="21"/>
                <w:highlight w:val="none"/>
              </w:rPr>
            </w:pPr>
          </w:p>
        </w:tc>
        <w:tc>
          <w:tcPr>
            <w:tcW w:w="1319" w:type="dxa"/>
            <w:noWrap w:val="0"/>
            <w:vAlign w:val="top"/>
          </w:tcPr>
          <w:p w14:paraId="5C1D1F5A">
            <w:pPr>
              <w:rPr>
                <w:rFonts w:ascii="Arial"/>
                <w:color w:val="auto"/>
                <w:sz w:val="21"/>
                <w:highlight w:val="none"/>
              </w:rPr>
            </w:pPr>
          </w:p>
        </w:tc>
        <w:tc>
          <w:tcPr>
            <w:tcW w:w="2627" w:type="dxa"/>
            <w:gridSpan w:val="2"/>
            <w:tcBorders>
              <w:right w:val="single" w:color="000000" w:sz="6" w:space="0"/>
            </w:tcBorders>
            <w:noWrap w:val="0"/>
            <w:vAlign w:val="top"/>
          </w:tcPr>
          <w:p w14:paraId="5EBCA78F">
            <w:pPr>
              <w:rPr>
                <w:rFonts w:ascii="Arial"/>
                <w:color w:val="auto"/>
                <w:sz w:val="21"/>
                <w:highlight w:val="none"/>
              </w:rPr>
            </w:pPr>
          </w:p>
        </w:tc>
      </w:tr>
      <w:tr w14:paraId="3A362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8" w:type="dxa"/>
            <w:tcBorders>
              <w:left w:val="single" w:color="000000" w:sz="6" w:space="0"/>
            </w:tcBorders>
            <w:noWrap w:val="0"/>
            <w:vAlign w:val="top"/>
          </w:tcPr>
          <w:p w14:paraId="1E77AFB7">
            <w:pPr>
              <w:rPr>
                <w:rFonts w:ascii="Arial"/>
                <w:color w:val="auto"/>
                <w:sz w:val="21"/>
                <w:highlight w:val="none"/>
              </w:rPr>
            </w:pPr>
          </w:p>
        </w:tc>
        <w:tc>
          <w:tcPr>
            <w:tcW w:w="3694" w:type="dxa"/>
            <w:gridSpan w:val="5"/>
            <w:noWrap w:val="0"/>
            <w:vAlign w:val="top"/>
          </w:tcPr>
          <w:p w14:paraId="3C154651">
            <w:pPr>
              <w:rPr>
                <w:rFonts w:ascii="Arial"/>
                <w:color w:val="auto"/>
                <w:sz w:val="21"/>
                <w:highlight w:val="none"/>
              </w:rPr>
            </w:pPr>
          </w:p>
        </w:tc>
        <w:tc>
          <w:tcPr>
            <w:tcW w:w="1319" w:type="dxa"/>
            <w:noWrap w:val="0"/>
            <w:vAlign w:val="top"/>
          </w:tcPr>
          <w:p w14:paraId="235514C0">
            <w:pPr>
              <w:rPr>
                <w:rFonts w:ascii="Arial"/>
                <w:color w:val="auto"/>
                <w:sz w:val="21"/>
                <w:highlight w:val="none"/>
              </w:rPr>
            </w:pPr>
          </w:p>
        </w:tc>
        <w:tc>
          <w:tcPr>
            <w:tcW w:w="2627" w:type="dxa"/>
            <w:gridSpan w:val="2"/>
            <w:tcBorders>
              <w:right w:val="single" w:color="000000" w:sz="6" w:space="0"/>
            </w:tcBorders>
            <w:noWrap w:val="0"/>
            <w:vAlign w:val="top"/>
          </w:tcPr>
          <w:p w14:paraId="46C655F0">
            <w:pPr>
              <w:rPr>
                <w:rFonts w:ascii="Arial"/>
                <w:color w:val="auto"/>
                <w:sz w:val="21"/>
                <w:highlight w:val="none"/>
              </w:rPr>
            </w:pPr>
          </w:p>
        </w:tc>
      </w:tr>
      <w:tr w14:paraId="58845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208" w:type="dxa"/>
            <w:tcBorders>
              <w:left w:val="single" w:color="000000" w:sz="6" w:space="0"/>
              <w:bottom w:val="single" w:color="000000" w:sz="6" w:space="0"/>
            </w:tcBorders>
            <w:noWrap w:val="0"/>
            <w:vAlign w:val="top"/>
          </w:tcPr>
          <w:p w14:paraId="42323E20">
            <w:pPr>
              <w:rPr>
                <w:rFonts w:ascii="Arial"/>
                <w:color w:val="auto"/>
                <w:sz w:val="21"/>
                <w:highlight w:val="none"/>
              </w:rPr>
            </w:pPr>
          </w:p>
        </w:tc>
        <w:tc>
          <w:tcPr>
            <w:tcW w:w="3694" w:type="dxa"/>
            <w:gridSpan w:val="5"/>
            <w:tcBorders>
              <w:bottom w:val="single" w:color="000000" w:sz="6" w:space="0"/>
            </w:tcBorders>
            <w:noWrap w:val="0"/>
            <w:vAlign w:val="top"/>
          </w:tcPr>
          <w:p w14:paraId="7655BD0A">
            <w:pPr>
              <w:rPr>
                <w:rFonts w:ascii="Arial"/>
                <w:color w:val="auto"/>
                <w:sz w:val="21"/>
                <w:highlight w:val="none"/>
              </w:rPr>
            </w:pPr>
          </w:p>
        </w:tc>
        <w:tc>
          <w:tcPr>
            <w:tcW w:w="1319" w:type="dxa"/>
            <w:tcBorders>
              <w:bottom w:val="single" w:color="000000" w:sz="6" w:space="0"/>
            </w:tcBorders>
            <w:noWrap w:val="0"/>
            <w:vAlign w:val="top"/>
          </w:tcPr>
          <w:p w14:paraId="712D286C">
            <w:pPr>
              <w:rPr>
                <w:rFonts w:ascii="Arial"/>
                <w:color w:val="auto"/>
                <w:sz w:val="21"/>
                <w:highlight w:val="none"/>
              </w:rPr>
            </w:pPr>
          </w:p>
        </w:tc>
        <w:tc>
          <w:tcPr>
            <w:tcW w:w="2627" w:type="dxa"/>
            <w:gridSpan w:val="2"/>
            <w:tcBorders>
              <w:bottom w:val="single" w:color="000000" w:sz="6" w:space="0"/>
              <w:right w:val="single" w:color="000000" w:sz="6" w:space="0"/>
            </w:tcBorders>
            <w:noWrap w:val="0"/>
            <w:vAlign w:val="top"/>
          </w:tcPr>
          <w:p w14:paraId="23EDFB98">
            <w:pPr>
              <w:rPr>
                <w:rFonts w:ascii="Arial"/>
                <w:color w:val="auto"/>
                <w:sz w:val="21"/>
                <w:highlight w:val="none"/>
              </w:rPr>
            </w:pPr>
          </w:p>
        </w:tc>
      </w:tr>
    </w:tbl>
    <w:p w14:paraId="72FD93E0">
      <w:pPr>
        <w:spacing w:before="37" w:line="362" w:lineRule="auto"/>
        <w:ind w:left="13" w:right="109" w:hanging="4"/>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注：主要人员指项目负责人、技术负责人、专职安全生产管理人员、施工员、质检员、</w:t>
      </w:r>
      <w:r>
        <w:rPr>
          <w:rFonts w:ascii="宋体" w:hAnsi="宋体" w:eastAsia="宋体" w:cs="宋体"/>
          <w:color w:val="auto"/>
          <w:spacing w:val="3"/>
          <w:sz w:val="24"/>
          <w:szCs w:val="24"/>
          <w:highlight w:val="none"/>
        </w:rPr>
        <w:t xml:space="preserve"> </w:t>
      </w:r>
      <w:r>
        <w:rPr>
          <w:rFonts w:ascii="宋体" w:hAnsi="宋体" w:eastAsia="宋体" w:cs="宋体"/>
          <w:color w:val="auto"/>
          <w:spacing w:val="-10"/>
          <w:sz w:val="24"/>
          <w:szCs w:val="24"/>
          <w:highlight w:val="none"/>
        </w:rPr>
        <w:t>安全员。</w:t>
      </w:r>
    </w:p>
    <w:p w14:paraId="1932EF06">
      <w:pPr>
        <w:spacing w:line="362" w:lineRule="auto"/>
        <w:rPr>
          <w:rFonts w:ascii="宋体" w:hAnsi="宋体" w:eastAsia="宋体" w:cs="宋体"/>
          <w:color w:val="auto"/>
          <w:sz w:val="24"/>
          <w:szCs w:val="24"/>
          <w:highlight w:val="none"/>
        </w:rPr>
        <w:sectPr>
          <w:footerReference r:id="rId127" w:type="default"/>
          <w:pgSz w:w="11905" w:h="16840"/>
          <w:pgMar w:top="400" w:right="1453" w:bottom="1255" w:left="1587" w:header="0" w:footer="1093" w:gutter="0"/>
          <w:pgNumType w:fmt="decimal"/>
          <w:cols w:space="720" w:num="1"/>
        </w:sectPr>
      </w:pPr>
    </w:p>
    <w:p w14:paraId="49027957">
      <w:pPr>
        <w:pStyle w:val="8"/>
        <w:spacing w:line="247" w:lineRule="auto"/>
        <w:rPr>
          <w:color w:val="auto"/>
          <w:highlight w:val="none"/>
        </w:rPr>
      </w:pPr>
    </w:p>
    <w:p w14:paraId="6594F23D">
      <w:pPr>
        <w:pStyle w:val="8"/>
        <w:spacing w:line="247" w:lineRule="auto"/>
        <w:rPr>
          <w:color w:val="auto"/>
          <w:highlight w:val="none"/>
        </w:rPr>
      </w:pPr>
    </w:p>
    <w:p w14:paraId="183D854F">
      <w:pPr>
        <w:pStyle w:val="8"/>
        <w:spacing w:line="247" w:lineRule="auto"/>
        <w:rPr>
          <w:color w:val="auto"/>
          <w:highlight w:val="none"/>
        </w:rPr>
      </w:pPr>
    </w:p>
    <w:p w14:paraId="3730B2AE">
      <w:pPr>
        <w:pStyle w:val="8"/>
        <w:spacing w:line="248" w:lineRule="auto"/>
        <w:rPr>
          <w:color w:val="auto"/>
          <w:highlight w:val="none"/>
        </w:rPr>
      </w:pPr>
    </w:p>
    <w:p w14:paraId="5F36959D">
      <w:pPr>
        <w:spacing w:before="88" w:line="225" w:lineRule="auto"/>
        <w:ind w:left="3003"/>
        <w:outlineLvl w:val="0"/>
        <w:rPr>
          <w:rFonts w:ascii="宋体" w:hAnsi="宋体" w:eastAsia="宋体" w:cs="宋体"/>
          <w:strike/>
          <w:dstrike w:val="0"/>
          <w:color w:val="auto"/>
          <w:sz w:val="27"/>
          <w:szCs w:val="27"/>
          <w:highlight w:val="none"/>
        </w:rPr>
      </w:pPr>
      <w:bookmarkStart w:id="217" w:name="bookmark360"/>
      <w:bookmarkEnd w:id="217"/>
      <w:bookmarkStart w:id="218" w:name="bookmark606"/>
      <w:bookmarkEnd w:id="218"/>
      <w:bookmarkStart w:id="219" w:name="_Toc5195"/>
      <w:r>
        <w:rPr>
          <w:rFonts w:ascii="宋体" w:hAnsi="宋体" w:eastAsia="宋体" w:cs="宋体"/>
          <w:b/>
          <w:bCs/>
          <w:strike/>
          <w:dstrike w:val="0"/>
          <w:color w:val="auto"/>
          <w:spacing w:val="6"/>
          <w:sz w:val="27"/>
          <w:szCs w:val="27"/>
          <w:highlight w:val="none"/>
        </w:rPr>
        <w:t>八、拟分包项目情况表</w:t>
      </w:r>
      <w:bookmarkEnd w:id="219"/>
    </w:p>
    <w:p w14:paraId="4F70CBC2">
      <w:pPr>
        <w:spacing w:before="50"/>
        <w:rPr>
          <w:strike/>
          <w:dstrike w:val="0"/>
          <w:color w:val="auto"/>
          <w:highlight w:val="none"/>
        </w:rPr>
      </w:pPr>
    </w:p>
    <w:tbl>
      <w:tblPr>
        <w:tblStyle w:val="16"/>
        <w:tblW w:w="89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9"/>
        <w:gridCol w:w="2547"/>
        <w:gridCol w:w="2972"/>
        <w:gridCol w:w="2274"/>
      </w:tblGrid>
      <w:tr w14:paraId="211A4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109" w:type="dxa"/>
            <w:tcBorders>
              <w:top w:val="single" w:color="000000" w:sz="6" w:space="0"/>
              <w:left w:val="single" w:color="000000" w:sz="6" w:space="0"/>
            </w:tcBorders>
            <w:noWrap w:val="0"/>
            <w:vAlign w:val="top"/>
          </w:tcPr>
          <w:p w14:paraId="703C0951">
            <w:pPr>
              <w:pStyle w:val="17"/>
              <w:spacing w:before="123" w:line="221" w:lineRule="auto"/>
              <w:ind w:left="314"/>
              <w:rPr>
                <w:strike/>
                <w:dstrike w:val="0"/>
                <w:color w:val="auto"/>
                <w:sz w:val="24"/>
                <w:szCs w:val="24"/>
                <w:highlight w:val="none"/>
              </w:rPr>
            </w:pPr>
            <w:r>
              <w:rPr>
                <w:strike/>
                <w:dstrike w:val="0"/>
                <w:color w:val="auto"/>
                <w:spacing w:val="-3"/>
                <w:sz w:val="24"/>
                <w:szCs w:val="24"/>
                <w:highlight w:val="none"/>
              </w:rPr>
              <w:t>序号</w:t>
            </w:r>
          </w:p>
        </w:tc>
        <w:tc>
          <w:tcPr>
            <w:tcW w:w="2547" w:type="dxa"/>
            <w:tcBorders>
              <w:top w:val="single" w:color="000000" w:sz="6" w:space="0"/>
            </w:tcBorders>
            <w:noWrap w:val="0"/>
            <w:vAlign w:val="top"/>
          </w:tcPr>
          <w:p w14:paraId="11D8A2E7">
            <w:pPr>
              <w:pStyle w:val="17"/>
              <w:spacing w:before="122" w:line="219" w:lineRule="auto"/>
              <w:ind w:left="317"/>
              <w:rPr>
                <w:strike/>
                <w:dstrike w:val="0"/>
                <w:color w:val="auto"/>
                <w:sz w:val="24"/>
                <w:szCs w:val="24"/>
                <w:highlight w:val="none"/>
              </w:rPr>
            </w:pPr>
            <w:r>
              <w:rPr>
                <w:strike/>
                <w:dstrike w:val="0"/>
                <w:color w:val="auto"/>
                <w:spacing w:val="-2"/>
                <w:sz w:val="24"/>
                <w:szCs w:val="24"/>
                <w:highlight w:val="none"/>
              </w:rPr>
              <w:t>拟分包的工程项目</w:t>
            </w:r>
          </w:p>
        </w:tc>
        <w:tc>
          <w:tcPr>
            <w:tcW w:w="2972" w:type="dxa"/>
            <w:tcBorders>
              <w:top w:val="single" w:color="000000" w:sz="6" w:space="0"/>
            </w:tcBorders>
            <w:noWrap w:val="0"/>
            <w:vAlign w:val="top"/>
          </w:tcPr>
          <w:p w14:paraId="4D1C1467">
            <w:pPr>
              <w:pStyle w:val="17"/>
              <w:spacing w:before="122" w:line="220" w:lineRule="auto"/>
              <w:ind w:left="1015"/>
              <w:rPr>
                <w:strike/>
                <w:dstrike w:val="0"/>
                <w:color w:val="auto"/>
                <w:sz w:val="24"/>
                <w:szCs w:val="24"/>
                <w:highlight w:val="none"/>
              </w:rPr>
            </w:pPr>
            <w:r>
              <w:rPr>
                <w:strike/>
                <w:dstrike w:val="0"/>
                <w:color w:val="auto"/>
                <w:spacing w:val="-3"/>
                <w:sz w:val="24"/>
                <w:szCs w:val="24"/>
                <w:highlight w:val="none"/>
              </w:rPr>
              <w:t>主要内容</w:t>
            </w:r>
          </w:p>
        </w:tc>
        <w:tc>
          <w:tcPr>
            <w:tcW w:w="2274" w:type="dxa"/>
            <w:tcBorders>
              <w:top w:val="single" w:color="000000" w:sz="6" w:space="0"/>
              <w:right w:val="single" w:color="000000" w:sz="6" w:space="0"/>
            </w:tcBorders>
            <w:noWrap w:val="0"/>
            <w:vAlign w:val="top"/>
          </w:tcPr>
          <w:p w14:paraId="5EB0DD0D">
            <w:pPr>
              <w:pStyle w:val="17"/>
              <w:spacing w:before="123" w:line="218" w:lineRule="auto"/>
              <w:ind w:left="186"/>
              <w:rPr>
                <w:strike/>
                <w:dstrike w:val="0"/>
                <w:color w:val="auto"/>
                <w:sz w:val="24"/>
                <w:szCs w:val="24"/>
                <w:highlight w:val="none"/>
              </w:rPr>
            </w:pPr>
            <w:r>
              <w:rPr>
                <w:strike/>
                <w:dstrike w:val="0"/>
                <w:color w:val="auto"/>
                <w:spacing w:val="-3"/>
                <w:sz w:val="24"/>
                <w:szCs w:val="24"/>
                <w:highlight w:val="none"/>
              </w:rPr>
              <w:t>预计造价（万元）</w:t>
            </w:r>
          </w:p>
        </w:tc>
      </w:tr>
      <w:tr w14:paraId="565E3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noWrap w:val="0"/>
            <w:vAlign w:val="top"/>
          </w:tcPr>
          <w:p w14:paraId="10E09BCA">
            <w:pPr>
              <w:rPr>
                <w:rFonts w:ascii="Arial"/>
                <w:strike/>
                <w:dstrike w:val="0"/>
                <w:color w:val="auto"/>
                <w:sz w:val="21"/>
                <w:highlight w:val="none"/>
              </w:rPr>
            </w:pPr>
          </w:p>
        </w:tc>
        <w:tc>
          <w:tcPr>
            <w:tcW w:w="2547" w:type="dxa"/>
            <w:noWrap w:val="0"/>
            <w:vAlign w:val="top"/>
          </w:tcPr>
          <w:p w14:paraId="36E29451">
            <w:pPr>
              <w:rPr>
                <w:rFonts w:ascii="Arial"/>
                <w:strike/>
                <w:dstrike w:val="0"/>
                <w:color w:val="auto"/>
                <w:sz w:val="21"/>
                <w:highlight w:val="none"/>
              </w:rPr>
            </w:pPr>
          </w:p>
        </w:tc>
        <w:tc>
          <w:tcPr>
            <w:tcW w:w="2972" w:type="dxa"/>
            <w:noWrap w:val="0"/>
            <w:vAlign w:val="top"/>
          </w:tcPr>
          <w:p w14:paraId="3CC17D0D">
            <w:pPr>
              <w:rPr>
                <w:rFonts w:ascii="Arial"/>
                <w:strike/>
                <w:dstrike w:val="0"/>
                <w:color w:val="auto"/>
                <w:sz w:val="21"/>
                <w:highlight w:val="none"/>
              </w:rPr>
            </w:pPr>
          </w:p>
        </w:tc>
        <w:tc>
          <w:tcPr>
            <w:tcW w:w="2274" w:type="dxa"/>
            <w:tcBorders>
              <w:right w:val="single" w:color="000000" w:sz="6" w:space="0"/>
            </w:tcBorders>
            <w:noWrap w:val="0"/>
            <w:vAlign w:val="top"/>
          </w:tcPr>
          <w:p w14:paraId="5FDC3C39">
            <w:pPr>
              <w:rPr>
                <w:rFonts w:ascii="Arial"/>
                <w:strike/>
                <w:dstrike w:val="0"/>
                <w:color w:val="auto"/>
                <w:sz w:val="21"/>
                <w:highlight w:val="none"/>
              </w:rPr>
            </w:pPr>
          </w:p>
        </w:tc>
      </w:tr>
      <w:tr w14:paraId="160B0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noWrap w:val="0"/>
            <w:vAlign w:val="top"/>
          </w:tcPr>
          <w:p w14:paraId="3D3FA62B">
            <w:pPr>
              <w:rPr>
                <w:rFonts w:ascii="Arial"/>
                <w:strike/>
                <w:dstrike w:val="0"/>
                <w:color w:val="auto"/>
                <w:sz w:val="21"/>
                <w:highlight w:val="none"/>
              </w:rPr>
            </w:pPr>
          </w:p>
        </w:tc>
        <w:tc>
          <w:tcPr>
            <w:tcW w:w="2547" w:type="dxa"/>
            <w:noWrap w:val="0"/>
            <w:vAlign w:val="top"/>
          </w:tcPr>
          <w:p w14:paraId="4DB77580">
            <w:pPr>
              <w:rPr>
                <w:rFonts w:ascii="Arial"/>
                <w:strike/>
                <w:dstrike w:val="0"/>
                <w:color w:val="auto"/>
                <w:sz w:val="21"/>
                <w:highlight w:val="none"/>
              </w:rPr>
            </w:pPr>
          </w:p>
        </w:tc>
        <w:tc>
          <w:tcPr>
            <w:tcW w:w="2972" w:type="dxa"/>
            <w:noWrap w:val="0"/>
            <w:vAlign w:val="top"/>
          </w:tcPr>
          <w:p w14:paraId="78A701FE">
            <w:pPr>
              <w:rPr>
                <w:rFonts w:ascii="Arial"/>
                <w:strike/>
                <w:dstrike w:val="0"/>
                <w:color w:val="auto"/>
                <w:sz w:val="21"/>
                <w:highlight w:val="none"/>
              </w:rPr>
            </w:pPr>
          </w:p>
        </w:tc>
        <w:tc>
          <w:tcPr>
            <w:tcW w:w="2274" w:type="dxa"/>
            <w:tcBorders>
              <w:right w:val="single" w:color="000000" w:sz="6" w:space="0"/>
            </w:tcBorders>
            <w:noWrap w:val="0"/>
            <w:vAlign w:val="top"/>
          </w:tcPr>
          <w:p w14:paraId="644AE93A">
            <w:pPr>
              <w:rPr>
                <w:rFonts w:ascii="Arial"/>
                <w:strike/>
                <w:dstrike w:val="0"/>
                <w:color w:val="auto"/>
                <w:sz w:val="21"/>
                <w:highlight w:val="none"/>
              </w:rPr>
            </w:pPr>
          </w:p>
        </w:tc>
      </w:tr>
      <w:tr w14:paraId="37FE6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noWrap w:val="0"/>
            <w:vAlign w:val="top"/>
          </w:tcPr>
          <w:p w14:paraId="4384FA46">
            <w:pPr>
              <w:rPr>
                <w:rFonts w:ascii="Arial"/>
                <w:strike/>
                <w:dstrike w:val="0"/>
                <w:color w:val="auto"/>
                <w:sz w:val="21"/>
                <w:highlight w:val="none"/>
              </w:rPr>
            </w:pPr>
          </w:p>
        </w:tc>
        <w:tc>
          <w:tcPr>
            <w:tcW w:w="2547" w:type="dxa"/>
            <w:noWrap w:val="0"/>
            <w:vAlign w:val="top"/>
          </w:tcPr>
          <w:p w14:paraId="2D293B14">
            <w:pPr>
              <w:rPr>
                <w:rFonts w:ascii="Arial"/>
                <w:strike/>
                <w:dstrike w:val="0"/>
                <w:color w:val="auto"/>
                <w:sz w:val="21"/>
                <w:highlight w:val="none"/>
              </w:rPr>
            </w:pPr>
          </w:p>
        </w:tc>
        <w:tc>
          <w:tcPr>
            <w:tcW w:w="2972" w:type="dxa"/>
            <w:noWrap w:val="0"/>
            <w:vAlign w:val="top"/>
          </w:tcPr>
          <w:p w14:paraId="4D4A33D3">
            <w:pPr>
              <w:rPr>
                <w:rFonts w:ascii="Arial"/>
                <w:strike/>
                <w:dstrike w:val="0"/>
                <w:color w:val="auto"/>
                <w:sz w:val="21"/>
                <w:highlight w:val="none"/>
              </w:rPr>
            </w:pPr>
          </w:p>
        </w:tc>
        <w:tc>
          <w:tcPr>
            <w:tcW w:w="2274" w:type="dxa"/>
            <w:tcBorders>
              <w:right w:val="single" w:color="000000" w:sz="6" w:space="0"/>
            </w:tcBorders>
            <w:noWrap w:val="0"/>
            <w:vAlign w:val="top"/>
          </w:tcPr>
          <w:p w14:paraId="344EEF44">
            <w:pPr>
              <w:rPr>
                <w:rFonts w:ascii="Arial"/>
                <w:strike/>
                <w:dstrike w:val="0"/>
                <w:color w:val="auto"/>
                <w:sz w:val="21"/>
                <w:highlight w:val="none"/>
              </w:rPr>
            </w:pPr>
          </w:p>
        </w:tc>
      </w:tr>
      <w:tr w14:paraId="7A474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noWrap w:val="0"/>
            <w:vAlign w:val="top"/>
          </w:tcPr>
          <w:p w14:paraId="3DE63425">
            <w:pPr>
              <w:rPr>
                <w:rFonts w:ascii="Arial"/>
                <w:strike/>
                <w:dstrike w:val="0"/>
                <w:color w:val="auto"/>
                <w:sz w:val="21"/>
                <w:highlight w:val="none"/>
              </w:rPr>
            </w:pPr>
          </w:p>
        </w:tc>
        <w:tc>
          <w:tcPr>
            <w:tcW w:w="2547" w:type="dxa"/>
            <w:noWrap w:val="0"/>
            <w:vAlign w:val="top"/>
          </w:tcPr>
          <w:p w14:paraId="6CC3CE2B">
            <w:pPr>
              <w:rPr>
                <w:rFonts w:ascii="Arial"/>
                <w:strike/>
                <w:dstrike w:val="0"/>
                <w:color w:val="auto"/>
                <w:sz w:val="21"/>
                <w:highlight w:val="none"/>
              </w:rPr>
            </w:pPr>
          </w:p>
        </w:tc>
        <w:tc>
          <w:tcPr>
            <w:tcW w:w="2972" w:type="dxa"/>
            <w:noWrap w:val="0"/>
            <w:vAlign w:val="top"/>
          </w:tcPr>
          <w:p w14:paraId="3B992347">
            <w:pPr>
              <w:rPr>
                <w:rFonts w:ascii="Arial"/>
                <w:strike/>
                <w:dstrike w:val="0"/>
                <w:color w:val="auto"/>
                <w:sz w:val="21"/>
                <w:highlight w:val="none"/>
              </w:rPr>
            </w:pPr>
          </w:p>
        </w:tc>
        <w:tc>
          <w:tcPr>
            <w:tcW w:w="2274" w:type="dxa"/>
            <w:tcBorders>
              <w:right w:val="single" w:color="000000" w:sz="6" w:space="0"/>
            </w:tcBorders>
            <w:noWrap w:val="0"/>
            <w:vAlign w:val="top"/>
          </w:tcPr>
          <w:p w14:paraId="4CA55AF1">
            <w:pPr>
              <w:rPr>
                <w:rFonts w:ascii="Arial"/>
                <w:strike/>
                <w:dstrike w:val="0"/>
                <w:color w:val="auto"/>
                <w:sz w:val="21"/>
                <w:highlight w:val="none"/>
              </w:rPr>
            </w:pPr>
          </w:p>
        </w:tc>
      </w:tr>
      <w:tr w14:paraId="5F1C4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noWrap w:val="0"/>
            <w:vAlign w:val="top"/>
          </w:tcPr>
          <w:p w14:paraId="20E8A0B5">
            <w:pPr>
              <w:rPr>
                <w:rFonts w:ascii="Arial"/>
                <w:strike/>
                <w:dstrike w:val="0"/>
                <w:color w:val="auto"/>
                <w:sz w:val="21"/>
                <w:highlight w:val="none"/>
              </w:rPr>
            </w:pPr>
          </w:p>
        </w:tc>
        <w:tc>
          <w:tcPr>
            <w:tcW w:w="2547" w:type="dxa"/>
            <w:noWrap w:val="0"/>
            <w:vAlign w:val="top"/>
          </w:tcPr>
          <w:p w14:paraId="738C5412">
            <w:pPr>
              <w:rPr>
                <w:rFonts w:ascii="Arial"/>
                <w:strike/>
                <w:dstrike w:val="0"/>
                <w:color w:val="auto"/>
                <w:sz w:val="21"/>
                <w:highlight w:val="none"/>
              </w:rPr>
            </w:pPr>
          </w:p>
        </w:tc>
        <w:tc>
          <w:tcPr>
            <w:tcW w:w="2972" w:type="dxa"/>
            <w:noWrap w:val="0"/>
            <w:vAlign w:val="top"/>
          </w:tcPr>
          <w:p w14:paraId="0790BDA4">
            <w:pPr>
              <w:rPr>
                <w:rFonts w:ascii="Arial"/>
                <w:strike/>
                <w:dstrike w:val="0"/>
                <w:color w:val="auto"/>
                <w:sz w:val="21"/>
                <w:highlight w:val="none"/>
              </w:rPr>
            </w:pPr>
          </w:p>
        </w:tc>
        <w:tc>
          <w:tcPr>
            <w:tcW w:w="2274" w:type="dxa"/>
            <w:tcBorders>
              <w:right w:val="single" w:color="000000" w:sz="6" w:space="0"/>
            </w:tcBorders>
            <w:noWrap w:val="0"/>
            <w:vAlign w:val="top"/>
          </w:tcPr>
          <w:p w14:paraId="4E6288CF">
            <w:pPr>
              <w:rPr>
                <w:rFonts w:ascii="Arial"/>
                <w:strike/>
                <w:dstrike w:val="0"/>
                <w:color w:val="auto"/>
                <w:sz w:val="21"/>
                <w:highlight w:val="none"/>
              </w:rPr>
            </w:pPr>
          </w:p>
        </w:tc>
      </w:tr>
      <w:tr w14:paraId="095459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noWrap w:val="0"/>
            <w:vAlign w:val="top"/>
          </w:tcPr>
          <w:p w14:paraId="25FA758B">
            <w:pPr>
              <w:rPr>
                <w:rFonts w:ascii="Arial"/>
                <w:strike/>
                <w:dstrike w:val="0"/>
                <w:color w:val="auto"/>
                <w:sz w:val="21"/>
                <w:highlight w:val="none"/>
              </w:rPr>
            </w:pPr>
          </w:p>
        </w:tc>
        <w:tc>
          <w:tcPr>
            <w:tcW w:w="2547" w:type="dxa"/>
            <w:noWrap w:val="0"/>
            <w:vAlign w:val="top"/>
          </w:tcPr>
          <w:p w14:paraId="556B990F">
            <w:pPr>
              <w:rPr>
                <w:rFonts w:ascii="Arial"/>
                <w:strike/>
                <w:dstrike w:val="0"/>
                <w:color w:val="auto"/>
                <w:sz w:val="21"/>
                <w:highlight w:val="none"/>
              </w:rPr>
            </w:pPr>
          </w:p>
        </w:tc>
        <w:tc>
          <w:tcPr>
            <w:tcW w:w="2972" w:type="dxa"/>
            <w:noWrap w:val="0"/>
            <w:vAlign w:val="top"/>
          </w:tcPr>
          <w:p w14:paraId="4806DA61">
            <w:pPr>
              <w:rPr>
                <w:rFonts w:ascii="Arial"/>
                <w:strike/>
                <w:dstrike w:val="0"/>
                <w:color w:val="auto"/>
                <w:sz w:val="21"/>
                <w:highlight w:val="none"/>
              </w:rPr>
            </w:pPr>
          </w:p>
        </w:tc>
        <w:tc>
          <w:tcPr>
            <w:tcW w:w="2274" w:type="dxa"/>
            <w:tcBorders>
              <w:right w:val="single" w:color="000000" w:sz="6" w:space="0"/>
            </w:tcBorders>
            <w:noWrap w:val="0"/>
            <w:vAlign w:val="top"/>
          </w:tcPr>
          <w:p w14:paraId="6D8B8F09">
            <w:pPr>
              <w:rPr>
                <w:rFonts w:ascii="Arial"/>
                <w:strike/>
                <w:dstrike w:val="0"/>
                <w:color w:val="auto"/>
                <w:sz w:val="21"/>
                <w:highlight w:val="none"/>
              </w:rPr>
            </w:pPr>
          </w:p>
        </w:tc>
      </w:tr>
      <w:tr w14:paraId="07872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109" w:type="dxa"/>
            <w:tcBorders>
              <w:left w:val="single" w:color="000000" w:sz="6" w:space="0"/>
            </w:tcBorders>
            <w:noWrap w:val="0"/>
            <w:vAlign w:val="top"/>
          </w:tcPr>
          <w:p w14:paraId="3B3EEC8B">
            <w:pPr>
              <w:rPr>
                <w:rFonts w:ascii="Arial"/>
                <w:strike/>
                <w:dstrike w:val="0"/>
                <w:color w:val="auto"/>
                <w:sz w:val="21"/>
                <w:highlight w:val="none"/>
              </w:rPr>
            </w:pPr>
          </w:p>
        </w:tc>
        <w:tc>
          <w:tcPr>
            <w:tcW w:w="2547" w:type="dxa"/>
            <w:noWrap w:val="0"/>
            <w:vAlign w:val="top"/>
          </w:tcPr>
          <w:p w14:paraId="03121C73">
            <w:pPr>
              <w:rPr>
                <w:rFonts w:ascii="Arial"/>
                <w:strike/>
                <w:dstrike w:val="0"/>
                <w:color w:val="auto"/>
                <w:sz w:val="21"/>
                <w:highlight w:val="none"/>
              </w:rPr>
            </w:pPr>
          </w:p>
        </w:tc>
        <w:tc>
          <w:tcPr>
            <w:tcW w:w="2972" w:type="dxa"/>
            <w:noWrap w:val="0"/>
            <w:vAlign w:val="top"/>
          </w:tcPr>
          <w:p w14:paraId="2A8E2308">
            <w:pPr>
              <w:rPr>
                <w:rFonts w:ascii="Arial"/>
                <w:strike/>
                <w:dstrike w:val="0"/>
                <w:color w:val="auto"/>
                <w:sz w:val="21"/>
                <w:highlight w:val="none"/>
              </w:rPr>
            </w:pPr>
          </w:p>
        </w:tc>
        <w:tc>
          <w:tcPr>
            <w:tcW w:w="2274" w:type="dxa"/>
            <w:tcBorders>
              <w:right w:val="single" w:color="000000" w:sz="6" w:space="0"/>
            </w:tcBorders>
            <w:noWrap w:val="0"/>
            <w:vAlign w:val="top"/>
          </w:tcPr>
          <w:p w14:paraId="5D31CC4F">
            <w:pPr>
              <w:rPr>
                <w:rFonts w:ascii="Arial"/>
                <w:strike/>
                <w:dstrike w:val="0"/>
                <w:color w:val="auto"/>
                <w:sz w:val="21"/>
                <w:highlight w:val="none"/>
              </w:rPr>
            </w:pPr>
          </w:p>
        </w:tc>
      </w:tr>
      <w:tr w14:paraId="43DDB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109" w:type="dxa"/>
            <w:tcBorders>
              <w:left w:val="single" w:color="000000" w:sz="6" w:space="0"/>
            </w:tcBorders>
            <w:noWrap w:val="0"/>
            <w:vAlign w:val="top"/>
          </w:tcPr>
          <w:p w14:paraId="4AD98D64">
            <w:pPr>
              <w:rPr>
                <w:rFonts w:ascii="Arial"/>
                <w:strike/>
                <w:dstrike w:val="0"/>
                <w:color w:val="auto"/>
                <w:sz w:val="21"/>
                <w:highlight w:val="none"/>
              </w:rPr>
            </w:pPr>
          </w:p>
        </w:tc>
        <w:tc>
          <w:tcPr>
            <w:tcW w:w="2547" w:type="dxa"/>
            <w:noWrap w:val="0"/>
            <w:vAlign w:val="top"/>
          </w:tcPr>
          <w:p w14:paraId="1821983B">
            <w:pPr>
              <w:rPr>
                <w:rFonts w:ascii="Arial"/>
                <w:strike/>
                <w:dstrike w:val="0"/>
                <w:color w:val="auto"/>
                <w:sz w:val="21"/>
                <w:highlight w:val="none"/>
              </w:rPr>
            </w:pPr>
          </w:p>
        </w:tc>
        <w:tc>
          <w:tcPr>
            <w:tcW w:w="2972" w:type="dxa"/>
            <w:noWrap w:val="0"/>
            <w:vAlign w:val="top"/>
          </w:tcPr>
          <w:p w14:paraId="097FA4E0">
            <w:pPr>
              <w:rPr>
                <w:rFonts w:ascii="Arial"/>
                <w:strike/>
                <w:dstrike w:val="0"/>
                <w:color w:val="auto"/>
                <w:sz w:val="21"/>
                <w:highlight w:val="none"/>
              </w:rPr>
            </w:pPr>
          </w:p>
        </w:tc>
        <w:tc>
          <w:tcPr>
            <w:tcW w:w="2274" w:type="dxa"/>
            <w:tcBorders>
              <w:right w:val="single" w:color="000000" w:sz="6" w:space="0"/>
            </w:tcBorders>
            <w:noWrap w:val="0"/>
            <w:vAlign w:val="top"/>
          </w:tcPr>
          <w:p w14:paraId="3564E1F1">
            <w:pPr>
              <w:rPr>
                <w:rFonts w:ascii="Arial"/>
                <w:strike/>
                <w:dstrike w:val="0"/>
                <w:color w:val="auto"/>
                <w:sz w:val="21"/>
                <w:highlight w:val="none"/>
              </w:rPr>
            </w:pPr>
          </w:p>
        </w:tc>
      </w:tr>
      <w:tr w14:paraId="44B01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noWrap w:val="0"/>
            <w:vAlign w:val="top"/>
          </w:tcPr>
          <w:p w14:paraId="6897D9E4">
            <w:pPr>
              <w:rPr>
                <w:rFonts w:ascii="Arial"/>
                <w:strike/>
                <w:dstrike w:val="0"/>
                <w:color w:val="auto"/>
                <w:sz w:val="21"/>
                <w:highlight w:val="none"/>
              </w:rPr>
            </w:pPr>
          </w:p>
        </w:tc>
        <w:tc>
          <w:tcPr>
            <w:tcW w:w="2547" w:type="dxa"/>
            <w:noWrap w:val="0"/>
            <w:vAlign w:val="top"/>
          </w:tcPr>
          <w:p w14:paraId="1FFEC4D5">
            <w:pPr>
              <w:rPr>
                <w:rFonts w:ascii="Arial"/>
                <w:strike/>
                <w:dstrike w:val="0"/>
                <w:color w:val="auto"/>
                <w:sz w:val="21"/>
                <w:highlight w:val="none"/>
              </w:rPr>
            </w:pPr>
          </w:p>
        </w:tc>
        <w:tc>
          <w:tcPr>
            <w:tcW w:w="2972" w:type="dxa"/>
            <w:noWrap w:val="0"/>
            <w:vAlign w:val="top"/>
          </w:tcPr>
          <w:p w14:paraId="6FE05C39">
            <w:pPr>
              <w:rPr>
                <w:rFonts w:ascii="Arial"/>
                <w:strike/>
                <w:dstrike w:val="0"/>
                <w:color w:val="auto"/>
                <w:sz w:val="21"/>
                <w:highlight w:val="none"/>
              </w:rPr>
            </w:pPr>
          </w:p>
        </w:tc>
        <w:tc>
          <w:tcPr>
            <w:tcW w:w="2274" w:type="dxa"/>
            <w:tcBorders>
              <w:right w:val="single" w:color="000000" w:sz="6" w:space="0"/>
            </w:tcBorders>
            <w:noWrap w:val="0"/>
            <w:vAlign w:val="top"/>
          </w:tcPr>
          <w:p w14:paraId="46C052B7">
            <w:pPr>
              <w:rPr>
                <w:rFonts w:ascii="Arial"/>
                <w:strike/>
                <w:dstrike w:val="0"/>
                <w:color w:val="auto"/>
                <w:sz w:val="21"/>
                <w:highlight w:val="none"/>
              </w:rPr>
            </w:pPr>
          </w:p>
        </w:tc>
      </w:tr>
      <w:tr w14:paraId="235E8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109" w:type="dxa"/>
            <w:tcBorders>
              <w:left w:val="single" w:color="000000" w:sz="6" w:space="0"/>
            </w:tcBorders>
            <w:noWrap w:val="0"/>
            <w:vAlign w:val="top"/>
          </w:tcPr>
          <w:p w14:paraId="5721A61F">
            <w:pPr>
              <w:rPr>
                <w:rFonts w:ascii="Arial"/>
                <w:strike/>
                <w:dstrike w:val="0"/>
                <w:color w:val="auto"/>
                <w:sz w:val="21"/>
                <w:highlight w:val="none"/>
              </w:rPr>
            </w:pPr>
          </w:p>
        </w:tc>
        <w:tc>
          <w:tcPr>
            <w:tcW w:w="2547" w:type="dxa"/>
            <w:noWrap w:val="0"/>
            <w:vAlign w:val="top"/>
          </w:tcPr>
          <w:p w14:paraId="78B58F62">
            <w:pPr>
              <w:rPr>
                <w:rFonts w:ascii="Arial"/>
                <w:strike/>
                <w:dstrike w:val="0"/>
                <w:color w:val="auto"/>
                <w:sz w:val="21"/>
                <w:highlight w:val="none"/>
              </w:rPr>
            </w:pPr>
          </w:p>
        </w:tc>
        <w:tc>
          <w:tcPr>
            <w:tcW w:w="2972" w:type="dxa"/>
            <w:noWrap w:val="0"/>
            <w:vAlign w:val="top"/>
          </w:tcPr>
          <w:p w14:paraId="687D08F7">
            <w:pPr>
              <w:rPr>
                <w:rFonts w:ascii="Arial"/>
                <w:strike/>
                <w:dstrike w:val="0"/>
                <w:color w:val="auto"/>
                <w:sz w:val="21"/>
                <w:highlight w:val="none"/>
              </w:rPr>
            </w:pPr>
          </w:p>
        </w:tc>
        <w:tc>
          <w:tcPr>
            <w:tcW w:w="2274" w:type="dxa"/>
            <w:tcBorders>
              <w:right w:val="single" w:color="000000" w:sz="6" w:space="0"/>
            </w:tcBorders>
            <w:noWrap w:val="0"/>
            <w:vAlign w:val="top"/>
          </w:tcPr>
          <w:p w14:paraId="3785CB7A">
            <w:pPr>
              <w:rPr>
                <w:rFonts w:ascii="Arial"/>
                <w:strike/>
                <w:dstrike w:val="0"/>
                <w:color w:val="auto"/>
                <w:sz w:val="21"/>
                <w:highlight w:val="none"/>
              </w:rPr>
            </w:pPr>
          </w:p>
        </w:tc>
      </w:tr>
      <w:tr w14:paraId="0AA99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109" w:type="dxa"/>
            <w:tcBorders>
              <w:left w:val="single" w:color="000000" w:sz="6" w:space="0"/>
            </w:tcBorders>
            <w:noWrap w:val="0"/>
            <w:vAlign w:val="top"/>
          </w:tcPr>
          <w:p w14:paraId="472D900E">
            <w:pPr>
              <w:rPr>
                <w:rFonts w:ascii="Arial"/>
                <w:strike/>
                <w:dstrike w:val="0"/>
                <w:color w:val="auto"/>
                <w:sz w:val="21"/>
                <w:highlight w:val="none"/>
              </w:rPr>
            </w:pPr>
          </w:p>
        </w:tc>
        <w:tc>
          <w:tcPr>
            <w:tcW w:w="2547" w:type="dxa"/>
            <w:noWrap w:val="0"/>
            <w:vAlign w:val="top"/>
          </w:tcPr>
          <w:p w14:paraId="1A13D107">
            <w:pPr>
              <w:rPr>
                <w:rFonts w:ascii="Arial"/>
                <w:strike/>
                <w:dstrike w:val="0"/>
                <w:color w:val="auto"/>
                <w:sz w:val="21"/>
                <w:highlight w:val="none"/>
              </w:rPr>
            </w:pPr>
          </w:p>
        </w:tc>
        <w:tc>
          <w:tcPr>
            <w:tcW w:w="2972" w:type="dxa"/>
            <w:noWrap w:val="0"/>
            <w:vAlign w:val="top"/>
          </w:tcPr>
          <w:p w14:paraId="272F307E">
            <w:pPr>
              <w:rPr>
                <w:rFonts w:ascii="Arial"/>
                <w:strike/>
                <w:dstrike w:val="0"/>
                <w:color w:val="auto"/>
                <w:sz w:val="21"/>
                <w:highlight w:val="none"/>
              </w:rPr>
            </w:pPr>
          </w:p>
        </w:tc>
        <w:tc>
          <w:tcPr>
            <w:tcW w:w="2274" w:type="dxa"/>
            <w:tcBorders>
              <w:right w:val="single" w:color="000000" w:sz="6" w:space="0"/>
            </w:tcBorders>
            <w:noWrap w:val="0"/>
            <w:vAlign w:val="top"/>
          </w:tcPr>
          <w:p w14:paraId="353E7A2C">
            <w:pPr>
              <w:rPr>
                <w:rFonts w:ascii="Arial"/>
                <w:strike/>
                <w:dstrike w:val="0"/>
                <w:color w:val="auto"/>
                <w:sz w:val="21"/>
                <w:highlight w:val="none"/>
              </w:rPr>
            </w:pPr>
          </w:p>
        </w:tc>
      </w:tr>
      <w:tr w14:paraId="73CFA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noWrap w:val="0"/>
            <w:vAlign w:val="top"/>
          </w:tcPr>
          <w:p w14:paraId="135705C9">
            <w:pPr>
              <w:rPr>
                <w:rFonts w:ascii="Arial"/>
                <w:strike/>
                <w:dstrike w:val="0"/>
                <w:color w:val="auto"/>
                <w:sz w:val="21"/>
                <w:highlight w:val="none"/>
              </w:rPr>
            </w:pPr>
          </w:p>
        </w:tc>
        <w:tc>
          <w:tcPr>
            <w:tcW w:w="2547" w:type="dxa"/>
            <w:noWrap w:val="0"/>
            <w:vAlign w:val="top"/>
          </w:tcPr>
          <w:p w14:paraId="76AC7C05">
            <w:pPr>
              <w:rPr>
                <w:rFonts w:ascii="Arial"/>
                <w:strike/>
                <w:dstrike w:val="0"/>
                <w:color w:val="auto"/>
                <w:sz w:val="21"/>
                <w:highlight w:val="none"/>
              </w:rPr>
            </w:pPr>
          </w:p>
        </w:tc>
        <w:tc>
          <w:tcPr>
            <w:tcW w:w="2972" w:type="dxa"/>
            <w:noWrap w:val="0"/>
            <w:vAlign w:val="top"/>
          </w:tcPr>
          <w:p w14:paraId="210499DB">
            <w:pPr>
              <w:rPr>
                <w:rFonts w:ascii="Arial"/>
                <w:strike/>
                <w:dstrike w:val="0"/>
                <w:color w:val="auto"/>
                <w:sz w:val="21"/>
                <w:highlight w:val="none"/>
              </w:rPr>
            </w:pPr>
          </w:p>
        </w:tc>
        <w:tc>
          <w:tcPr>
            <w:tcW w:w="2274" w:type="dxa"/>
            <w:tcBorders>
              <w:right w:val="single" w:color="000000" w:sz="6" w:space="0"/>
            </w:tcBorders>
            <w:noWrap w:val="0"/>
            <w:vAlign w:val="top"/>
          </w:tcPr>
          <w:p w14:paraId="186CAEE5">
            <w:pPr>
              <w:rPr>
                <w:rFonts w:ascii="Arial"/>
                <w:strike/>
                <w:dstrike w:val="0"/>
                <w:color w:val="auto"/>
                <w:sz w:val="21"/>
                <w:highlight w:val="none"/>
              </w:rPr>
            </w:pPr>
          </w:p>
        </w:tc>
      </w:tr>
      <w:tr w14:paraId="24DB6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109" w:type="dxa"/>
            <w:tcBorders>
              <w:left w:val="single" w:color="000000" w:sz="6" w:space="0"/>
            </w:tcBorders>
            <w:noWrap w:val="0"/>
            <w:vAlign w:val="top"/>
          </w:tcPr>
          <w:p w14:paraId="048B853F">
            <w:pPr>
              <w:rPr>
                <w:rFonts w:ascii="Arial"/>
                <w:strike/>
                <w:dstrike w:val="0"/>
                <w:color w:val="auto"/>
                <w:sz w:val="21"/>
                <w:highlight w:val="none"/>
              </w:rPr>
            </w:pPr>
          </w:p>
        </w:tc>
        <w:tc>
          <w:tcPr>
            <w:tcW w:w="2547" w:type="dxa"/>
            <w:noWrap w:val="0"/>
            <w:vAlign w:val="top"/>
          </w:tcPr>
          <w:p w14:paraId="2B230E49">
            <w:pPr>
              <w:rPr>
                <w:rFonts w:ascii="Arial"/>
                <w:strike/>
                <w:dstrike w:val="0"/>
                <w:color w:val="auto"/>
                <w:sz w:val="21"/>
                <w:highlight w:val="none"/>
              </w:rPr>
            </w:pPr>
          </w:p>
        </w:tc>
        <w:tc>
          <w:tcPr>
            <w:tcW w:w="2972" w:type="dxa"/>
            <w:noWrap w:val="0"/>
            <w:vAlign w:val="top"/>
          </w:tcPr>
          <w:p w14:paraId="69FDBE32">
            <w:pPr>
              <w:rPr>
                <w:rFonts w:ascii="Arial"/>
                <w:strike/>
                <w:dstrike w:val="0"/>
                <w:color w:val="auto"/>
                <w:sz w:val="21"/>
                <w:highlight w:val="none"/>
              </w:rPr>
            </w:pPr>
          </w:p>
        </w:tc>
        <w:tc>
          <w:tcPr>
            <w:tcW w:w="2274" w:type="dxa"/>
            <w:tcBorders>
              <w:right w:val="single" w:color="000000" w:sz="6" w:space="0"/>
            </w:tcBorders>
            <w:noWrap w:val="0"/>
            <w:vAlign w:val="top"/>
          </w:tcPr>
          <w:p w14:paraId="04E2A315">
            <w:pPr>
              <w:rPr>
                <w:rFonts w:ascii="Arial"/>
                <w:strike/>
                <w:dstrike w:val="0"/>
                <w:color w:val="auto"/>
                <w:sz w:val="21"/>
                <w:highlight w:val="none"/>
              </w:rPr>
            </w:pPr>
          </w:p>
        </w:tc>
      </w:tr>
      <w:tr w14:paraId="32594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1109" w:type="dxa"/>
            <w:tcBorders>
              <w:left w:val="single" w:color="000000" w:sz="6" w:space="0"/>
              <w:bottom w:val="single" w:color="000000" w:sz="6" w:space="0"/>
            </w:tcBorders>
            <w:noWrap w:val="0"/>
            <w:vAlign w:val="top"/>
          </w:tcPr>
          <w:p w14:paraId="46C3977C">
            <w:pPr>
              <w:rPr>
                <w:rFonts w:ascii="Arial"/>
                <w:strike/>
                <w:dstrike w:val="0"/>
                <w:color w:val="auto"/>
                <w:sz w:val="21"/>
                <w:highlight w:val="none"/>
              </w:rPr>
            </w:pPr>
          </w:p>
        </w:tc>
        <w:tc>
          <w:tcPr>
            <w:tcW w:w="2547" w:type="dxa"/>
            <w:tcBorders>
              <w:bottom w:val="single" w:color="000000" w:sz="6" w:space="0"/>
            </w:tcBorders>
            <w:noWrap w:val="0"/>
            <w:vAlign w:val="top"/>
          </w:tcPr>
          <w:p w14:paraId="5BA22C2D">
            <w:pPr>
              <w:rPr>
                <w:rFonts w:ascii="Arial"/>
                <w:strike/>
                <w:dstrike w:val="0"/>
                <w:color w:val="auto"/>
                <w:sz w:val="21"/>
                <w:highlight w:val="none"/>
              </w:rPr>
            </w:pPr>
          </w:p>
        </w:tc>
        <w:tc>
          <w:tcPr>
            <w:tcW w:w="2972" w:type="dxa"/>
            <w:tcBorders>
              <w:bottom w:val="single" w:color="000000" w:sz="6" w:space="0"/>
            </w:tcBorders>
            <w:noWrap w:val="0"/>
            <w:vAlign w:val="top"/>
          </w:tcPr>
          <w:p w14:paraId="6CDAF90C">
            <w:pPr>
              <w:rPr>
                <w:rFonts w:ascii="Arial"/>
                <w:strike/>
                <w:dstrike w:val="0"/>
                <w:color w:val="auto"/>
                <w:sz w:val="21"/>
                <w:highlight w:val="none"/>
              </w:rPr>
            </w:pPr>
          </w:p>
        </w:tc>
        <w:tc>
          <w:tcPr>
            <w:tcW w:w="2274" w:type="dxa"/>
            <w:tcBorders>
              <w:bottom w:val="single" w:color="000000" w:sz="6" w:space="0"/>
              <w:right w:val="single" w:color="000000" w:sz="6" w:space="0"/>
            </w:tcBorders>
            <w:noWrap w:val="0"/>
            <w:vAlign w:val="top"/>
          </w:tcPr>
          <w:p w14:paraId="7FC226F7">
            <w:pPr>
              <w:rPr>
                <w:rFonts w:ascii="Arial"/>
                <w:strike/>
                <w:dstrike w:val="0"/>
                <w:color w:val="auto"/>
                <w:sz w:val="21"/>
                <w:highlight w:val="none"/>
              </w:rPr>
            </w:pPr>
          </w:p>
        </w:tc>
      </w:tr>
    </w:tbl>
    <w:p w14:paraId="70B4F724">
      <w:pPr>
        <w:pStyle w:val="8"/>
        <w:rPr>
          <w:strike/>
          <w:dstrike w:val="0"/>
          <w:color w:val="auto"/>
          <w:highlight w:val="none"/>
        </w:rPr>
      </w:pPr>
    </w:p>
    <w:p w14:paraId="7C240CC2">
      <w:pPr>
        <w:rPr>
          <w:strike/>
          <w:dstrike w:val="0"/>
          <w:color w:val="auto"/>
          <w:highlight w:val="none"/>
        </w:rPr>
        <w:sectPr>
          <w:footerReference r:id="rId128" w:type="default"/>
          <w:pgSz w:w="11905" w:h="16840"/>
          <w:pgMar w:top="400" w:right="1399" w:bottom="1255" w:left="1587" w:header="0" w:footer="1093" w:gutter="0"/>
          <w:pgNumType w:fmt="decimal"/>
          <w:cols w:space="720" w:num="1"/>
        </w:sectPr>
      </w:pPr>
    </w:p>
    <w:p w14:paraId="1FAEB30C">
      <w:pPr>
        <w:pStyle w:val="8"/>
        <w:spacing w:line="247" w:lineRule="auto"/>
        <w:rPr>
          <w:color w:val="auto"/>
          <w:highlight w:val="none"/>
        </w:rPr>
      </w:pPr>
    </w:p>
    <w:p w14:paraId="79A62F36">
      <w:pPr>
        <w:pStyle w:val="8"/>
        <w:spacing w:line="247" w:lineRule="auto"/>
        <w:rPr>
          <w:color w:val="auto"/>
          <w:highlight w:val="none"/>
        </w:rPr>
      </w:pPr>
    </w:p>
    <w:p w14:paraId="2C640DB2">
      <w:pPr>
        <w:pStyle w:val="8"/>
        <w:spacing w:line="247" w:lineRule="auto"/>
        <w:rPr>
          <w:color w:val="auto"/>
          <w:highlight w:val="none"/>
        </w:rPr>
      </w:pPr>
    </w:p>
    <w:p w14:paraId="2CC1421F">
      <w:pPr>
        <w:pStyle w:val="8"/>
        <w:spacing w:line="248" w:lineRule="auto"/>
        <w:rPr>
          <w:color w:val="auto"/>
          <w:highlight w:val="none"/>
        </w:rPr>
      </w:pPr>
    </w:p>
    <w:p w14:paraId="1C2C2283">
      <w:pPr>
        <w:spacing w:before="88" w:line="226" w:lineRule="auto"/>
        <w:ind w:left="3286"/>
        <w:outlineLvl w:val="0"/>
        <w:rPr>
          <w:rFonts w:ascii="宋体" w:hAnsi="宋体" w:eastAsia="宋体" w:cs="宋体"/>
          <w:color w:val="auto"/>
          <w:sz w:val="27"/>
          <w:szCs w:val="27"/>
          <w:highlight w:val="none"/>
        </w:rPr>
      </w:pPr>
      <w:bookmarkStart w:id="220" w:name="bookmark361"/>
      <w:bookmarkEnd w:id="220"/>
      <w:bookmarkStart w:id="221" w:name="_Toc111"/>
      <w:r>
        <w:rPr>
          <w:rFonts w:ascii="宋体" w:hAnsi="宋体" w:eastAsia="宋体" w:cs="宋体"/>
          <w:b/>
          <w:bCs/>
          <w:color w:val="auto"/>
          <w:spacing w:val="5"/>
          <w:sz w:val="27"/>
          <w:szCs w:val="27"/>
          <w:highlight w:val="none"/>
        </w:rPr>
        <w:t>九、资格审查资料</w:t>
      </w:r>
      <w:bookmarkEnd w:id="221"/>
    </w:p>
    <w:p w14:paraId="3E22ACDE">
      <w:pPr>
        <w:pStyle w:val="8"/>
        <w:spacing w:line="247" w:lineRule="auto"/>
        <w:rPr>
          <w:color w:val="auto"/>
          <w:highlight w:val="none"/>
        </w:rPr>
      </w:pPr>
    </w:p>
    <w:p w14:paraId="2AA0D09E">
      <w:pPr>
        <w:spacing w:before="78" w:line="219" w:lineRule="auto"/>
        <w:ind w:left="15"/>
        <w:outlineLvl w:val="1"/>
        <w:rPr>
          <w:rFonts w:ascii="宋体" w:hAnsi="宋体" w:eastAsia="宋体" w:cs="宋体"/>
          <w:color w:val="auto"/>
          <w:sz w:val="24"/>
          <w:szCs w:val="24"/>
          <w:highlight w:val="none"/>
        </w:rPr>
      </w:pPr>
      <w:bookmarkStart w:id="222" w:name="_Toc10251"/>
      <w:r>
        <w:rPr>
          <w:rFonts w:ascii="宋体" w:hAnsi="宋体" w:eastAsia="宋体" w:cs="宋体"/>
          <w:b/>
          <w:bCs/>
          <w:color w:val="auto"/>
          <w:spacing w:val="-5"/>
          <w:sz w:val="24"/>
          <w:szCs w:val="24"/>
          <w:highlight w:val="none"/>
        </w:rPr>
        <w:t>（一）投标人基本情况表</w:t>
      </w:r>
      <w:bookmarkEnd w:id="222"/>
    </w:p>
    <w:p w14:paraId="38D4A3F9">
      <w:pPr>
        <w:spacing w:line="146" w:lineRule="exact"/>
        <w:rPr>
          <w:color w:val="auto"/>
          <w:highlight w:val="none"/>
        </w:rPr>
      </w:pPr>
    </w:p>
    <w:tbl>
      <w:tblPr>
        <w:tblStyle w:val="16"/>
        <w:tblW w:w="883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2"/>
        <w:gridCol w:w="284"/>
        <w:gridCol w:w="642"/>
        <w:gridCol w:w="1090"/>
        <w:gridCol w:w="1175"/>
        <w:gridCol w:w="785"/>
        <w:gridCol w:w="828"/>
        <w:gridCol w:w="969"/>
        <w:gridCol w:w="875"/>
        <w:gridCol w:w="740"/>
      </w:tblGrid>
      <w:tr w14:paraId="6D04A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442" w:type="dxa"/>
            <w:tcBorders>
              <w:top w:val="single" w:color="000000" w:sz="6" w:space="0"/>
              <w:left w:val="single" w:color="000000" w:sz="6" w:space="0"/>
            </w:tcBorders>
            <w:noWrap w:val="0"/>
            <w:vAlign w:val="top"/>
          </w:tcPr>
          <w:p w14:paraId="168129E7">
            <w:pPr>
              <w:pStyle w:val="17"/>
              <w:spacing w:before="63" w:line="220" w:lineRule="auto"/>
              <w:ind w:left="126"/>
              <w:rPr>
                <w:color w:val="auto"/>
                <w:sz w:val="24"/>
                <w:szCs w:val="24"/>
                <w:highlight w:val="none"/>
              </w:rPr>
            </w:pPr>
            <w:r>
              <w:rPr>
                <w:color w:val="auto"/>
                <w:spacing w:val="-2"/>
                <w:sz w:val="24"/>
                <w:szCs w:val="24"/>
                <w:highlight w:val="none"/>
              </w:rPr>
              <w:t>投标人名称</w:t>
            </w:r>
          </w:p>
        </w:tc>
        <w:tc>
          <w:tcPr>
            <w:tcW w:w="7388" w:type="dxa"/>
            <w:gridSpan w:val="9"/>
            <w:tcBorders>
              <w:top w:val="single" w:color="000000" w:sz="6" w:space="0"/>
              <w:right w:val="single" w:color="000000" w:sz="6" w:space="0"/>
            </w:tcBorders>
            <w:noWrap w:val="0"/>
            <w:vAlign w:val="top"/>
          </w:tcPr>
          <w:p w14:paraId="439C1F20">
            <w:pPr>
              <w:rPr>
                <w:rFonts w:ascii="Arial"/>
                <w:color w:val="auto"/>
                <w:sz w:val="21"/>
                <w:highlight w:val="none"/>
              </w:rPr>
            </w:pPr>
          </w:p>
        </w:tc>
      </w:tr>
      <w:tr w14:paraId="4AF81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442" w:type="dxa"/>
            <w:tcBorders>
              <w:left w:val="single" w:color="000000" w:sz="6" w:space="0"/>
            </w:tcBorders>
            <w:noWrap w:val="0"/>
            <w:vAlign w:val="top"/>
          </w:tcPr>
          <w:p w14:paraId="5E97BD31">
            <w:pPr>
              <w:pStyle w:val="17"/>
              <w:spacing w:before="58" w:line="221" w:lineRule="auto"/>
              <w:ind w:left="243"/>
              <w:rPr>
                <w:color w:val="auto"/>
                <w:sz w:val="24"/>
                <w:szCs w:val="24"/>
                <w:highlight w:val="none"/>
              </w:rPr>
            </w:pPr>
            <w:r>
              <w:rPr>
                <w:color w:val="auto"/>
                <w:spacing w:val="-2"/>
                <w:sz w:val="24"/>
                <w:szCs w:val="24"/>
                <w:highlight w:val="none"/>
              </w:rPr>
              <w:t>注册地址</w:t>
            </w:r>
          </w:p>
        </w:tc>
        <w:tc>
          <w:tcPr>
            <w:tcW w:w="3191" w:type="dxa"/>
            <w:gridSpan w:val="4"/>
            <w:noWrap w:val="0"/>
            <w:vAlign w:val="top"/>
          </w:tcPr>
          <w:p w14:paraId="719259E6">
            <w:pPr>
              <w:rPr>
                <w:rFonts w:ascii="Arial"/>
                <w:color w:val="auto"/>
                <w:sz w:val="21"/>
                <w:highlight w:val="none"/>
              </w:rPr>
            </w:pPr>
          </w:p>
        </w:tc>
        <w:tc>
          <w:tcPr>
            <w:tcW w:w="1613" w:type="dxa"/>
            <w:gridSpan w:val="2"/>
            <w:noWrap w:val="0"/>
            <w:vAlign w:val="top"/>
          </w:tcPr>
          <w:p w14:paraId="24F9EB48">
            <w:pPr>
              <w:pStyle w:val="17"/>
              <w:spacing w:before="58" w:line="220" w:lineRule="auto"/>
              <w:ind w:left="353"/>
              <w:rPr>
                <w:color w:val="auto"/>
                <w:sz w:val="24"/>
                <w:szCs w:val="24"/>
                <w:highlight w:val="none"/>
              </w:rPr>
            </w:pPr>
            <w:r>
              <w:rPr>
                <w:color w:val="auto"/>
                <w:spacing w:val="-6"/>
                <w:sz w:val="24"/>
                <w:szCs w:val="24"/>
                <w:highlight w:val="none"/>
              </w:rPr>
              <w:t>邮政编码</w:t>
            </w:r>
          </w:p>
        </w:tc>
        <w:tc>
          <w:tcPr>
            <w:tcW w:w="2584" w:type="dxa"/>
            <w:gridSpan w:val="3"/>
            <w:tcBorders>
              <w:right w:val="single" w:color="000000" w:sz="6" w:space="0"/>
            </w:tcBorders>
            <w:noWrap w:val="0"/>
            <w:vAlign w:val="top"/>
          </w:tcPr>
          <w:p w14:paraId="5203DF92">
            <w:pPr>
              <w:rPr>
                <w:rFonts w:ascii="Arial"/>
                <w:color w:val="auto"/>
                <w:sz w:val="21"/>
                <w:highlight w:val="none"/>
              </w:rPr>
            </w:pPr>
          </w:p>
        </w:tc>
      </w:tr>
      <w:tr w14:paraId="6D574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442" w:type="dxa"/>
            <w:vMerge w:val="restart"/>
            <w:tcBorders>
              <w:left w:val="single" w:color="000000" w:sz="6" w:space="0"/>
              <w:bottom w:val="nil"/>
            </w:tcBorders>
            <w:noWrap w:val="0"/>
            <w:vAlign w:val="top"/>
          </w:tcPr>
          <w:p w14:paraId="76249AB5">
            <w:pPr>
              <w:rPr>
                <w:rFonts w:ascii="Arial"/>
                <w:color w:val="auto"/>
                <w:sz w:val="21"/>
                <w:highlight w:val="none"/>
              </w:rPr>
            </w:pPr>
          </w:p>
          <w:p w14:paraId="3450558F">
            <w:pPr>
              <w:pStyle w:val="17"/>
              <w:spacing w:before="78" w:line="221" w:lineRule="auto"/>
              <w:ind w:left="244"/>
              <w:rPr>
                <w:color w:val="auto"/>
                <w:sz w:val="24"/>
                <w:szCs w:val="24"/>
                <w:highlight w:val="none"/>
              </w:rPr>
            </w:pPr>
            <w:r>
              <w:rPr>
                <w:color w:val="auto"/>
                <w:spacing w:val="-2"/>
                <w:sz w:val="24"/>
                <w:szCs w:val="24"/>
                <w:highlight w:val="none"/>
              </w:rPr>
              <w:t>联系方式</w:t>
            </w:r>
          </w:p>
        </w:tc>
        <w:tc>
          <w:tcPr>
            <w:tcW w:w="926" w:type="dxa"/>
            <w:gridSpan w:val="2"/>
            <w:noWrap w:val="0"/>
            <w:vAlign w:val="top"/>
          </w:tcPr>
          <w:p w14:paraId="4311434E">
            <w:pPr>
              <w:pStyle w:val="17"/>
              <w:spacing w:before="59" w:line="222" w:lineRule="auto"/>
              <w:ind w:left="107"/>
              <w:rPr>
                <w:color w:val="auto"/>
                <w:sz w:val="24"/>
                <w:szCs w:val="24"/>
                <w:highlight w:val="none"/>
              </w:rPr>
            </w:pPr>
            <w:r>
              <w:rPr>
                <w:color w:val="auto"/>
                <w:spacing w:val="-3"/>
                <w:sz w:val="24"/>
                <w:szCs w:val="24"/>
                <w:highlight w:val="none"/>
              </w:rPr>
              <w:t>联系人</w:t>
            </w:r>
          </w:p>
        </w:tc>
        <w:tc>
          <w:tcPr>
            <w:tcW w:w="2265" w:type="dxa"/>
            <w:gridSpan w:val="2"/>
            <w:noWrap w:val="0"/>
            <w:vAlign w:val="top"/>
          </w:tcPr>
          <w:p w14:paraId="6E8767BC">
            <w:pPr>
              <w:rPr>
                <w:rFonts w:ascii="Arial"/>
                <w:color w:val="auto"/>
                <w:sz w:val="21"/>
                <w:highlight w:val="none"/>
              </w:rPr>
            </w:pPr>
          </w:p>
        </w:tc>
        <w:tc>
          <w:tcPr>
            <w:tcW w:w="1613" w:type="dxa"/>
            <w:gridSpan w:val="2"/>
            <w:noWrap w:val="0"/>
            <w:vAlign w:val="top"/>
          </w:tcPr>
          <w:p w14:paraId="3D48F667">
            <w:pPr>
              <w:pStyle w:val="17"/>
              <w:spacing w:before="59" w:line="222" w:lineRule="auto"/>
              <w:ind w:left="483"/>
              <w:rPr>
                <w:color w:val="auto"/>
                <w:sz w:val="24"/>
                <w:szCs w:val="24"/>
                <w:highlight w:val="none"/>
              </w:rPr>
            </w:pPr>
            <w:r>
              <w:rPr>
                <w:color w:val="auto"/>
                <w:spacing w:val="-19"/>
                <w:sz w:val="24"/>
                <w:szCs w:val="24"/>
                <w:highlight w:val="none"/>
              </w:rPr>
              <w:t>电</w:t>
            </w:r>
            <w:r>
              <w:rPr>
                <w:color w:val="auto"/>
                <w:spacing w:val="4"/>
                <w:sz w:val="24"/>
                <w:szCs w:val="24"/>
                <w:highlight w:val="none"/>
              </w:rPr>
              <w:t xml:space="preserve">  </w:t>
            </w:r>
            <w:r>
              <w:rPr>
                <w:color w:val="auto"/>
                <w:spacing w:val="-19"/>
                <w:sz w:val="24"/>
                <w:szCs w:val="24"/>
                <w:highlight w:val="none"/>
              </w:rPr>
              <w:t>话</w:t>
            </w:r>
          </w:p>
        </w:tc>
        <w:tc>
          <w:tcPr>
            <w:tcW w:w="2584" w:type="dxa"/>
            <w:gridSpan w:val="3"/>
            <w:tcBorders>
              <w:right w:val="single" w:color="000000" w:sz="6" w:space="0"/>
            </w:tcBorders>
            <w:noWrap w:val="0"/>
            <w:vAlign w:val="top"/>
          </w:tcPr>
          <w:p w14:paraId="1D21BA3A">
            <w:pPr>
              <w:rPr>
                <w:rFonts w:ascii="Arial"/>
                <w:color w:val="auto"/>
                <w:sz w:val="21"/>
                <w:highlight w:val="none"/>
              </w:rPr>
            </w:pPr>
          </w:p>
        </w:tc>
      </w:tr>
      <w:tr w14:paraId="6371E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442" w:type="dxa"/>
            <w:vMerge w:val="continue"/>
            <w:tcBorders>
              <w:top w:val="nil"/>
              <w:left w:val="single" w:color="000000" w:sz="6" w:space="0"/>
            </w:tcBorders>
            <w:noWrap w:val="0"/>
            <w:vAlign w:val="top"/>
          </w:tcPr>
          <w:p w14:paraId="21F9D122">
            <w:pPr>
              <w:rPr>
                <w:rFonts w:ascii="Arial"/>
                <w:color w:val="auto"/>
                <w:sz w:val="21"/>
                <w:highlight w:val="none"/>
              </w:rPr>
            </w:pPr>
          </w:p>
        </w:tc>
        <w:tc>
          <w:tcPr>
            <w:tcW w:w="926" w:type="dxa"/>
            <w:gridSpan w:val="2"/>
            <w:noWrap w:val="0"/>
            <w:vAlign w:val="top"/>
          </w:tcPr>
          <w:p w14:paraId="2C24E9D2">
            <w:pPr>
              <w:pStyle w:val="17"/>
              <w:spacing w:before="60" w:line="219" w:lineRule="auto"/>
              <w:ind w:left="164"/>
              <w:rPr>
                <w:color w:val="auto"/>
                <w:sz w:val="24"/>
                <w:szCs w:val="24"/>
                <w:highlight w:val="none"/>
              </w:rPr>
            </w:pPr>
            <w:r>
              <w:rPr>
                <w:color w:val="auto"/>
                <w:spacing w:val="-4"/>
                <w:sz w:val="24"/>
                <w:szCs w:val="24"/>
                <w:highlight w:val="none"/>
              </w:rPr>
              <w:t>传</w:t>
            </w:r>
            <w:r>
              <w:rPr>
                <w:color w:val="auto"/>
                <w:spacing w:val="12"/>
                <w:sz w:val="24"/>
                <w:szCs w:val="24"/>
                <w:highlight w:val="none"/>
              </w:rPr>
              <w:t xml:space="preserve"> </w:t>
            </w:r>
            <w:r>
              <w:rPr>
                <w:color w:val="auto"/>
                <w:spacing w:val="-4"/>
                <w:sz w:val="24"/>
                <w:szCs w:val="24"/>
                <w:highlight w:val="none"/>
              </w:rPr>
              <w:t>真</w:t>
            </w:r>
          </w:p>
        </w:tc>
        <w:tc>
          <w:tcPr>
            <w:tcW w:w="2265" w:type="dxa"/>
            <w:gridSpan w:val="2"/>
            <w:noWrap w:val="0"/>
            <w:vAlign w:val="top"/>
          </w:tcPr>
          <w:p w14:paraId="4EF25E56">
            <w:pPr>
              <w:rPr>
                <w:rFonts w:ascii="Arial"/>
                <w:color w:val="auto"/>
                <w:sz w:val="21"/>
                <w:highlight w:val="none"/>
              </w:rPr>
            </w:pPr>
          </w:p>
        </w:tc>
        <w:tc>
          <w:tcPr>
            <w:tcW w:w="1613" w:type="dxa"/>
            <w:gridSpan w:val="2"/>
            <w:noWrap w:val="0"/>
            <w:vAlign w:val="top"/>
          </w:tcPr>
          <w:p w14:paraId="299E17A2">
            <w:pPr>
              <w:pStyle w:val="17"/>
              <w:spacing w:before="60" w:line="220" w:lineRule="auto"/>
              <w:ind w:left="363"/>
              <w:rPr>
                <w:color w:val="auto"/>
                <w:sz w:val="24"/>
                <w:szCs w:val="24"/>
                <w:highlight w:val="none"/>
              </w:rPr>
            </w:pPr>
            <w:r>
              <w:rPr>
                <w:color w:val="auto"/>
                <w:spacing w:val="-8"/>
                <w:sz w:val="24"/>
                <w:szCs w:val="24"/>
                <w:highlight w:val="none"/>
              </w:rPr>
              <w:t>电子信箱</w:t>
            </w:r>
          </w:p>
        </w:tc>
        <w:tc>
          <w:tcPr>
            <w:tcW w:w="2584" w:type="dxa"/>
            <w:gridSpan w:val="3"/>
            <w:tcBorders>
              <w:right w:val="single" w:color="000000" w:sz="6" w:space="0"/>
            </w:tcBorders>
            <w:noWrap w:val="0"/>
            <w:vAlign w:val="top"/>
          </w:tcPr>
          <w:p w14:paraId="26415612">
            <w:pPr>
              <w:rPr>
                <w:rFonts w:ascii="Arial"/>
                <w:color w:val="auto"/>
                <w:sz w:val="21"/>
                <w:highlight w:val="none"/>
              </w:rPr>
            </w:pPr>
          </w:p>
        </w:tc>
      </w:tr>
      <w:tr w14:paraId="78B39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442" w:type="dxa"/>
            <w:tcBorders>
              <w:left w:val="single" w:color="000000" w:sz="6" w:space="0"/>
            </w:tcBorders>
            <w:noWrap w:val="0"/>
            <w:vAlign w:val="top"/>
          </w:tcPr>
          <w:p w14:paraId="4AD9ADA1">
            <w:pPr>
              <w:pStyle w:val="17"/>
              <w:spacing w:before="61" w:line="220" w:lineRule="auto"/>
              <w:ind w:left="247"/>
              <w:rPr>
                <w:color w:val="auto"/>
                <w:sz w:val="24"/>
                <w:szCs w:val="24"/>
                <w:highlight w:val="none"/>
              </w:rPr>
            </w:pPr>
            <w:r>
              <w:rPr>
                <w:color w:val="auto"/>
                <w:spacing w:val="-3"/>
                <w:sz w:val="24"/>
                <w:szCs w:val="24"/>
                <w:highlight w:val="none"/>
              </w:rPr>
              <w:t>企业性质</w:t>
            </w:r>
          </w:p>
        </w:tc>
        <w:tc>
          <w:tcPr>
            <w:tcW w:w="2016" w:type="dxa"/>
            <w:gridSpan w:val="3"/>
            <w:noWrap w:val="0"/>
            <w:vAlign w:val="top"/>
          </w:tcPr>
          <w:p w14:paraId="5064E6AB">
            <w:pPr>
              <w:rPr>
                <w:rFonts w:ascii="Arial"/>
                <w:color w:val="auto"/>
                <w:sz w:val="21"/>
                <w:highlight w:val="none"/>
              </w:rPr>
            </w:pPr>
          </w:p>
        </w:tc>
        <w:tc>
          <w:tcPr>
            <w:tcW w:w="2788" w:type="dxa"/>
            <w:gridSpan w:val="3"/>
            <w:noWrap w:val="0"/>
            <w:vAlign w:val="top"/>
          </w:tcPr>
          <w:p w14:paraId="697AAF92">
            <w:pPr>
              <w:pStyle w:val="17"/>
              <w:spacing w:before="60" w:line="220" w:lineRule="auto"/>
              <w:ind w:left="683"/>
              <w:rPr>
                <w:color w:val="auto"/>
                <w:sz w:val="24"/>
                <w:szCs w:val="24"/>
                <w:highlight w:val="none"/>
              </w:rPr>
            </w:pPr>
            <w:r>
              <w:rPr>
                <w:color w:val="auto"/>
                <w:spacing w:val="-2"/>
                <w:sz w:val="24"/>
                <w:szCs w:val="24"/>
                <w:highlight w:val="none"/>
              </w:rPr>
              <w:t>上级主管单位</w:t>
            </w:r>
          </w:p>
        </w:tc>
        <w:tc>
          <w:tcPr>
            <w:tcW w:w="2584" w:type="dxa"/>
            <w:gridSpan w:val="3"/>
            <w:tcBorders>
              <w:right w:val="single" w:color="000000" w:sz="6" w:space="0"/>
            </w:tcBorders>
            <w:noWrap w:val="0"/>
            <w:vAlign w:val="top"/>
          </w:tcPr>
          <w:p w14:paraId="5A424CDF">
            <w:pPr>
              <w:rPr>
                <w:rFonts w:ascii="Arial"/>
                <w:color w:val="auto"/>
                <w:sz w:val="21"/>
                <w:highlight w:val="none"/>
              </w:rPr>
            </w:pPr>
          </w:p>
        </w:tc>
      </w:tr>
      <w:tr w14:paraId="36A96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442" w:type="dxa"/>
            <w:tcBorders>
              <w:left w:val="single" w:color="000000" w:sz="6" w:space="0"/>
            </w:tcBorders>
            <w:noWrap w:val="0"/>
            <w:vAlign w:val="top"/>
          </w:tcPr>
          <w:p w14:paraId="033E84C6">
            <w:pPr>
              <w:pStyle w:val="17"/>
              <w:spacing w:before="60" w:line="220" w:lineRule="auto"/>
              <w:ind w:left="124"/>
              <w:rPr>
                <w:color w:val="auto"/>
                <w:sz w:val="24"/>
                <w:szCs w:val="24"/>
                <w:highlight w:val="none"/>
              </w:rPr>
            </w:pPr>
            <w:r>
              <w:rPr>
                <w:color w:val="auto"/>
                <w:spacing w:val="-2"/>
                <w:sz w:val="24"/>
                <w:szCs w:val="24"/>
                <w:highlight w:val="none"/>
              </w:rPr>
              <w:t>法定代表人</w:t>
            </w:r>
          </w:p>
        </w:tc>
        <w:tc>
          <w:tcPr>
            <w:tcW w:w="926" w:type="dxa"/>
            <w:gridSpan w:val="2"/>
            <w:noWrap w:val="0"/>
            <w:vAlign w:val="top"/>
          </w:tcPr>
          <w:p w14:paraId="48BCB626">
            <w:pPr>
              <w:pStyle w:val="17"/>
              <w:spacing w:before="60" w:line="220" w:lineRule="auto"/>
              <w:ind w:left="226"/>
              <w:rPr>
                <w:color w:val="auto"/>
                <w:sz w:val="24"/>
                <w:szCs w:val="24"/>
                <w:highlight w:val="none"/>
              </w:rPr>
            </w:pPr>
            <w:r>
              <w:rPr>
                <w:color w:val="auto"/>
                <w:spacing w:val="-3"/>
                <w:sz w:val="24"/>
                <w:szCs w:val="24"/>
                <w:highlight w:val="none"/>
              </w:rPr>
              <w:t>姓名</w:t>
            </w:r>
          </w:p>
        </w:tc>
        <w:tc>
          <w:tcPr>
            <w:tcW w:w="1090" w:type="dxa"/>
            <w:noWrap w:val="0"/>
            <w:vAlign w:val="top"/>
          </w:tcPr>
          <w:p w14:paraId="416C52F3">
            <w:pPr>
              <w:rPr>
                <w:rFonts w:ascii="Arial"/>
                <w:color w:val="auto"/>
                <w:sz w:val="21"/>
                <w:highlight w:val="none"/>
              </w:rPr>
            </w:pPr>
          </w:p>
        </w:tc>
        <w:tc>
          <w:tcPr>
            <w:tcW w:w="1175" w:type="dxa"/>
            <w:noWrap w:val="0"/>
            <w:vAlign w:val="top"/>
          </w:tcPr>
          <w:p w14:paraId="4DBAE4DF">
            <w:pPr>
              <w:pStyle w:val="17"/>
              <w:spacing w:before="60" w:line="220" w:lineRule="auto"/>
              <w:ind w:left="114"/>
              <w:rPr>
                <w:color w:val="auto"/>
                <w:sz w:val="24"/>
                <w:szCs w:val="24"/>
                <w:highlight w:val="none"/>
              </w:rPr>
            </w:pPr>
            <w:r>
              <w:rPr>
                <w:color w:val="auto"/>
                <w:spacing w:val="-2"/>
                <w:sz w:val="24"/>
                <w:szCs w:val="24"/>
                <w:highlight w:val="none"/>
              </w:rPr>
              <w:t>技术职称</w:t>
            </w:r>
          </w:p>
        </w:tc>
        <w:tc>
          <w:tcPr>
            <w:tcW w:w="1613" w:type="dxa"/>
            <w:gridSpan w:val="2"/>
            <w:noWrap w:val="0"/>
            <w:vAlign w:val="top"/>
          </w:tcPr>
          <w:p w14:paraId="2C691DB9">
            <w:pPr>
              <w:rPr>
                <w:rFonts w:ascii="Arial"/>
                <w:color w:val="auto"/>
                <w:sz w:val="21"/>
                <w:highlight w:val="none"/>
              </w:rPr>
            </w:pPr>
          </w:p>
        </w:tc>
        <w:tc>
          <w:tcPr>
            <w:tcW w:w="969" w:type="dxa"/>
            <w:noWrap w:val="0"/>
            <w:vAlign w:val="top"/>
          </w:tcPr>
          <w:p w14:paraId="6B3EC63C">
            <w:pPr>
              <w:pStyle w:val="17"/>
              <w:spacing w:before="61" w:line="222" w:lineRule="auto"/>
              <w:ind w:left="284"/>
              <w:rPr>
                <w:color w:val="auto"/>
                <w:sz w:val="24"/>
                <w:szCs w:val="24"/>
                <w:highlight w:val="none"/>
              </w:rPr>
            </w:pPr>
            <w:r>
              <w:rPr>
                <w:color w:val="auto"/>
                <w:spacing w:val="-10"/>
                <w:sz w:val="24"/>
                <w:szCs w:val="24"/>
                <w:highlight w:val="none"/>
              </w:rPr>
              <w:t>电话</w:t>
            </w:r>
          </w:p>
        </w:tc>
        <w:tc>
          <w:tcPr>
            <w:tcW w:w="1615" w:type="dxa"/>
            <w:gridSpan w:val="2"/>
            <w:tcBorders>
              <w:right w:val="single" w:color="000000" w:sz="6" w:space="0"/>
            </w:tcBorders>
            <w:noWrap w:val="0"/>
            <w:vAlign w:val="top"/>
          </w:tcPr>
          <w:p w14:paraId="05170A1A">
            <w:pPr>
              <w:rPr>
                <w:rFonts w:ascii="Arial"/>
                <w:color w:val="auto"/>
                <w:sz w:val="21"/>
                <w:highlight w:val="none"/>
              </w:rPr>
            </w:pPr>
          </w:p>
        </w:tc>
      </w:tr>
      <w:tr w14:paraId="10B44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442" w:type="dxa"/>
            <w:tcBorders>
              <w:left w:val="single" w:color="000000" w:sz="6" w:space="0"/>
            </w:tcBorders>
            <w:noWrap w:val="0"/>
            <w:vAlign w:val="top"/>
          </w:tcPr>
          <w:p w14:paraId="2073E839">
            <w:pPr>
              <w:pStyle w:val="17"/>
              <w:spacing w:before="62" w:line="220" w:lineRule="auto"/>
              <w:ind w:left="124"/>
              <w:rPr>
                <w:color w:val="auto"/>
                <w:sz w:val="24"/>
                <w:szCs w:val="24"/>
                <w:highlight w:val="none"/>
              </w:rPr>
            </w:pPr>
            <w:r>
              <w:rPr>
                <w:color w:val="auto"/>
                <w:spacing w:val="-2"/>
                <w:sz w:val="24"/>
                <w:szCs w:val="24"/>
                <w:highlight w:val="none"/>
              </w:rPr>
              <w:t>技术负责人</w:t>
            </w:r>
          </w:p>
        </w:tc>
        <w:tc>
          <w:tcPr>
            <w:tcW w:w="926" w:type="dxa"/>
            <w:gridSpan w:val="2"/>
            <w:noWrap w:val="0"/>
            <w:vAlign w:val="top"/>
          </w:tcPr>
          <w:p w14:paraId="17E2A599">
            <w:pPr>
              <w:pStyle w:val="17"/>
              <w:spacing w:before="62" w:line="220" w:lineRule="auto"/>
              <w:ind w:left="226"/>
              <w:rPr>
                <w:color w:val="auto"/>
                <w:sz w:val="24"/>
                <w:szCs w:val="24"/>
                <w:highlight w:val="none"/>
              </w:rPr>
            </w:pPr>
            <w:r>
              <w:rPr>
                <w:color w:val="auto"/>
                <w:spacing w:val="-3"/>
                <w:sz w:val="24"/>
                <w:szCs w:val="24"/>
                <w:highlight w:val="none"/>
              </w:rPr>
              <w:t>姓名</w:t>
            </w:r>
          </w:p>
        </w:tc>
        <w:tc>
          <w:tcPr>
            <w:tcW w:w="1090" w:type="dxa"/>
            <w:noWrap w:val="0"/>
            <w:vAlign w:val="top"/>
          </w:tcPr>
          <w:p w14:paraId="568D76D7">
            <w:pPr>
              <w:rPr>
                <w:rFonts w:ascii="Arial"/>
                <w:color w:val="auto"/>
                <w:sz w:val="21"/>
                <w:highlight w:val="none"/>
              </w:rPr>
            </w:pPr>
          </w:p>
        </w:tc>
        <w:tc>
          <w:tcPr>
            <w:tcW w:w="1175" w:type="dxa"/>
            <w:noWrap w:val="0"/>
            <w:vAlign w:val="top"/>
          </w:tcPr>
          <w:p w14:paraId="6834EA9C">
            <w:pPr>
              <w:pStyle w:val="17"/>
              <w:spacing w:before="62" w:line="220" w:lineRule="auto"/>
              <w:ind w:left="114"/>
              <w:rPr>
                <w:color w:val="auto"/>
                <w:sz w:val="24"/>
                <w:szCs w:val="24"/>
                <w:highlight w:val="none"/>
              </w:rPr>
            </w:pPr>
            <w:r>
              <w:rPr>
                <w:color w:val="auto"/>
                <w:spacing w:val="-2"/>
                <w:sz w:val="24"/>
                <w:szCs w:val="24"/>
                <w:highlight w:val="none"/>
              </w:rPr>
              <w:t>技术职称</w:t>
            </w:r>
          </w:p>
        </w:tc>
        <w:tc>
          <w:tcPr>
            <w:tcW w:w="1613" w:type="dxa"/>
            <w:gridSpan w:val="2"/>
            <w:noWrap w:val="0"/>
            <w:vAlign w:val="top"/>
          </w:tcPr>
          <w:p w14:paraId="5D002557">
            <w:pPr>
              <w:rPr>
                <w:rFonts w:ascii="Arial"/>
                <w:color w:val="auto"/>
                <w:sz w:val="21"/>
                <w:highlight w:val="none"/>
              </w:rPr>
            </w:pPr>
          </w:p>
        </w:tc>
        <w:tc>
          <w:tcPr>
            <w:tcW w:w="969" w:type="dxa"/>
            <w:noWrap w:val="0"/>
            <w:vAlign w:val="top"/>
          </w:tcPr>
          <w:p w14:paraId="378A138E">
            <w:pPr>
              <w:pStyle w:val="17"/>
              <w:spacing w:before="62" w:line="222" w:lineRule="auto"/>
              <w:ind w:left="284"/>
              <w:rPr>
                <w:color w:val="auto"/>
                <w:sz w:val="24"/>
                <w:szCs w:val="24"/>
                <w:highlight w:val="none"/>
              </w:rPr>
            </w:pPr>
            <w:r>
              <w:rPr>
                <w:color w:val="auto"/>
                <w:spacing w:val="-10"/>
                <w:sz w:val="24"/>
                <w:szCs w:val="24"/>
                <w:highlight w:val="none"/>
              </w:rPr>
              <w:t>电话</w:t>
            </w:r>
          </w:p>
        </w:tc>
        <w:tc>
          <w:tcPr>
            <w:tcW w:w="1615" w:type="dxa"/>
            <w:gridSpan w:val="2"/>
            <w:tcBorders>
              <w:right w:val="single" w:color="000000" w:sz="6" w:space="0"/>
            </w:tcBorders>
            <w:noWrap w:val="0"/>
            <w:vAlign w:val="top"/>
          </w:tcPr>
          <w:p w14:paraId="76B947B7">
            <w:pPr>
              <w:rPr>
                <w:rFonts w:ascii="Arial"/>
                <w:color w:val="auto"/>
                <w:sz w:val="21"/>
                <w:highlight w:val="none"/>
              </w:rPr>
            </w:pPr>
          </w:p>
        </w:tc>
      </w:tr>
      <w:tr w14:paraId="40721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8" w:type="dxa"/>
            <w:gridSpan w:val="3"/>
            <w:tcBorders>
              <w:left w:val="single" w:color="000000" w:sz="6" w:space="0"/>
            </w:tcBorders>
            <w:noWrap w:val="0"/>
            <w:vAlign w:val="top"/>
          </w:tcPr>
          <w:p w14:paraId="25B8DB3A">
            <w:pPr>
              <w:pStyle w:val="17"/>
              <w:spacing w:before="62" w:line="221" w:lineRule="auto"/>
              <w:ind w:left="710"/>
              <w:rPr>
                <w:color w:val="auto"/>
                <w:sz w:val="24"/>
                <w:szCs w:val="24"/>
                <w:highlight w:val="none"/>
              </w:rPr>
            </w:pPr>
            <w:r>
              <w:rPr>
                <w:color w:val="auto"/>
                <w:spacing w:val="-3"/>
                <w:sz w:val="24"/>
                <w:szCs w:val="24"/>
                <w:highlight w:val="none"/>
              </w:rPr>
              <w:t>成立时间</w:t>
            </w:r>
          </w:p>
        </w:tc>
        <w:tc>
          <w:tcPr>
            <w:tcW w:w="2265" w:type="dxa"/>
            <w:gridSpan w:val="2"/>
            <w:noWrap w:val="0"/>
            <w:vAlign w:val="top"/>
          </w:tcPr>
          <w:p w14:paraId="7644C3F7">
            <w:pPr>
              <w:rPr>
                <w:rFonts w:ascii="Arial"/>
                <w:color w:val="auto"/>
                <w:sz w:val="21"/>
                <w:highlight w:val="none"/>
              </w:rPr>
            </w:pPr>
          </w:p>
        </w:tc>
        <w:tc>
          <w:tcPr>
            <w:tcW w:w="3457" w:type="dxa"/>
            <w:gridSpan w:val="4"/>
            <w:noWrap w:val="0"/>
            <w:vAlign w:val="top"/>
          </w:tcPr>
          <w:p w14:paraId="1F679B89">
            <w:pPr>
              <w:pStyle w:val="17"/>
              <w:spacing w:before="62" w:line="220" w:lineRule="auto"/>
              <w:ind w:left="787"/>
              <w:rPr>
                <w:color w:val="auto"/>
                <w:sz w:val="24"/>
                <w:szCs w:val="24"/>
                <w:highlight w:val="none"/>
              </w:rPr>
            </w:pPr>
            <w:r>
              <w:rPr>
                <w:color w:val="auto"/>
                <w:spacing w:val="-4"/>
                <w:sz w:val="24"/>
                <w:szCs w:val="24"/>
                <w:highlight w:val="none"/>
              </w:rPr>
              <w:t>员工总人数（人）</w:t>
            </w:r>
          </w:p>
        </w:tc>
        <w:tc>
          <w:tcPr>
            <w:tcW w:w="740" w:type="dxa"/>
            <w:tcBorders>
              <w:right w:val="single" w:color="000000" w:sz="6" w:space="0"/>
            </w:tcBorders>
            <w:noWrap w:val="0"/>
            <w:vAlign w:val="top"/>
          </w:tcPr>
          <w:p w14:paraId="464326ED">
            <w:pPr>
              <w:rPr>
                <w:rFonts w:ascii="Arial"/>
                <w:color w:val="auto"/>
                <w:sz w:val="21"/>
                <w:highlight w:val="none"/>
              </w:rPr>
            </w:pPr>
          </w:p>
        </w:tc>
      </w:tr>
      <w:tr w14:paraId="6DBC7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8" w:type="dxa"/>
            <w:gridSpan w:val="3"/>
            <w:tcBorders>
              <w:left w:val="single" w:color="000000" w:sz="6" w:space="0"/>
            </w:tcBorders>
            <w:noWrap w:val="0"/>
            <w:vAlign w:val="top"/>
          </w:tcPr>
          <w:p w14:paraId="301F03AB">
            <w:pPr>
              <w:pStyle w:val="17"/>
              <w:spacing w:before="62" w:line="220" w:lineRule="auto"/>
              <w:ind w:left="472"/>
              <w:rPr>
                <w:color w:val="auto"/>
                <w:sz w:val="24"/>
                <w:szCs w:val="24"/>
                <w:highlight w:val="none"/>
              </w:rPr>
            </w:pPr>
            <w:r>
              <w:rPr>
                <w:color w:val="auto"/>
                <w:spacing w:val="-2"/>
                <w:sz w:val="24"/>
                <w:szCs w:val="24"/>
                <w:highlight w:val="none"/>
              </w:rPr>
              <w:t>企业资质等级</w:t>
            </w:r>
          </w:p>
        </w:tc>
        <w:tc>
          <w:tcPr>
            <w:tcW w:w="2265" w:type="dxa"/>
            <w:gridSpan w:val="2"/>
            <w:noWrap w:val="0"/>
            <w:vAlign w:val="top"/>
          </w:tcPr>
          <w:p w14:paraId="209065B6">
            <w:pPr>
              <w:rPr>
                <w:rFonts w:ascii="Arial"/>
                <w:color w:val="auto"/>
                <w:sz w:val="21"/>
                <w:highlight w:val="none"/>
              </w:rPr>
            </w:pPr>
          </w:p>
        </w:tc>
        <w:tc>
          <w:tcPr>
            <w:tcW w:w="785" w:type="dxa"/>
            <w:vMerge w:val="restart"/>
            <w:tcBorders>
              <w:bottom w:val="nil"/>
            </w:tcBorders>
            <w:noWrap w:val="0"/>
            <w:vAlign w:val="top"/>
          </w:tcPr>
          <w:p w14:paraId="5C13722F">
            <w:pPr>
              <w:spacing w:line="254" w:lineRule="auto"/>
              <w:rPr>
                <w:rFonts w:ascii="Arial"/>
                <w:color w:val="auto"/>
                <w:sz w:val="21"/>
                <w:highlight w:val="none"/>
              </w:rPr>
            </w:pPr>
          </w:p>
          <w:p w14:paraId="1924275D">
            <w:pPr>
              <w:spacing w:line="255" w:lineRule="auto"/>
              <w:rPr>
                <w:rFonts w:ascii="Arial"/>
                <w:color w:val="auto"/>
                <w:sz w:val="21"/>
                <w:highlight w:val="none"/>
              </w:rPr>
            </w:pPr>
          </w:p>
          <w:p w14:paraId="2EB20FF5">
            <w:pPr>
              <w:spacing w:line="255" w:lineRule="auto"/>
              <w:rPr>
                <w:rFonts w:ascii="Arial"/>
                <w:color w:val="auto"/>
                <w:sz w:val="21"/>
                <w:highlight w:val="none"/>
              </w:rPr>
            </w:pPr>
          </w:p>
          <w:p w14:paraId="6D916C2C">
            <w:pPr>
              <w:spacing w:line="255" w:lineRule="auto"/>
              <w:rPr>
                <w:rFonts w:ascii="Arial"/>
                <w:color w:val="auto"/>
                <w:sz w:val="21"/>
                <w:highlight w:val="none"/>
              </w:rPr>
            </w:pPr>
          </w:p>
          <w:p w14:paraId="3AA9461A">
            <w:pPr>
              <w:pStyle w:val="17"/>
              <w:spacing w:before="78" w:line="220" w:lineRule="auto"/>
              <w:ind w:left="161"/>
              <w:rPr>
                <w:color w:val="auto"/>
                <w:sz w:val="24"/>
                <w:szCs w:val="24"/>
                <w:highlight w:val="none"/>
              </w:rPr>
            </w:pPr>
            <w:r>
              <w:rPr>
                <w:color w:val="auto"/>
                <w:spacing w:val="-3"/>
                <w:sz w:val="24"/>
                <w:szCs w:val="24"/>
                <w:highlight w:val="none"/>
              </w:rPr>
              <w:t>其中</w:t>
            </w:r>
          </w:p>
        </w:tc>
        <w:tc>
          <w:tcPr>
            <w:tcW w:w="2672" w:type="dxa"/>
            <w:gridSpan w:val="3"/>
            <w:noWrap w:val="0"/>
            <w:vAlign w:val="top"/>
          </w:tcPr>
          <w:p w14:paraId="168CE05A">
            <w:pPr>
              <w:pStyle w:val="17"/>
              <w:spacing w:before="62" w:line="220" w:lineRule="auto"/>
              <w:ind w:left="390"/>
              <w:rPr>
                <w:color w:val="auto"/>
                <w:sz w:val="24"/>
                <w:szCs w:val="24"/>
                <w:highlight w:val="none"/>
              </w:rPr>
            </w:pPr>
            <w:r>
              <w:rPr>
                <w:color w:val="auto"/>
                <w:spacing w:val="-4"/>
                <w:sz w:val="24"/>
                <w:szCs w:val="24"/>
                <w:highlight w:val="none"/>
              </w:rPr>
              <w:t>项目负责人（人）</w:t>
            </w:r>
          </w:p>
        </w:tc>
        <w:tc>
          <w:tcPr>
            <w:tcW w:w="740" w:type="dxa"/>
            <w:tcBorders>
              <w:right w:val="single" w:color="000000" w:sz="6" w:space="0"/>
            </w:tcBorders>
            <w:noWrap w:val="0"/>
            <w:vAlign w:val="top"/>
          </w:tcPr>
          <w:p w14:paraId="0810162B">
            <w:pPr>
              <w:rPr>
                <w:rFonts w:ascii="Arial"/>
                <w:color w:val="auto"/>
                <w:sz w:val="21"/>
                <w:highlight w:val="none"/>
              </w:rPr>
            </w:pPr>
          </w:p>
        </w:tc>
      </w:tr>
      <w:tr w14:paraId="10059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8" w:type="dxa"/>
            <w:gridSpan w:val="3"/>
            <w:tcBorders>
              <w:left w:val="single" w:color="000000" w:sz="6" w:space="0"/>
            </w:tcBorders>
            <w:noWrap w:val="0"/>
            <w:vAlign w:val="top"/>
          </w:tcPr>
          <w:p w14:paraId="56CFF290">
            <w:pPr>
              <w:pStyle w:val="17"/>
              <w:spacing w:before="64" w:line="219" w:lineRule="auto"/>
              <w:ind w:left="234"/>
              <w:rPr>
                <w:color w:val="auto"/>
                <w:sz w:val="24"/>
                <w:szCs w:val="24"/>
                <w:highlight w:val="none"/>
              </w:rPr>
            </w:pPr>
            <w:r>
              <w:rPr>
                <w:color w:val="auto"/>
                <w:spacing w:val="-2"/>
                <w:sz w:val="24"/>
                <w:szCs w:val="24"/>
                <w:highlight w:val="none"/>
              </w:rPr>
              <w:t>统一社会信用代码</w:t>
            </w:r>
          </w:p>
        </w:tc>
        <w:tc>
          <w:tcPr>
            <w:tcW w:w="2265" w:type="dxa"/>
            <w:gridSpan w:val="2"/>
            <w:noWrap w:val="0"/>
            <w:vAlign w:val="top"/>
          </w:tcPr>
          <w:p w14:paraId="5648BFCC">
            <w:pPr>
              <w:rPr>
                <w:rFonts w:ascii="Arial"/>
                <w:color w:val="auto"/>
                <w:sz w:val="21"/>
                <w:highlight w:val="none"/>
              </w:rPr>
            </w:pPr>
          </w:p>
        </w:tc>
        <w:tc>
          <w:tcPr>
            <w:tcW w:w="785" w:type="dxa"/>
            <w:vMerge w:val="continue"/>
            <w:tcBorders>
              <w:top w:val="nil"/>
              <w:bottom w:val="nil"/>
            </w:tcBorders>
            <w:noWrap w:val="0"/>
            <w:vAlign w:val="top"/>
          </w:tcPr>
          <w:p w14:paraId="7A5926D5">
            <w:pPr>
              <w:rPr>
                <w:rFonts w:ascii="Arial"/>
                <w:color w:val="auto"/>
                <w:sz w:val="21"/>
                <w:highlight w:val="none"/>
              </w:rPr>
            </w:pPr>
          </w:p>
        </w:tc>
        <w:tc>
          <w:tcPr>
            <w:tcW w:w="2672" w:type="dxa"/>
            <w:gridSpan w:val="3"/>
            <w:noWrap w:val="0"/>
            <w:vAlign w:val="top"/>
          </w:tcPr>
          <w:p w14:paraId="5BA96DDF">
            <w:pPr>
              <w:pStyle w:val="17"/>
              <w:spacing w:before="64" w:line="220" w:lineRule="auto"/>
              <w:ind w:left="273"/>
              <w:rPr>
                <w:color w:val="auto"/>
                <w:sz w:val="24"/>
                <w:szCs w:val="24"/>
                <w:highlight w:val="none"/>
              </w:rPr>
            </w:pPr>
            <w:r>
              <w:rPr>
                <w:color w:val="auto"/>
                <w:spacing w:val="-4"/>
                <w:sz w:val="24"/>
                <w:szCs w:val="24"/>
                <w:highlight w:val="none"/>
              </w:rPr>
              <w:t>高级职称人员（人）</w:t>
            </w:r>
          </w:p>
        </w:tc>
        <w:tc>
          <w:tcPr>
            <w:tcW w:w="740" w:type="dxa"/>
            <w:tcBorders>
              <w:right w:val="single" w:color="000000" w:sz="6" w:space="0"/>
            </w:tcBorders>
            <w:noWrap w:val="0"/>
            <w:vAlign w:val="top"/>
          </w:tcPr>
          <w:p w14:paraId="00D9A075">
            <w:pPr>
              <w:rPr>
                <w:rFonts w:ascii="Arial"/>
                <w:color w:val="auto"/>
                <w:sz w:val="21"/>
                <w:highlight w:val="none"/>
              </w:rPr>
            </w:pPr>
          </w:p>
        </w:tc>
      </w:tr>
      <w:tr w14:paraId="1B079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8" w:type="dxa"/>
            <w:gridSpan w:val="3"/>
            <w:tcBorders>
              <w:left w:val="single" w:color="000000" w:sz="6" w:space="0"/>
            </w:tcBorders>
            <w:noWrap w:val="0"/>
            <w:vAlign w:val="top"/>
          </w:tcPr>
          <w:p w14:paraId="5F8DA165">
            <w:pPr>
              <w:pStyle w:val="17"/>
              <w:spacing w:before="64" w:line="221" w:lineRule="auto"/>
              <w:ind w:left="708"/>
              <w:rPr>
                <w:color w:val="auto"/>
                <w:sz w:val="24"/>
                <w:szCs w:val="24"/>
                <w:highlight w:val="none"/>
              </w:rPr>
            </w:pPr>
            <w:r>
              <w:rPr>
                <w:color w:val="auto"/>
                <w:spacing w:val="-2"/>
                <w:sz w:val="24"/>
                <w:szCs w:val="24"/>
                <w:highlight w:val="none"/>
              </w:rPr>
              <w:t>注册资金</w:t>
            </w:r>
          </w:p>
        </w:tc>
        <w:tc>
          <w:tcPr>
            <w:tcW w:w="2265" w:type="dxa"/>
            <w:gridSpan w:val="2"/>
            <w:noWrap w:val="0"/>
            <w:vAlign w:val="top"/>
          </w:tcPr>
          <w:p w14:paraId="2849C742">
            <w:pPr>
              <w:rPr>
                <w:rFonts w:ascii="Arial"/>
                <w:color w:val="auto"/>
                <w:sz w:val="21"/>
                <w:highlight w:val="none"/>
              </w:rPr>
            </w:pPr>
          </w:p>
        </w:tc>
        <w:tc>
          <w:tcPr>
            <w:tcW w:w="785" w:type="dxa"/>
            <w:vMerge w:val="continue"/>
            <w:tcBorders>
              <w:top w:val="nil"/>
              <w:bottom w:val="nil"/>
            </w:tcBorders>
            <w:noWrap w:val="0"/>
            <w:vAlign w:val="top"/>
          </w:tcPr>
          <w:p w14:paraId="1C416B19">
            <w:pPr>
              <w:rPr>
                <w:rFonts w:ascii="Arial"/>
                <w:color w:val="auto"/>
                <w:sz w:val="21"/>
                <w:highlight w:val="none"/>
              </w:rPr>
            </w:pPr>
          </w:p>
        </w:tc>
        <w:tc>
          <w:tcPr>
            <w:tcW w:w="2672" w:type="dxa"/>
            <w:gridSpan w:val="3"/>
            <w:noWrap w:val="0"/>
            <w:vAlign w:val="top"/>
          </w:tcPr>
          <w:p w14:paraId="0186F1E1">
            <w:pPr>
              <w:pStyle w:val="17"/>
              <w:spacing w:before="65" w:line="220" w:lineRule="auto"/>
              <w:ind w:left="289"/>
              <w:rPr>
                <w:color w:val="auto"/>
                <w:sz w:val="24"/>
                <w:szCs w:val="24"/>
                <w:highlight w:val="none"/>
              </w:rPr>
            </w:pPr>
            <w:r>
              <w:rPr>
                <w:color w:val="auto"/>
                <w:spacing w:val="-5"/>
                <w:sz w:val="24"/>
                <w:szCs w:val="24"/>
                <w:highlight w:val="none"/>
              </w:rPr>
              <w:t>中级职称人员（人）</w:t>
            </w:r>
          </w:p>
        </w:tc>
        <w:tc>
          <w:tcPr>
            <w:tcW w:w="740" w:type="dxa"/>
            <w:tcBorders>
              <w:right w:val="single" w:color="000000" w:sz="6" w:space="0"/>
            </w:tcBorders>
            <w:noWrap w:val="0"/>
            <w:vAlign w:val="top"/>
          </w:tcPr>
          <w:p w14:paraId="6CA405C4">
            <w:pPr>
              <w:rPr>
                <w:rFonts w:ascii="Arial"/>
                <w:color w:val="auto"/>
                <w:sz w:val="21"/>
                <w:highlight w:val="none"/>
              </w:rPr>
            </w:pPr>
          </w:p>
        </w:tc>
      </w:tr>
      <w:tr w14:paraId="784E8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8" w:type="dxa"/>
            <w:gridSpan w:val="3"/>
            <w:tcBorders>
              <w:left w:val="single" w:color="000000" w:sz="6" w:space="0"/>
            </w:tcBorders>
            <w:noWrap w:val="0"/>
            <w:vAlign w:val="top"/>
          </w:tcPr>
          <w:p w14:paraId="3BC93187">
            <w:pPr>
              <w:pStyle w:val="17"/>
              <w:spacing w:before="65" w:line="219" w:lineRule="auto"/>
              <w:ind w:left="228"/>
              <w:rPr>
                <w:color w:val="auto"/>
                <w:sz w:val="24"/>
                <w:szCs w:val="24"/>
                <w:highlight w:val="none"/>
              </w:rPr>
            </w:pPr>
            <w:r>
              <w:rPr>
                <w:color w:val="auto"/>
                <w:spacing w:val="-2"/>
                <w:sz w:val="24"/>
                <w:szCs w:val="24"/>
                <w:highlight w:val="none"/>
              </w:rPr>
              <w:t>基本账户开户银行</w:t>
            </w:r>
          </w:p>
        </w:tc>
        <w:tc>
          <w:tcPr>
            <w:tcW w:w="2265" w:type="dxa"/>
            <w:gridSpan w:val="2"/>
            <w:noWrap w:val="0"/>
            <w:vAlign w:val="top"/>
          </w:tcPr>
          <w:p w14:paraId="550427E9">
            <w:pPr>
              <w:rPr>
                <w:rFonts w:ascii="Arial"/>
                <w:color w:val="auto"/>
                <w:sz w:val="21"/>
                <w:highlight w:val="none"/>
              </w:rPr>
            </w:pPr>
          </w:p>
        </w:tc>
        <w:tc>
          <w:tcPr>
            <w:tcW w:w="785" w:type="dxa"/>
            <w:vMerge w:val="continue"/>
            <w:tcBorders>
              <w:top w:val="nil"/>
              <w:bottom w:val="nil"/>
            </w:tcBorders>
            <w:noWrap w:val="0"/>
            <w:vAlign w:val="top"/>
          </w:tcPr>
          <w:p w14:paraId="544B1F9E">
            <w:pPr>
              <w:rPr>
                <w:rFonts w:ascii="Arial"/>
                <w:color w:val="auto"/>
                <w:sz w:val="21"/>
                <w:highlight w:val="none"/>
              </w:rPr>
            </w:pPr>
          </w:p>
        </w:tc>
        <w:tc>
          <w:tcPr>
            <w:tcW w:w="2672" w:type="dxa"/>
            <w:gridSpan w:val="3"/>
            <w:noWrap w:val="0"/>
            <w:vAlign w:val="top"/>
          </w:tcPr>
          <w:p w14:paraId="6B6E810D">
            <w:pPr>
              <w:pStyle w:val="17"/>
              <w:spacing w:before="65" w:line="221" w:lineRule="auto"/>
              <w:ind w:left="266"/>
              <w:rPr>
                <w:color w:val="auto"/>
                <w:sz w:val="24"/>
                <w:szCs w:val="24"/>
                <w:highlight w:val="none"/>
              </w:rPr>
            </w:pPr>
            <w:r>
              <w:rPr>
                <w:color w:val="auto"/>
                <w:spacing w:val="-3"/>
                <w:sz w:val="24"/>
                <w:szCs w:val="24"/>
                <w:highlight w:val="none"/>
              </w:rPr>
              <w:t>初级职称人员（人）</w:t>
            </w:r>
          </w:p>
        </w:tc>
        <w:tc>
          <w:tcPr>
            <w:tcW w:w="740" w:type="dxa"/>
            <w:tcBorders>
              <w:right w:val="single" w:color="000000" w:sz="6" w:space="0"/>
            </w:tcBorders>
            <w:noWrap w:val="0"/>
            <w:vAlign w:val="top"/>
          </w:tcPr>
          <w:p w14:paraId="0E8FBBFD">
            <w:pPr>
              <w:rPr>
                <w:rFonts w:ascii="Arial"/>
                <w:color w:val="auto"/>
                <w:sz w:val="21"/>
                <w:highlight w:val="none"/>
              </w:rPr>
            </w:pPr>
          </w:p>
        </w:tc>
      </w:tr>
      <w:tr w14:paraId="7AFFD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8" w:type="dxa"/>
            <w:gridSpan w:val="3"/>
            <w:tcBorders>
              <w:left w:val="single" w:color="000000" w:sz="6" w:space="0"/>
            </w:tcBorders>
            <w:noWrap w:val="0"/>
            <w:vAlign w:val="top"/>
          </w:tcPr>
          <w:p w14:paraId="0F1EEDCE">
            <w:pPr>
              <w:pStyle w:val="17"/>
              <w:spacing w:before="67" w:line="221" w:lineRule="auto"/>
              <w:ind w:left="892"/>
              <w:rPr>
                <w:color w:val="auto"/>
                <w:sz w:val="24"/>
                <w:szCs w:val="24"/>
                <w:highlight w:val="none"/>
              </w:rPr>
            </w:pPr>
            <w:r>
              <w:rPr>
                <w:color w:val="auto"/>
                <w:spacing w:val="-7"/>
                <w:sz w:val="24"/>
                <w:szCs w:val="24"/>
                <w:highlight w:val="none"/>
              </w:rPr>
              <w:t>账</w:t>
            </w:r>
            <w:r>
              <w:rPr>
                <w:color w:val="auto"/>
                <w:spacing w:val="15"/>
                <w:sz w:val="24"/>
                <w:szCs w:val="24"/>
                <w:highlight w:val="none"/>
              </w:rPr>
              <w:t xml:space="preserve"> </w:t>
            </w:r>
            <w:r>
              <w:rPr>
                <w:color w:val="auto"/>
                <w:spacing w:val="-7"/>
                <w:sz w:val="24"/>
                <w:szCs w:val="24"/>
                <w:highlight w:val="none"/>
              </w:rPr>
              <w:t>号</w:t>
            </w:r>
          </w:p>
        </w:tc>
        <w:tc>
          <w:tcPr>
            <w:tcW w:w="2265" w:type="dxa"/>
            <w:gridSpan w:val="2"/>
            <w:noWrap w:val="0"/>
            <w:vAlign w:val="top"/>
          </w:tcPr>
          <w:p w14:paraId="113B5697">
            <w:pPr>
              <w:rPr>
                <w:rFonts w:ascii="Arial"/>
                <w:color w:val="auto"/>
                <w:sz w:val="21"/>
                <w:highlight w:val="none"/>
              </w:rPr>
            </w:pPr>
          </w:p>
        </w:tc>
        <w:tc>
          <w:tcPr>
            <w:tcW w:w="785" w:type="dxa"/>
            <w:vMerge w:val="continue"/>
            <w:tcBorders>
              <w:top w:val="nil"/>
            </w:tcBorders>
            <w:noWrap w:val="0"/>
            <w:vAlign w:val="top"/>
          </w:tcPr>
          <w:p w14:paraId="2E42B5A8">
            <w:pPr>
              <w:rPr>
                <w:rFonts w:ascii="Arial"/>
                <w:color w:val="auto"/>
                <w:sz w:val="21"/>
                <w:highlight w:val="none"/>
              </w:rPr>
            </w:pPr>
          </w:p>
        </w:tc>
        <w:tc>
          <w:tcPr>
            <w:tcW w:w="2672" w:type="dxa"/>
            <w:gridSpan w:val="3"/>
            <w:noWrap w:val="0"/>
            <w:vAlign w:val="top"/>
          </w:tcPr>
          <w:p w14:paraId="4FECE212">
            <w:pPr>
              <w:pStyle w:val="17"/>
              <w:spacing w:before="67" w:line="221" w:lineRule="auto"/>
              <w:ind w:left="747"/>
              <w:rPr>
                <w:color w:val="auto"/>
                <w:sz w:val="24"/>
                <w:szCs w:val="24"/>
                <w:highlight w:val="none"/>
              </w:rPr>
            </w:pPr>
            <w:r>
              <w:rPr>
                <w:color w:val="auto"/>
                <w:spacing w:val="-5"/>
                <w:sz w:val="24"/>
                <w:szCs w:val="24"/>
                <w:highlight w:val="none"/>
              </w:rPr>
              <w:t>技工（人）</w:t>
            </w:r>
          </w:p>
        </w:tc>
        <w:tc>
          <w:tcPr>
            <w:tcW w:w="740" w:type="dxa"/>
            <w:tcBorders>
              <w:right w:val="single" w:color="000000" w:sz="6" w:space="0"/>
            </w:tcBorders>
            <w:noWrap w:val="0"/>
            <w:vAlign w:val="top"/>
          </w:tcPr>
          <w:p w14:paraId="22F1606A">
            <w:pPr>
              <w:rPr>
                <w:rFonts w:ascii="Arial"/>
                <w:color w:val="auto"/>
                <w:sz w:val="21"/>
                <w:highlight w:val="none"/>
              </w:rPr>
            </w:pPr>
          </w:p>
        </w:tc>
      </w:tr>
      <w:tr w14:paraId="618FD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633" w:type="dxa"/>
            <w:gridSpan w:val="5"/>
            <w:tcBorders>
              <w:left w:val="single" w:color="000000" w:sz="6" w:space="0"/>
            </w:tcBorders>
            <w:noWrap w:val="0"/>
            <w:vAlign w:val="top"/>
          </w:tcPr>
          <w:p w14:paraId="085413AA">
            <w:pPr>
              <w:pStyle w:val="17"/>
              <w:spacing w:before="66" w:line="220" w:lineRule="auto"/>
              <w:ind w:left="705"/>
              <w:rPr>
                <w:color w:val="auto"/>
                <w:sz w:val="24"/>
                <w:szCs w:val="24"/>
                <w:highlight w:val="none"/>
              </w:rPr>
            </w:pPr>
            <w:r>
              <w:rPr>
                <w:color w:val="auto"/>
                <w:spacing w:val="-2"/>
                <w:sz w:val="24"/>
                <w:szCs w:val="24"/>
                <w:highlight w:val="none"/>
              </w:rPr>
              <w:t>最近</w:t>
            </w:r>
            <w:r>
              <w:rPr>
                <w:rFonts w:ascii="Times New Roman" w:hAnsi="Times New Roman" w:eastAsia="Times New Roman" w:cs="Times New Roman"/>
                <w:color w:val="auto"/>
                <w:spacing w:val="-2"/>
                <w:sz w:val="24"/>
                <w:szCs w:val="24"/>
                <w:highlight w:val="none"/>
              </w:rPr>
              <w:t>5</w:t>
            </w:r>
            <w:r>
              <w:rPr>
                <w:color w:val="auto"/>
                <w:spacing w:val="-2"/>
                <w:sz w:val="24"/>
                <w:szCs w:val="24"/>
                <w:highlight w:val="none"/>
              </w:rPr>
              <w:t>年完成的营业额（万元）</w:t>
            </w:r>
          </w:p>
        </w:tc>
        <w:tc>
          <w:tcPr>
            <w:tcW w:w="4197" w:type="dxa"/>
            <w:gridSpan w:val="5"/>
            <w:tcBorders>
              <w:right w:val="single" w:color="000000" w:sz="6" w:space="0"/>
            </w:tcBorders>
            <w:noWrap w:val="0"/>
            <w:vAlign w:val="top"/>
          </w:tcPr>
          <w:p w14:paraId="4DD37E50">
            <w:pPr>
              <w:pStyle w:val="17"/>
              <w:spacing w:before="67" w:line="220" w:lineRule="auto"/>
              <w:ind w:left="1623"/>
              <w:rPr>
                <w:color w:val="auto"/>
                <w:sz w:val="24"/>
                <w:szCs w:val="24"/>
                <w:highlight w:val="none"/>
              </w:rPr>
            </w:pPr>
            <w:r>
              <w:rPr>
                <w:color w:val="auto"/>
                <w:spacing w:val="-3"/>
                <w:sz w:val="24"/>
                <w:szCs w:val="24"/>
                <w:highlight w:val="none"/>
              </w:rPr>
              <w:t>经营范围</w:t>
            </w:r>
          </w:p>
        </w:tc>
      </w:tr>
      <w:tr w14:paraId="3992D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8" w:type="dxa"/>
            <w:gridSpan w:val="3"/>
            <w:tcBorders>
              <w:left w:val="single" w:color="000000" w:sz="6" w:space="0"/>
            </w:tcBorders>
            <w:noWrap w:val="0"/>
            <w:vAlign w:val="top"/>
          </w:tcPr>
          <w:p w14:paraId="2710DA87">
            <w:pPr>
              <w:pStyle w:val="17"/>
              <w:tabs>
                <w:tab w:val="left" w:pos="965"/>
              </w:tabs>
              <w:spacing w:before="66" w:line="220" w:lineRule="auto"/>
              <w:ind w:left="245"/>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noWrap w:val="0"/>
            <w:vAlign w:val="top"/>
          </w:tcPr>
          <w:p w14:paraId="485DF563">
            <w:pPr>
              <w:rPr>
                <w:rFonts w:ascii="Arial"/>
                <w:color w:val="auto"/>
                <w:sz w:val="21"/>
                <w:highlight w:val="none"/>
              </w:rPr>
            </w:pPr>
          </w:p>
        </w:tc>
        <w:tc>
          <w:tcPr>
            <w:tcW w:w="4197" w:type="dxa"/>
            <w:gridSpan w:val="5"/>
            <w:vMerge w:val="restart"/>
            <w:tcBorders>
              <w:bottom w:val="nil"/>
              <w:right w:val="single" w:color="000000" w:sz="6" w:space="0"/>
            </w:tcBorders>
            <w:noWrap w:val="0"/>
            <w:vAlign w:val="top"/>
          </w:tcPr>
          <w:p w14:paraId="3A9BBD26">
            <w:pPr>
              <w:rPr>
                <w:rFonts w:ascii="Arial"/>
                <w:color w:val="auto"/>
                <w:sz w:val="21"/>
                <w:highlight w:val="none"/>
              </w:rPr>
            </w:pPr>
          </w:p>
        </w:tc>
      </w:tr>
      <w:tr w14:paraId="22FCC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8" w:type="dxa"/>
            <w:gridSpan w:val="3"/>
            <w:tcBorders>
              <w:left w:val="single" w:color="000000" w:sz="6" w:space="0"/>
            </w:tcBorders>
            <w:noWrap w:val="0"/>
            <w:vAlign w:val="top"/>
          </w:tcPr>
          <w:p w14:paraId="249DF7B0">
            <w:pPr>
              <w:pStyle w:val="17"/>
              <w:tabs>
                <w:tab w:val="left" w:pos="1008"/>
              </w:tabs>
              <w:spacing w:before="68" w:line="220" w:lineRule="auto"/>
              <w:ind w:left="288"/>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noWrap w:val="0"/>
            <w:vAlign w:val="top"/>
          </w:tcPr>
          <w:p w14:paraId="0CCE3FF0">
            <w:pPr>
              <w:rPr>
                <w:rFonts w:ascii="Arial"/>
                <w:color w:val="auto"/>
                <w:sz w:val="21"/>
                <w:highlight w:val="none"/>
              </w:rPr>
            </w:pPr>
          </w:p>
        </w:tc>
        <w:tc>
          <w:tcPr>
            <w:tcW w:w="4197" w:type="dxa"/>
            <w:gridSpan w:val="5"/>
            <w:vMerge w:val="continue"/>
            <w:tcBorders>
              <w:top w:val="nil"/>
              <w:bottom w:val="nil"/>
              <w:right w:val="single" w:color="000000" w:sz="6" w:space="0"/>
            </w:tcBorders>
            <w:noWrap w:val="0"/>
            <w:vAlign w:val="top"/>
          </w:tcPr>
          <w:p w14:paraId="57A08376">
            <w:pPr>
              <w:rPr>
                <w:rFonts w:ascii="Arial"/>
                <w:color w:val="auto"/>
                <w:sz w:val="21"/>
                <w:highlight w:val="none"/>
              </w:rPr>
            </w:pPr>
          </w:p>
        </w:tc>
      </w:tr>
      <w:tr w14:paraId="6D5AD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8" w:type="dxa"/>
            <w:gridSpan w:val="3"/>
            <w:tcBorders>
              <w:left w:val="single" w:color="000000" w:sz="6" w:space="0"/>
            </w:tcBorders>
            <w:noWrap w:val="0"/>
            <w:vAlign w:val="top"/>
          </w:tcPr>
          <w:p w14:paraId="124D9D66">
            <w:pPr>
              <w:pStyle w:val="17"/>
              <w:tabs>
                <w:tab w:val="left" w:pos="1008"/>
              </w:tabs>
              <w:spacing w:before="68" w:line="220" w:lineRule="auto"/>
              <w:ind w:left="288"/>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noWrap w:val="0"/>
            <w:vAlign w:val="top"/>
          </w:tcPr>
          <w:p w14:paraId="42B73538">
            <w:pPr>
              <w:rPr>
                <w:rFonts w:ascii="Arial"/>
                <w:color w:val="auto"/>
                <w:sz w:val="21"/>
                <w:highlight w:val="none"/>
              </w:rPr>
            </w:pPr>
          </w:p>
        </w:tc>
        <w:tc>
          <w:tcPr>
            <w:tcW w:w="4197" w:type="dxa"/>
            <w:gridSpan w:val="5"/>
            <w:vMerge w:val="continue"/>
            <w:tcBorders>
              <w:top w:val="nil"/>
              <w:bottom w:val="nil"/>
              <w:right w:val="single" w:color="000000" w:sz="6" w:space="0"/>
            </w:tcBorders>
            <w:noWrap w:val="0"/>
            <w:vAlign w:val="top"/>
          </w:tcPr>
          <w:p w14:paraId="154DD04F">
            <w:pPr>
              <w:rPr>
                <w:rFonts w:ascii="Arial"/>
                <w:color w:val="auto"/>
                <w:sz w:val="21"/>
                <w:highlight w:val="none"/>
              </w:rPr>
            </w:pPr>
          </w:p>
        </w:tc>
      </w:tr>
      <w:tr w14:paraId="2BBB8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368" w:type="dxa"/>
            <w:gridSpan w:val="3"/>
            <w:tcBorders>
              <w:left w:val="single" w:color="000000" w:sz="6" w:space="0"/>
            </w:tcBorders>
            <w:noWrap w:val="0"/>
            <w:vAlign w:val="top"/>
          </w:tcPr>
          <w:p w14:paraId="202D6F3E">
            <w:pPr>
              <w:pStyle w:val="17"/>
              <w:tabs>
                <w:tab w:val="left" w:pos="1008"/>
              </w:tabs>
              <w:spacing w:before="68" w:line="220" w:lineRule="auto"/>
              <w:ind w:left="288"/>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noWrap w:val="0"/>
            <w:vAlign w:val="top"/>
          </w:tcPr>
          <w:p w14:paraId="366EAF95">
            <w:pPr>
              <w:rPr>
                <w:rFonts w:ascii="Arial"/>
                <w:color w:val="auto"/>
                <w:sz w:val="21"/>
                <w:highlight w:val="none"/>
              </w:rPr>
            </w:pPr>
          </w:p>
        </w:tc>
        <w:tc>
          <w:tcPr>
            <w:tcW w:w="4197" w:type="dxa"/>
            <w:gridSpan w:val="5"/>
            <w:vMerge w:val="continue"/>
            <w:tcBorders>
              <w:top w:val="nil"/>
              <w:bottom w:val="nil"/>
              <w:right w:val="single" w:color="000000" w:sz="6" w:space="0"/>
            </w:tcBorders>
            <w:noWrap w:val="0"/>
            <w:vAlign w:val="top"/>
          </w:tcPr>
          <w:p w14:paraId="0B09572B">
            <w:pPr>
              <w:rPr>
                <w:rFonts w:ascii="Arial"/>
                <w:color w:val="auto"/>
                <w:sz w:val="21"/>
                <w:highlight w:val="none"/>
              </w:rPr>
            </w:pPr>
          </w:p>
        </w:tc>
      </w:tr>
      <w:tr w14:paraId="44E26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8" w:type="dxa"/>
            <w:gridSpan w:val="3"/>
            <w:tcBorders>
              <w:left w:val="single" w:color="000000" w:sz="6" w:space="0"/>
            </w:tcBorders>
            <w:noWrap w:val="0"/>
            <w:vAlign w:val="top"/>
          </w:tcPr>
          <w:p w14:paraId="000D409D">
            <w:pPr>
              <w:pStyle w:val="17"/>
              <w:tabs>
                <w:tab w:val="left" w:pos="1008"/>
              </w:tabs>
              <w:spacing w:before="70" w:line="220" w:lineRule="auto"/>
              <w:ind w:left="288"/>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5" w:type="dxa"/>
            <w:gridSpan w:val="2"/>
            <w:noWrap w:val="0"/>
            <w:vAlign w:val="top"/>
          </w:tcPr>
          <w:p w14:paraId="1E8FBFB3">
            <w:pPr>
              <w:rPr>
                <w:rFonts w:ascii="Arial"/>
                <w:color w:val="auto"/>
                <w:sz w:val="21"/>
                <w:highlight w:val="none"/>
              </w:rPr>
            </w:pPr>
          </w:p>
        </w:tc>
        <w:tc>
          <w:tcPr>
            <w:tcW w:w="4197" w:type="dxa"/>
            <w:gridSpan w:val="5"/>
            <w:vMerge w:val="continue"/>
            <w:tcBorders>
              <w:top w:val="nil"/>
              <w:right w:val="single" w:color="000000" w:sz="6" w:space="0"/>
            </w:tcBorders>
            <w:noWrap w:val="0"/>
            <w:vAlign w:val="top"/>
          </w:tcPr>
          <w:p w14:paraId="20BCEA57">
            <w:pPr>
              <w:rPr>
                <w:rFonts w:ascii="Arial"/>
                <w:color w:val="auto"/>
                <w:sz w:val="21"/>
                <w:highlight w:val="none"/>
              </w:rPr>
            </w:pPr>
          </w:p>
        </w:tc>
      </w:tr>
      <w:tr w14:paraId="4E065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4633" w:type="dxa"/>
            <w:gridSpan w:val="5"/>
            <w:tcBorders>
              <w:left w:val="single" w:color="000000" w:sz="6" w:space="0"/>
            </w:tcBorders>
            <w:noWrap w:val="0"/>
            <w:vAlign w:val="top"/>
          </w:tcPr>
          <w:p w14:paraId="3948EF89">
            <w:pPr>
              <w:pStyle w:val="17"/>
              <w:spacing w:before="70" w:line="220" w:lineRule="auto"/>
              <w:ind w:left="411"/>
              <w:rPr>
                <w:color w:val="auto"/>
                <w:sz w:val="24"/>
                <w:szCs w:val="24"/>
                <w:highlight w:val="none"/>
              </w:rPr>
            </w:pPr>
            <w:r>
              <w:rPr>
                <w:color w:val="auto"/>
                <w:spacing w:val="-3"/>
                <w:sz w:val="24"/>
                <w:szCs w:val="24"/>
                <w:highlight w:val="none"/>
              </w:rPr>
              <w:t>能承担的年最大建安工作量（万元）</w:t>
            </w:r>
          </w:p>
        </w:tc>
        <w:tc>
          <w:tcPr>
            <w:tcW w:w="4197" w:type="dxa"/>
            <w:gridSpan w:val="5"/>
            <w:tcBorders>
              <w:right w:val="single" w:color="000000" w:sz="6" w:space="0"/>
            </w:tcBorders>
            <w:noWrap w:val="0"/>
            <w:vAlign w:val="top"/>
          </w:tcPr>
          <w:p w14:paraId="75ECB063">
            <w:pPr>
              <w:rPr>
                <w:rFonts w:ascii="Arial"/>
                <w:color w:val="auto"/>
                <w:sz w:val="21"/>
                <w:highlight w:val="none"/>
              </w:rPr>
            </w:pPr>
          </w:p>
        </w:tc>
      </w:tr>
      <w:tr w14:paraId="1816A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726" w:type="dxa"/>
            <w:gridSpan w:val="2"/>
            <w:tcBorders>
              <w:left w:val="single" w:color="000000" w:sz="6" w:space="0"/>
              <w:bottom w:val="single" w:color="000000" w:sz="6" w:space="0"/>
            </w:tcBorders>
            <w:noWrap w:val="0"/>
            <w:vAlign w:val="top"/>
          </w:tcPr>
          <w:p w14:paraId="17AB2E27">
            <w:pPr>
              <w:pStyle w:val="17"/>
              <w:spacing w:before="71" w:line="221" w:lineRule="auto"/>
              <w:ind w:left="509"/>
              <w:rPr>
                <w:color w:val="auto"/>
                <w:sz w:val="24"/>
                <w:szCs w:val="24"/>
                <w:highlight w:val="none"/>
              </w:rPr>
            </w:pPr>
            <w:r>
              <w:rPr>
                <w:color w:val="auto"/>
                <w:spacing w:val="-7"/>
                <w:sz w:val="24"/>
                <w:szCs w:val="24"/>
                <w:highlight w:val="none"/>
              </w:rPr>
              <w:t>备</w:t>
            </w:r>
            <w:r>
              <w:rPr>
                <w:color w:val="auto"/>
                <w:spacing w:val="5"/>
                <w:sz w:val="24"/>
                <w:szCs w:val="24"/>
                <w:highlight w:val="none"/>
              </w:rPr>
              <w:t xml:space="preserve">  </w:t>
            </w:r>
            <w:r>
              <w:rPr>
                <w:color w:val="auto"/>
                <w:spacing w:val="-7"/>
                <w:sz w:val="24"/>
                <w:szCs w:val="24"/>
                <w:highlight w:val="none"/>
              </w:rPr>
              <w:t>注</w:t>
            </w:r>
          </w:p>
        </w:tc>
        <w:tc>
          <w:tcPr>
            <w:tcW w:w="7104" w:type="dxa"/>
            <w:gridSpan w:val="8"/>
            <w:tcBorders>
              <w:bottom w:val="single" w:color="000000" w:sz="6" w:space="0"/>
              <w:right w:val="single" w:color="000000" w:sz="6" w:space="0"/>
            </w:tcBorders>
            <w:noWrap w:val="0"/>
            <w:vAlign w:val="top"/>
          </w:tcPr>
          <w:p w14:paraId="1CF845FB">
            <w:pPr>
              <w:rPr>
                <w:rFonts w:ascii="Arial"/>
                <w:color w:val="auto"/>
                <w:sz w:val="21"/>
                <w:highlight w:val="none"/>
              </w:rPr>
            </w:pPr>
          </w:p>
        </w:tc>
      </w:tr>
    </w:tbl>
    <w:p w14:paraId="7D143826">
      <w:pPr>
        <w:spacing w:before="35" w:line="219" w:lineRule="auto"/>
        <w:ind w:left="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注：相关材料复制件在“十、原件的复制件”中提供。</w:t>
      </w:r>
    </w:p>
    <w:p w14:paraId="50F5DBC2">
      <w:pPr>
        <w:spacing w:line="219" w:lineRule="auto"/>
        <w:rPr>
          <w:rFonts w:ascii="宋体" w:hAnsi="宋体" w:eastAsia="宋体" w:cs="宋体"/>
          <w:color w:val="auto"/>
          <w:sz w:val="24"/>
          <w:szCs w:val="24"/>
          <w:highlight w:val="none"/>
        </w:rPr>
        <w:sectPr>
          <w:footerReference r:id="rId129" w:type="default"/>
          <w:pgSz w:w="11905" w:h="16840"/>
          <w:pgMar w:top="400" w:right="1471" w:bottom="1255" w:left="1587" w:header="0" w:footer="1093" w:gutter="0"/>
          <w:pgNumType w:fmt="decimal"/>
          <w:cols w:space="720" w:num="1"/>
        </w:sectPr>
      </w:pPr>
    </w:p>
    <w:p w14:paraId="56DA63DF">
      <w:pPr>
        <w:pStyle w:val="8"/>
        <w:spacing w:line="247" w:lineRule="auto"/>
        <w:rPr>
          <w:color w:val="auto"/>
          <w:highlight w:val="none"/>
        </w:rPr>
      </w:pPr>
    </w:p>
    <w:p w14:paraId="2A0BFF1E">
      <w:pPr>
        <w:pStyle w:val="8"/>
        <w:spacing w:line="248" w:lineRule="auto"/>
        <w:rPr>
          <w:color w:val="auto"/>
          <w:highlight w:val="none"/>
        </w:rPr>
      </w:pPr>
    </w:p>
    <w:p w14:paraId="3CD86FA4">
      <w:pPr>
        <w:pStyle w:val="8"/>
        <w:spacing w:line="248" w:lineRule="auto"/>
        <w:rPr>
          <w:color w:val="auto"/>
          <w:highlight w:val="none"/>
        </w:rPr>
      </w:pPr>
    </w:p>
    <w:p w14:paraId="63966776">
      <w:pPr>
        <w:pStyle w:val="8"/>
        <w:spacing w:line="248" w:lineRule="auto"/>
        <w:rPr>
          <w:color w:val="auto"/>
          <w:highlight w:val="none"/>
        </w:rPr>
      </w:pPr>
    </w:p>
    <w:p w14:paraId="0A0A41A8">
      <w:pPr>
        <w:spacing w:before="78" w:line="220" w:lineRule="auto"/>
        <w:outlineLvl w:val="1"/>
        <w:rPr>
          <w:rFonts w:ascii="宋体" w:hAnsi="宋体" w:eastAsia="宋体" w:cs="宋体"/>
          <w:strike/>
          <w:dstrike w:val="0"/>
          <w:color w:val="auto"/>
          <w:sz w:val="24"/>
          <w:szCs w:val="24"/>
          <w:highlight w:val="none"/>
        </w:rPr>
      </w:pPr>
      <w:bookmarkStart w:id="223" w:name="_Toc20050"/>
      <w:r>
        <w:rPr>
          <w:rFonts w:ascii="宋体" w:hAnsi="宋体" w:eastAsia="宋体" w:cs="宋体"/>
          <w:b/>
          <w:bCs/>
          <w:strike/>
          <w:dstrike w:val="0"/>
          <w:color w:val="auto"/>
          <w:spacing w:val="-5"/>
          <w:sz w:val="24"/>
          <w:szCs w:val="24"/>
          <w:highlight w:val="none"/>
        </w:rPr>
        <w:t>（二）近年财务状况</w:t>
      </w:r>
      <w:bookmarkEnd w:id="223"/>
    </w:p>
    <w:p w14:paraId="52662F1E">
      <w:pPr>
        <w:spacing w:before="180" w:line="220" w:lineRule="auto"/>
        <w:ind w:left="3785"/>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财务状况表</w:t>
      </w:r>
    </w:p>
    <w:p w14:paraId="0ED369FB">
      <w:pPr>
        <w:spacing w:line="145" w:lineRule="exact"/>
        <w:rPr>
          <w:strike/>
          <w:dstrike w:val="0"/>
          <w:color w:val="auto"/>
          <w:highlight w:val="none"/>
        </w:rPr>
      </w:pPr>
    </w:p>
    <w:tbl>
      <w:tblPr>
        <w:tblStyle w:val="16"/>
        <w:tblW w:w="8776"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158"/>
        <w:gridCol w:w="1803"/>
        <w:gridCol w:w="1803"/>
        <w:gridCol w:w="1813"/>
      </w:tblGrid>
      <w:tr w14:paraId="15B39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199" w:type="dxa"/>
            <w:tcBorders>
              <w:top w:val="single" w:color="000000" w:sz="6" w:space="0"/>
              <w:left w:val="single" w:color="000000" w:sz="6" w:space="0"/>
            </w:tcBorders>
            <w:noWrap w:val="0"/>
            <w:vAlign w:val="top"/>
          </w:tcPr>
          <w:p w14:paraId="02C70709">
            <w:pPr>
              <w:pStyle w:val="17"/>
              <w:spacing w:before="115" w:line="220" w:lineRule="auto"/>
              <w:ind w:left="625"/>
              <w:rPr>
                <w:strike/>
                <w:dstrike w:val="0"/>
                <w:color w:val="auto"/>
                <w:sz w:val="24"/>
                <w:szCs w:val="24"/>
                <w:highlight w:val="none"/>
              </w:rPr>
            </w:pPr>
            <w:r>
              <w:rPr>
                <w:strike/>
                <w:dstrike w:val="0"/>
                <w:color w:val="auto"/>
                <w:spacing w:val="-3"/>
                <w:sz w:val="24"/>
                <w:szCs w:val="24"/>
                <w:highlight w:val="none"/>
              </w:rPr>
              <w:t>项目名称</w:t>
            </w:r>
          </w:p>
        </w:tc>
        <w:tc>
          <w:tcPr>
            <w:tcW w:w="1158" w:type="dxa"/>
            <w:tcBorders>
              <w:top w:val="single" w:color="000000" w:sz="6" w:space="0"/>
            </w:tcBorders>
            <w:noWrap w:val="0"/>
            <w:vAlign w:val="top"/>
          </w:tcPr>
          <w:p w14:paraId="0CEB95B6">
            <w:pPr>
              <w:pStyle w:val="17"/>
              <w:spacing w:before="115" w:line="220" w:lineRule="auto"/>
              <w:ind w:left="346"/>
              <w:rPr>
                <w:strike/>
                <w:dstrike w:val="0"/>
                <w:color w:val="auto"/>
                <w:sz w:val="24"/>
                <w:szCs w:val="24"/>
                <w:highlight w:val="none"/>
              </w:rPr>
            </w:pPr>
            <w:r>
              <w:rPr>
                <w:strike/>
                <w:dstrike w:val="0"/>
                <w:color w:val="auto"/>
                <w:spacing w:val="-3"/>
                <w:sz w:val="24"/>
                <w:szCs w:val="24"/>
                <w:highlight w:val="none"/>
              </w:rPr>
              <w:t>单位</w:t>
            </w:r>
          </w:p>
        </w:tc>
        <w:tc>
          <w:tcPr>
            <w:tcW w:w="1803" w:type="dxa"/>
            <w:tcBorders>
              <w:top w:val="single" w:color="000000" w:sz="6" w:space="0"/>
            </w:tcBorders>
            <w:noWrap w:val="0"/>
            <w:vAlign w:val="top"/>
          </w:tcPr>
          <w:p w14:paraId="146933C7">
            <w:pPr>
              <w:pStyle w:val="17"/>
              <w:tabs>
                <w:tab w:val="left" w:pos="1140"/>
              </w:tabs>
              <w:spacing w:before="114" w:line="220" w:lineRule="auto"/>
              <w:ind w:left="420"/>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10"/>
                <w:sz w:val="24"/>
                <w:szCs w:val="24"/>
                <w:highlight w:val="none"/>
              </w:rPr>
              <w:t xml:space="preserve"> </w:t>
            </w:r>
            <w:r>
              <w:rPr>
                <w:strike/>
                <w:dstrike w:val="0"/>
                <w:color w:val="auto"/>
                <w:sz w:val="24"/>
                <w:szCs w:val="24"/>
                <w:highlight w:val="none"/>
              </w:rPr>
              <w:t>年</w:t>
            </w:r>
          </w:p>
        </w:tc>
        <w:tc>
          <w:tcPr>
            <w:tcW w:w="1803" w:type="dxa"/>
            <w:tcBorders>
              <w:top w:val="single" w:color="000000" w:sz="6" w:space="0"/>
            </w:tcBorders>
            <w:noWrap w:val="0"/>
            <w:vAlign w:val="top"/>
          </w:tcPr>
          <w:p w14:paraId="2276857B">
            <w:pPr>
              <w:pStyle w:val="17"/>
              <w:tabs>
                <w:tab w:val="left" w:pos="1143"/>
              </w:tabs>
              <w:spacing w:before="114" w:line="220" w:lineRule="auto"/>
              <w:ind w:left="423"/>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10"/>
                <w:sz w:val="24"/>
                <w:szCs w:val="24"/>
                <w:highlight w:val="none"/>
              </w:rPr>
              <w:t xml:space="preserve"> </w:t>
            </w:r>
            <w:r>
              <w:rPr>
                <w:strike/>
                <w:dstrike w:val="0"/>
                <w:color w:val="auto"/>
                <w:sz w:val="24"/>
                <w:szCs w:val="24"/>
                <w:highlight w:val="none"/>
              </w:rPr>
              <w:t>年</w:t>
            </w:r>
          </w:p>
        </w:tc>
        <w:tc>
          <w:tcPr>
            <w:tcW w:w="1813" w:type="dxa"/>
            <w:tcBorders>
              <w:top w:val="single" w:color="000000" w:sz="6" w:space="0"/>
              <w:right w:val="single" w:color="000000" w:sz="6" w:space="0"/>
            </w:tcBorders>
            <w:noWrap w:val="0"/>
            <w:vAlign w:val="top"/>
          </w:tcPr>
          <w:p w14:paraId="2F224852">
            <w:pPr>
              <w:pStyle w:val="17"/>
              <w:tabs>
                <w:tab w:val="left" w:pos="1145"/>
              </w:tabs>
              <w:spacing w:before="114" w:line="220" w:lineRule="auto"/>
              <w:ind w:left="426"/>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10"/>
                <w:sz w:val="24"/>
                <w:szCs w:val="24"/>
                <w:highlight w:val="none"/>
              </w:rPr>
              <w:t xml:space="preserve"> </w:t>
            </w:r>
            <w:r>
              <w:rPr>
                <w:strike/>
                <w:dstrike w:val="0"/>
                <w:color w:val="auto"/>
                <w:sz w:val="24"/>
                <w:szCs w:val="24"/>
                <w:highlight w:val="none"/>
              </w:rPr>
              <w:t>年</w:t>
            </w:r>
          </w:p>
        </w:tc>
      </w:tr>
      <w:tr w14:paraId="68C9F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noWrap w:val="0"/>
            <w:vAlign w:val="top"/>
          </w:tcPr>
          <w:p w14:paraId="5ADE9FE3">
            <w:pPr>
              <w:pStyle w:val="17"/>
              <w:spacing w:before="110" w:line="221" w:lineRule="auto"/>
              <w:ind w:left="116"/>
              <w:rPr>
                <w:strike/>
                <w:dstrike w:val="0"/>
                <w:color w:val="auto"/>
                <w:sz w:val="24"/>
                <w:szCs w:val="24"/>
                <w:highlight w:val="none"/>
              </w:rPr>
            </w:pPr>
            <w:r>
              <w:rPr>
                <w:strike/>
                <w:dstrike w:val="0"/>
                <w:color w:val="auto"/>
                <w:spacing w:val="-4"/>
                <w:sz w:val="24"/>
                <w:szCs w:val="24"/>
                <w:highlight w:val="none"/>
              </w:rPr>
              <w:t>一、注册资金</w:t>
            </w:r>
          </w:p>
        </w:tc>
        <w:tc>
          <w:tcPr>
            <w:tcW w:w="1158" w:type="dxa"/>
            <w:noWrap w:val="0"/>
            <w:vAlign w:val="top"/>
          </w:tcPr>
          <w:p w14:paraId="16EFD81E">
            <w:pPr>
              <w:rPr>
                <w:rFonts w:ascii="Arial"/>
                <w:strike/>
                <w:dstrike w:val="0"/>
                <w:color w:val="auto"/>
                <w:sz w:val="21"/>
                <w:highlight w:val="none"/>
              </w:rPr>
            </w:pPr>
          </w:p>
        </w:tc>
        <w:tc>
          <w:tcPr>
            <w:tcW w:w="1803" w:type="dxa"/>
            <w:noWrap w:val="0"/>
            <w:vAlign w:val="top"/>
          </w:tcPr>
          <w:p w14:paraId="211D3D23">
            <w:pPr>
              <w:rPr>
                <w:rFonts w:ascii="Arial"/>
                <w:strike/>
                <w:dstrike w:val="0"/>
                <w:color w:val="auto"/>
                <w:sz w:val="21"/>
                <w:highlight w:val="none"/>
              </w:rPr>
            </w:pPr>
          </w:p>
        </w:tc>
        <w:tc>
          <w:tcPr>
            <w:tcW w:w="1803" w:type="dxa"/>
            <w:noWrap w:val="0"/>
            <w:vAlign w:val="top"/>
          </w:tcPr>
          <w:p w14:paraId="2AAA23EF">
            <w:pPr>
              <w:rPr>
                <w:rFonts w:ascii="Arial"/>
                <w:strike/>
                <w:dstrike w:val="0"/>
                <w:color w:val="auto"/>
                <w:sz w:val="21"/>
                <w:highlight w:val="none"/>
              </w:rPr>
            </w:pPr>
          </w:p>
        </w:tc>
        <w:tc>
          <w:tcPr>
            <w:tcW w:w="1813" w:type="dxa"/>
            <w:tcBorders>
              <w:right w:val="single" w:color="000000" w:sz="6" w:space="0"/>
            </w:tcBorders>
            <w:noWrap w:val="0"/>
            <w:vAlign w:val="top"/>
          </w:tcPr>
          <w:p w14:paraId="35B48DCA">
            <w:pPr>
              <w:rPr>
                <w:rFonts w:ascii="Arial"/>
                <w:strike/>
                <w:dstrike w:val="0"/>
                <w:color w:val="auto"/>
                <w:sz w:val="21"/>
                <w:highlight w:val="none"/>
              </w:rPr>
            </w:pPr>
          </w:p>
        </w:tc>
      </w:tr>
      <w:tr w14:paraId="2A7F7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noWrap w:val="0"/>
            <w:vAlign w:val="top"/>
          </w:tcPr>
          <w:p w14:paraId="41E1D8BA">
            <w:pPr>
              <w:pStyle w:val="17"/>
              <w:spacing w:before="111" w:line="220" w:lineRule="auto"/>
              <w:ind w:left="116"/>
              <w:rPr>
                <w:strike/>
                <w:dstrike w:val="0"/>
                <w:color w:val="auto"/>
                <w:sz w:val="24"/>
                <w:szCs w:val="24"/>
                <w:highlight w:val="none"/>
              </w:rPr>
            </w:pPr>
            <w:r>
              <w:rPr>
                <w:strike/>
                <w:dstrike w:val="0"/>
                <w:color w:val="auto"/>
                <w:spacing w:val="-3"/>
                <w:sz w:val="24"/>
                <w:szCs w:val="24"/>
                <w:highlight w:val="none"/>
              </w:rPr>
              <w:t>二、净资产</w:t>
            </w:r>
          </w:p>
        </w:tc>
        <w:tc>
          <w:tcPr>
            <w:tcW w:w="1158" w:type="dxa"/>
            <w:noWrap w:val="0"/>
            <w:vAlign w:val="top"/>
          </w:tcPr>
          <w:p w14:paraId="7E8C8015">
            <w:pPr>
              <w:rPr>
                <w:rFonts w:ascii="Arial"/>
                <w:strike/>
                <w:dstrike w:val="0"/>
                <w:color w:val="auto"/>
                <w:sz w:val="21"/>
                <w:highlight w:val="none"/>
              </w:rPr>
            </w:pPr>
          </w:p>
        </w:tc>
        <w:tc>
          <w:tcPr>
            <w:tcW w:w="1803" w:type="dxa"/>
            <w:noWrap w:val="0"/>
            <w:vAlign w:val="top"/>
          </w:tcPr>
          <w:p w14:paraId="4375C033">
            <w:pPr>
              <w:rPr>
                <w:rFonts w:ascii="Arial"/>
                <w:strike/>
                <w:dstrike w:val="0"/>
                <w:color w:val="auto"/>
                <w:sz w:val="21"/>
                <w:highlight w:val="none"/>
              </w:rPr>
            </w:pPr>
          </w:p>
        </w:tc>
        <w:tc>
          <w:tcPr>
            <w:tcW w:w="1803" w:type="dxa"/>
            <w:noWrap w:val="0"/>
            <w:vAlign w:val="top"/>
          </w:tcPr>
          <w:p w14:paraId="71230862">
            <w:pPr>
              <w:rPr>
                <w:rFonts w:ascii="Arial"/>
                <w:strike/>
                <w:dstrike w:val="0"/>
                <w:color w:val="auto"/>
                <w:sz w:val="21"/>
                <w:highlight w:val="none"/>
              </w:rPr>
            </w:pPr>
          </w:p>
        </w:tc>
        <w:tc>
          <w:tcPr>
            <w:tcW w:w="1813" w:type="dxa"/>
            <w:tcBorders>
              <w:right w:val="single" w:color="000000" w:sz="6" w:space="0"/>
            </w:tcBorders>
            <w:noWrap w:val="0"/>
            <w:vAlign w:val="top"/>
          </w:tcPr>
          <w:p w14:paraId="6D9C248B">
            <w:pPr>
              <w:rPr>
                <w:rFonts w:ascii="Arial"/>
                <w:strike/>
                <w:dstrike w:val="0"/>
                <w:color w:val="auto"/>
                <w:sz w:val="21"/>
                <w:highlight w:val="none"/>
              </w:rPr>
            </w:pPr>
          </w:p>
        </w:tc>
      </w:tr>
      <w:tr w14:paraId="57C8D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noWrap w:val="0"/>
            <w:vAlign w:val="top"/>
          </w:tcPr>
          <w:p w14:paraId="7856C675">
            <w:pPr>
              <w:pStyle w:val="17"/>
              <w:spacing w:before="113" w:line="220" w:lineRule="auto"/>
              <w:ind w:left="113"/>
              <w:rPr>
                <w:strike/>
                <w:dstrike w:val="0"/>
                <w:color w:val="auto"/>
                <w:sz w:val="24"/>
                <w:szCs w:val="24"/>
                <w:highlight w:val="none"/>
              </w:rPr>
            </w:pPr>
            <w:r>
              <w:rPr>
                <w:strike/>
                <w:dstrike w:val="0"/>
                <w:color w:val="auto"/>
                <w:spacing w:val="-2"/>
                <w:sz w:val="24"/>
                <w:szCs w:val="24"/>
                <w:highlight w:val="none"/>
              </w:rPr>
              <w:t>三、总资产</w:t>
            </w:r>
          </w:p>
        </w:tc>
        <w:tc>
          <w:tcPr>
            <w:tcW w:w="1158" w:type="dxa"/>
            <w:noWrap w:val="0"/>
            <w:vAlign w:val="top"/>
          </w:tcPr>
          <w:p w14:paraId="123DCEBA">
            <w:pPr>
              <w:rPr>
                <w:rFonts w:ascii="Arial"/>
                <w:strike/>
                <w:dstrike w:val="0"/>
                <w:color w:val="auto"/>
                <w:sz w:val="21"/>
                <w:highlight w:val="none"/>
              </w:rPr>
            </w:pPr>
          </w:p>
        </w:tc>
        <w:tc>
          <w:tcPr>
            <w:tcW w:w="1803" w:type="dxa"/>
            <w:noWrap w:val="0"/>
            <w:vAlign w:val="top"/>
          </w:tcPr>
          <w:p w14:paraId="653FA90E">
            <w:pPr>
              <w:rPr>
                <w:rFonts w:ascii="Arial"/>
                <w:strike/>
                <w:dstrike w:val="0"/>
                <w:color w:val="auto"/>
                <w:sz w:val="21"/>
                <w:highlight w:val="none"/>
              </w:rPr>
            </w:pPr>
          </w:p>
        </w:tc>
        <w:tc>
          <w:tcPr>
            <w:tcW w:w="1803" w:type="dxa"/>
            <w:noWrap w:val="0"/>
            <w:vAlign w:val="top"/>
          </w:tcPr>
          <w:p w14:paraId="52A02BB6">
            <w:pPr>
              <w:rPr>
                <w:rFonts w:ascii="Arial"/>
                <w:strike/>
                <w:dstrike w:val="0"/>
                <w:color w:val="auto"/>
                <w:sz w:val="21"/>
                <w:highlight w:val="none"/>
              </w:rPr>
            </w:pPr>
          </w:p>
        </w:tc>
        <w:tc>
          <w:tcPr>
            <w:tcW w:w="1813" w:type="dxa"/>
            <w:tcBorders>
              <w:right w:val="single" w:color="000000" w:sz="6" w:space="0"/>
            </w:tcBorders>
            <w:noWrap w:val="0"/>
            <w:vAlign w:val="top"/>
          </w:tcPr>
          <w:p w14:paraId="2977A78C">
            <w:pPr>
              <w:rPr>
                <w:rFonts w:ascii="Arial"/>
                <w:strike/>
                <w:dstrike w:val="0"/>
                <w:color w:val="auto"/>
                <w:sz w:val="21"/>
                <w:highlight w:val="none"/>
              </w:rPr>
            </w:pPr>
          </w:p>
        </w:tc>
      </w:tr>
      <w:tr w14:paraId="02799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noWrap w:val="0"/>
            <w:vAlign w:val="top"/>
          </w:tcPr>
          <w:p w14:paraId="7670762B">
            <w:pPr>
              <w:pStyle w:val="17"/>
              <w:spacing w:before="115" w:line="220" w:lineRule="auto"/>
              <w:ind w:left="135"/>
              <w:rPr>
                <w:strike/>
                <w:dstrike w:val="0"/>
                <w:color w:val="auto"/>
                <w:sz w:val="24"/>
                <w:szCs w:val="24"/>
                <w:highlight w:val="none"/>
              </w:rPr>
            </w:pPr>
            <w:r>
              <w:rPr>
                <w:strike/>
                <w:dstrike w:val="0"/>
                <w:color w:val="auto"/>
                <w:spacing w:val="-5"/>
                <w:sz w:val="24"/>
                <w:szCs w:val="24"/>
                <w:highlight w:val="none"/>
              </w:rPr>
              <w:t>四、固定资产</w:t>
            </w:r>
          </w:p>
        </w:tc>
        <w:tc>
          <w:tcPr>
            <w:tcW w:w="1158" w:type="dxa"/>
            <w:noWrap w:val="0"/>
            <w:vAlign w:val="top"/>
          </w:tcPr>
          <w:p w14:paraId="4F26C462">
            <w:pPr>
              <w:rPr>
                <w:rFonts w:ascii="Arial"/>
                <w:strike/>
                <w:dstrike w:val="0"/>
                <w:color w:val="auto"/>
                <w:sz w:val="21"/>
                <w:highlight w:val="none"/>
              </w:rPr>
            </w:pPr>
          </w:p>
        </w:tc>
        <w:tc>
          <w:tcPr>
            <w:tcW w:w="1803" w:type="dxa"/>
            <w:noWrap w:val="0"/>
            <w:vAlign w:val="top"/>
          </w:tcPr>
          <w:p w14:paraId="1F6A1557">
            <w:pPr>
              <w:rPr>
                <w:rFonts w:ascii="Arial"/>
                <w:strike/>
                <w:dstrike w:val="0"/>
                <w:color w:val="auto"/>
                <w:sz w:val="21"/>
                <w:highlight w:val="none"/>
              </w:rPr>
            </w:pPr>
          </w:p>
        </w:tc>
        <w:tc>
          <w:tcPr>
            <w:tcW w:w="1803" w:type="dxa"/>
            <w:noWrap w:val="0"/>
            <w:vAlign w:val="top"/>
          </w:tcPr>
          <w:p w14:paraId="414ACC4E">
            <w:pPr>
              <w:rPr>
                <w:rFonts w:ascii="Arial"/>
                <w:strike/>
                <w:dstrike w:val="0"/>
                <w:color w:val="auto"/>
                <w:sz w:val="21"/>
                <w:highlight w:val="none"/>
              </w:rPr>
            </w:pPr>
          </w:p>
        </w:tc>
        <w:tc>
          <w:tcPr>
            <w:tcW w:w="1813" w:type="dxa"/>
            <w:tcBorders>
              <w:right w:val="single" w:color="000000" w:sz="6" w:space="0"/>
            </w:tcBorders>
            <w:noWrap w:val="0"/>
            <w:vAlign w:val="top"/>
          </w:tcPr>
          <w:p w14:paraId="247BD02E">
            <w:pPr>
              <w:rPr>
                <w:rFonts w:ascii="Arial"/>
                <w:strike/>
                <w:dstrike w:val="0"/>
                <w:color w:val="auto"/>
                <w:sz w:val="21"/>
                <w:highlight w:val="none"/>
              </w:rPr>
            </w:pPr>
          </w:p>
        </w:tc>
      </w:tr>
      <w:tr w14:paraId="686BB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noWrap w:val="0"/>
            <w:vAlign w:val="top"/>
          </w:tcPr>
          <w:p w14:paraId="10EC7B8F">
            <w:pPr>
              <w:pStyle w:val="17"/>
              <w:spacing w:before="118" w:line="220" w:lineRule="auto"/>
              <w:ind w:left="116"/>
              <w:rPr>
                <w:strike/>
                <w:dstrike w:val="0"/>
                <w:color w:val="auto"/>
                <w:sz w:val="24"/>
                <w:szCs w:val="24"/>
                <w:highlight w:val="none"/>
              </w:rPr>
            </w:pPr>
            <w:r>
              <w:rPr>
                <w:strike/>
                <w:dstrike w:val="0"/>
                <w:color w:val="auto"/>
                <w:spacing w:val="-2"/>
                <w:sz w:val="24"/>
                <w:szCs w:val="24"/>
                <w:highlight w:val="none"/>
              </w:rPr>
              <w:t>五、流动资产</w:t>
            </w:r>
          </w:p>
        </w:tc>
        <w:tc>
          <w:tcPr>
            <w:tcW w:w="1158" w:type="dxa"/>
            <w:noWrap w:val="0"/>
            <w:vAlign w:val="top"/>
          </w:tcPr>
          <w:p w14:paraId="731B63A0">
            <w:pPr>
              <w:rPr>
                <w:rFonts w:ascii="Arial"/>
                <w:strike/>
                <w:dstrike w:val="0"/>
                <w:color w:val="auto"/>
                <w:sz w:val="21"/>
                <w:highlight w:val="none"/>
              </w:rPr>
            </w:pPr>
          </w:p>
        </w:tc>
        <w:tc>
          <w:tcPr>
            <w:tcW w:w="1803" w:type="dxa"/>
            <w:noWrap w:val="0"/>
            <w:vAlign w:val="top"/>
          </w:tcPr>
          <w:p w14:paraId="0FE2EF13">
            <w:pPr>
              <w:rPr>
                <w:rFonts w:ascii="Arial"/>
                <w:strike/>
                <w:dstrike w:val="0"/>
                <w:color w:val="auto"/>
                <w:sz w:val="21"/>
                <w:highlight w:val="none"/>
              </w:rPr>
            </w:pPr>
          </w:p>
        </w:tc>
        <w:tc>
          <w:tcPr>
            <w:tcW w:w="1803" w:type="dxa"/>
            <w:noWrap w:val="0"/>
            <w:vAlign w:val="top"/>
          </w:tcPr>
          <w:p w14:paraId="19934951">
            <w:pPr>
              <w:rPr>
                <w:rFonts w:ascii="Arial"/>
                <w:strike/>
                <w:dstrike w:val="0"/>
                <w:color w:val="auto"/>
                <w:sz w:val="21"/>
                <w:highlight w:val="none"/>
              </w:rPr>
            </w:pPr>
          </w:p>
        </w:tc>
        <w:tc>
          <w:tcPr>
            <w:tcW w:w="1813" w:type="dxa"/>
            <w:tcBorders>
              <w:right w:val="single" w:color="000000" w:sz="6" w:space="0"/>
            </w:tcBorders>
            <w:noWrap w:val="0"/>
            <w:vAlign w:val="top"/>
          </w:tcPr>
          <w:p w14:paraId="5F0BE65C">
            <w:pPr>
              <w:rPr>
                <w:rFonts w:ascii="Arial"/>
                <w:strike/>
                <w:dstrike w:val="0"/>
                <w:color w:val="auto"/>
                <w:sz w:val="21"/>
                <w:highlight w:val="none"/>
              </w:rPr>
            </w:pPr>
          </w:p>
        </w:tc>
      </w:tr>
      <w:tr w14:paraId="3AB34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199" w:type="dxa"/>
            <w:tcBorders>
              <w:left w:val="single" w:color="000000" w:sz="6" w:space="0"/>
            </w:tcBorders>
            <w:noWrap w:val="0"/>
            <w:vAlign w:val="top"/>
          </w:tcPr>
          <w:p w14:paraId="63D5DFA1">
            <w:pPr>
              <w:pStyle w:val="17"/>
              <w:spacing w:before="120" w:line="220" w:lineRule="auto"/>
              <w:ind w:left="115"/>
              <w:rPr>
                <w:strike/>
                <w:dstrike w:val="0"/>
                <w:color w:val="auto"/>
                <w:sz w:val="24"/>
                <w:szCs w:val="24"/>
                <w:highlight w:val="none"/>
              </w:rPr>
            </w:pPr>
            <w:r>
              <w:rPr>
                <w:strike/>
                <w:dstrike w:val="0"/>
                <w:color w:val="auto"/>
                <w:spacing w:val="-2"/>
                <w:sz w:val="24"/>
                <w:szCs w:val="24"/>
                <w:highlight w:val="none"/>
              </w:rPr>
              <w:t>六、流动负债</w:t>
            </w:r>
          </w:p>
        </w:tc>
        <w:tc>
          <w:tcPr>
            <w:tcW w:w="1158" w:type="dxa"/>
            <w:noWrap w:val="0"/>
            <w:vAlign w:val="top"/>
          </w:tcPr>
          <w:p w14:paraId="717632DA">
            <w:pPr>
              <w:rPr>
                <w:rFonts w:ascii="Arial"/>
                <w:strike/>
                <w:dstrike w:val="0"/>
                <w:color w:val="auto"/>
                <w:sz w:val="21"/>
                <w:highlight w:val="none"/>
              </w:rPr>
            </w:pPr>
          </w:p>
        </w:tc>
        <w:tc>
          <w:tcPr>
            <w:tcW w:w="1803" w:type="dxa"/>
            <w:noWrap w:val="0"/>
            <w:vAlign w:val="top"/>
          </w:tcPr>
          <w:p w14:paraId="1015FEC1">
            <w:pPr>
              <w:rPr>
                <w:rFonts w:ascii="Arial"/>
                <w:strike/>
                <w:dstrike w:val="0"/>
                <w:color w:val="auto"/>
                <w:sz w:val="21"/>
                <w:highlight w:val="none"/>
              </w:rPr>
            </w:pPr>
          </w:p>
        </w:tc>
        <w:tc>
          <w:tcPr>
            <w:tcW w:w="1803" w:type="dxa"/>
            <w:noWrap w:val="0"/>
            <w:vAlign w:val="top"/>
          </w:tcPr>
          <w:p w14:paraId="64D0DC30">
            <w:pPr>
              <w:rPr>
                <w:rFonts w:ascii="Arial"/>
                <w:strike/>
                <w:dstrike w:val="0"/>
                <w:color w:val="auto"/>
                <w:sz w:val="21"/>
                <w:highlight w:val="none"/>
              </w:rPr>
            </w:pPr>
          </w:p>
        </w:tc>
        <w:tc>
          <w:tcPr>
            <w:tcW w:w="1813" w:type="dxa"/>
            <w:tcBorders>
              <w:right w:val="single" w:color="000000" w:sz="6" w:space="0"/>
            </w:tcBorders>
            <w:noWrap w:val="0"/>
            <w:vAlign w:val="top"/>
          </w:tcPr>
          <w:p w14:paraId="6C9AA919">
            <w:pPr>
              <w:rPr>
                <w:rFonts w:ascii="Arial"/>
                <w:strike/>
                <w:dstrike w:val="0"/>
                <w:color w:val="auto"/>
                <w:sz w:val="21"/>
                <w:highlight w:val="none"/>
              </w:rPr>
            </w:pPr>
          </w:p>
        </w:tc>
      </w:tr>
      <w:tr w14:paraId="44D21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2199" w:type="dxa"/>
            <w:tcBorders>
              <w:left w:val="single" w:color="000000" w:sz="6" w:space="0"/>
            </w:tcBorders>
            <w:noWrap w:val="0"/>
            <w:vAlign w:val="top"/>
          </w:tcPr>
          <w:p w14:paraId="2B271EEA">
            <w:pPr>
              <w:pStyle w:val="17"/>
              <w:spacing w:before="120" w:line="220" w:lineRule="auto"/>
              <w:ind w:left="112"/>
              <w:rPr>
                <w:strike/>
                <w:dstrike w:val="0"/>
                <w:color w:val="auto"/>
                <w:sz w:val="24"/>
                <w:szCs w:val="24"/>
                <w:highlight w:val="none"/>
              </w:rPr>
            </w:pPr>
            <w:r>
              <w:rPr>
                <w:strike/>
                <w:dstrike w:val="0"/>
                <w:color w:val="auto"/>
                <w:spacing w:val="-2"/>
                <w:sz w:val="24"/>
                <w:szCs w:val="24"/>
                <w:highlight w:val="none"/>
              </w:rPr>
              <w:t>七、负债合计</w:t>
            </w:r>
          </w:p>
        </w:tc>
        <w:tc>
          <w:tcPr>
            <w:tcW w:w="1158" w:type="dxa"/>
            <w:noWrap w:val="0"/>
            <w:vAlign w:val="top"/>
          </w:tcPr>
          <w:p w14:paraId="13E4F76B">
            <w:pPr>
              <w:rPr>
                <w:rFonts w:ascii="Arial"/>
                <w:strike/>
                <w:dstrike w:val="0"/>
                <w:color w:val="auto"/>
                <w:sz w:val="21"/>
                <w:highlight w:val="none"/>
              </w:rPr>
            </w:pPr>
          </w:p>
        </w:tc>
        <w:tc>
          <w:tcPr>
            <w:tcW w:w="1803" w:type="dxa"/>
            <w:noWrap w:val="0"/>
            <w:vAlign w:val="top"/>
          </w:tcPr>
          <w:p w14:paraId="3CD312F5">
            <w:pPr>
              <w:rPr>
                <w:rFonts w:ascii="Arial"/>
                <w:strike/>
                <w:dstrike w:val="0"/>
                <w:color w:val="auto"/>
                <w:sz w:val="21"/>
                <w:highlight w:val="none"/>
              </w:rPr>
            </w:pPr>
          </w:p>
        </w:tc>
        <w:tc>
          <w:tcPr>
            <w:tcW w:w="1803" w:type="dxa"/>
            <w:noWrap w:val="0"/>
            <w:vAlign w:val="top"/>
          </w:tcPr>
          <w:p w14:paraId="77A2F8E9">
            <w:pPr>
              <w:rPr>
                <w:rFonts w:ascii="Arial"/>
                <w:strike/>
                <w:dstrike w:val="0"/>
                <w:color w:val="auto"/>
                <w:sz w:val="21"/>
                <w:highlight w:val="none"/>
              </w:rPr>
            </w:pPr>
          </w:p>
        </w:tc>
        <w:tc>
          <w:tcPr>
            <w:tcW w:w="1813" w:type="dxa"/>
            <w:tcBorders>
              <w:right w:val="single" w:color="000000" w:sz="6" w:space="0"/>
            </w:tcBorders>
            <w:noWrap w:val="0"/>
            <w:vAlign w:val="top"/>
          </w:tcPr>
          <w:p w14:paraId="253F5EDE">
            <w:pPr>
              <w:rPr>
                <w:rFonts w:ascii="Arial"/>
                <w:strike/>
                <w:dstrike w:val="0"/>
                <w:color w:val="auto"/>
                <w:sz w:val="21"/>
                <w:highlight w:val="none"/>
              </w:rPr>
            </w:pPr>
          </w:p>
        </w:tc>
      </w:tr>
      <w:tr w14:paraId="0F90C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2199" w:type="dxa"/>
            <w:tcBorders>
              <w:left w:val="single" w:color="000000" w:sz="6" w:space="0"/>
            </w:tcBorders>
            <w:noWrap w:val="0"/>
            <w:vAlign w:val="top"/>
          </w:tcPr>
          <w:p w14:paraId="4BD88EB2">
            <w:pPr>
              <w:pStyle w:val="17"/>
              <w:spacing w:before="120" w:line="220" w:lineRule="auto"/>
              <w:ind w:left="116"/>
              <w:rPr>
                <w:strike/>
                <w:dstrike w:val="0"/>
                <w:color w:val="auto"/>
                <w:sz w:val="24"/>
                <w:szCs w:val="24"/>
                <w:highlight w:val="none"/>
              </w:rPr>
            </w:pPr>
            <w:r>
              <w:rPr>
                <w:strike/>
                <w:dstrike w:val="0"/>
                <w:color w:val="auto"/>
                <w:spacing w:val="-2"/>
                <w:sz w:val="24"/>
                <w:szCs w:val="24"/>
                <w:highlight w:val="none"/>
              </w:rPr>
              <w:t>八、营业收入</w:t>
            </w:r>
          </w:p>
        </w:tc>
        <w:tc>
          <w:tcPr>
            <w:tcW w:w="1158" w:type="dxa"/>
            <w:noWrap w:val="0"/>
            <w:vAlign w:val="top"/>
          </w:tcPr>
          <w:p w14:paraId="67CCF316">
            <w:pPr>
              <w:rPr>
                <w:rFonts w:ascii="Arial"/>
                <w:strike/>
                <w:dstrike w:val="0"/>
                <w:color w:val="auto"/>
                <w:sz w:val="21"/>
                <w:highlight w:val="none"/>
              </w:rPr>
            </w:pPr>
          </w:p>
        </w:tc>
        <w:tc>
          <w:tcPr>
            <w:tcW w:w="1803" w:type="dxa"/>
            <w:noWrap w:val="0"/>
            <w:vAlign w:val="top"/>
          </w:tcPr>
          <w:p w14:paraId="6DB26C39">
            <w:pPr>
              <w:rPr>
                <w:rFonts w:ascii="Arial"/>
                <w:strike/>
                <w:dstrike w:val="0"/>
                <w:color w:val="auto"/>
                <w:sz w:val="21"/>
                <w:highlight w:val="none"/>
              </w:rPr>
            </w:pPr>
          </w:p>
        </w:tc>
        <w:tc>
          <w:tcPr>
            <w:tcW w:w="1803" w:type="dxa"/>
            <w:noWrap w:val="0"/>
            <w:vAlign w:val="top"/>
          </w:tcPr>
          <w:p w14:paraId="4F2E15DE">
            <w:pPr>
              <w:rPr>
                <w:rFonts w:ascii="Arial"/>
                <w:strike/>
                <w:dstrike w:val="0"/>
                <w:color w:val="auto"/>
                <w:sz w:val="21"/>
                <w:highlight w:val="none"/>
              </w:rPr>
            </w:pPr>
          </w:p>
        </w:tc>
        <w:tc>
          <w:tcPr>
            <w:tcW w:w="1813" w:type="dxa"/>
            <w:tcBorders>
              <w:right w:val="single" w:color="000000" w:sz="6" w:space="0"/>
            </w:tcBorders>
            <w:noWrap w:val="0"/>
            <w:vAlign w:val="top"/>
          </w:tcPr>
          <w:p w14:paraId="753C81EB">
            <w:pPr>
              <w:rPr>
                <w:rFonts w:ascii="Arial"/>
                <w:strike/>
                <w:dstrike w:val="0"/>
                <w:color w:val="auto"/>
                <w:sz w:val="21"/>
                <w:highlight w:val="none"/>
              </w:rPr>
            </w:pPr>
          </w:p>
        </w:tc>
      </w:tr>
      <w:tr w14:paraId="40A4D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2199" w:type="dxa"/>
            <w:tcBorders>
              <w:left w:val="single" w:color="000000" w:sz="6" w:space="0"/>
            </w:tcBorders>
            <w:noWrap w:val="0"/>
            <w:vAlign w:val="top"/>
          </w:tcPr>
          <w:p w14:paraId="5A70CE18">
            <w:pPr>
              <w:pStyle w:val="17"/>
              <w:spacing w:before="122" w:line="220" w:lineRule="auto"/>
              <w:ind w:left="118"/>
              <w:rPr>
                <w:strike/>
                <w:dstrike w:val="0"/>
                <w:color w:val="auto"/>
                <w:sz w:val="24"/>
                <w:szCs w:val="24"/>
                <w:highlight w:val="none"/>
              </w:rPr>
            </w:pPr>
            <w:r>
              <w:rPr>
                <w:strike/>
                <w:dstrike w:val="0"/>
                <w:color w:val="auto"/>
                <w:spacing w:val="-3"/>
                <w:sz w:val="24"/>
                <w:szCs w:val="24"/>
                <w:highlight w:val="none"/>
              </w:rPr>
              <w:t>九、净利润</w:t>
            </w:r>
          </w:p>
        </w:tc>
        <w:tc>
          <w:tcPr>
            <w:tcW w:w="1158" w:type="dxa"/>
            <w:noWrap w:val="0"/>
            <w:vAlign w:val="top"/>
          </w:tcPr>
          <w:p w14:paraId="24DD5E4E">
            <w:pPr>
              <w:rPr>
                <w:rFonts w:ascii="Arial"/>
                <w:strike/>
                <w:dstrike w:val="0"/>
                <w:color w:val="auto"/>
                <w:sz w:val="21"/>
                <w:highlight w:val="none"/>
              </w:rPr>
            </w:pPr>
          </w:p>
        </w:tc>
        <w:tc>
          <w:tcPr>
            <w:tcW w:w="1803" w:type="dxa"/>
            <w:noWrap w:val="0"/>
            <w:vAlign w:val="top"/>
          </w:tcPr>
          <w:p w14:paraId="21364BCB">
            <w:pPr>
              <w:rPr>
                <w:rFonts w:ascii="Arial"/>
                <w:strike/>
                <w:dstrike w:val="0"/>
                <w:color w:val="auto"/>
                <w:sz w:val="21"/>
                <w:highlight w:val="none"/>
              </w:rPr>
            </w:pPr>
          </w:p>
        </w:tc>
        <w:tc>
          <w:tcPr>
            <w:tcW w:w="1803" w:type="dxa"/>
            <w:noWrap w:val="0"/>
            <w:vAlign w:val="top"/>
          </w:tcPr>
          <w:p w14:paraId="3EF0CD56">
            <w:pPr>
              <w:rPr>
                <w:rFonts w:ascii="Arial"/>
                <w:strike/>
                <w:dstrike w:val="0"/>
                <w:color w:val="auto"/>
                <w:sz w:val="21"/>
                <w:highlight w:val="none"/>
              </w:rPr>
            </w:pPr>
          </w:p>
        </w:tc>
        <w:tc>
          <w:tcPr>
            <w:tcW w:w="1813" w:type="dxa"/>
            <w:tcBorders>
              <w:right w:val="single" w:color="000000" w:sz="6" w:space="0"/>
            </w:tcBorders>
            <w:noWrap w:val="0"/>
            <w:vAlign w:val="top"/>
          </w:tcPr>
          <w:p w14:paraId="22491A54">
            <w:pPr>
              <w:rPr>
                <w:rFonts w:ascii="Arial"/>
                <w:strike/>
                <w:dstrike w:val="0"/>
                <w:color w:val="auto"/>
                <w:sz w:val="21"/>
                <w:highlight w:val="none"/>
              </w:rPr>
            </w:pPr>
          </w:p>
        </w:tc>
      </w:tr>
      <w:tr w14:paraId="1AFF9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199" w:type="dxa"/>
            <w:tcBorders>
              <w:left w:val="single" w:color="000000" w:sz="6" w:space="0"/>
              <w:bottom w:val="single" w:color="000000" w:sz="6" w:space="0"/>
            </w:tcBorders>
            <w:noWrap w:val="0"/>
            <w:vAlign w:val="top"/>
          </w:tcPr>
          <w:p w14:paraId="7758CDC5">
            <w:pPr>
              <w:spacing w:line="245" w:lineRule="auto"/>
              <w:rPr>
                <w:rFonts w:ascii="Arial"/>
                <w:strike/>
                <w:dstrike w:val="0"/>
                <w:color w:val="auto"/>
                <w:sz w:val="21"/>
                <w:highlight w:val="none"/>
              </w:rPr>
            </w:pPr>
          </w:p>
          <w:p w14:paraId="525296A5">
            <w:pPr>
              <w:spacing w:before="69" w:line="74" w:lineRule="exact"/>
              <w:ind w:left="879"/>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pacing w:val="-7"/>
                <w:position w:val="1"/>
                <w:sz w:val="24"/>
                <w:szCs w:val="24"/>
                <w:highlight w:val="none"/>
              </w:rPr>
              <w:t>……</w:t>
            </w:r>
          </w:p>
        </w:tc>
        <w:tc>
          <w:tcPr>
            <w:tcW w:w="1158" w:type="dxa"/>
            <w:tcBorders>
              <w:bottom w:val="single" w:color="000000" w:sz="6" w:space="0"/>
            </w:tcBorders>
            <w:noWrap w:val="0"/>
            <w:vAlign w:val="top"/>
          </w:tcPr>
          <w:p w14:paraId="1F862030">
            <w:pPr>
              <w:rPr>
                <w:rFonts w:ascii="Arial"/>
                <w:strike/>
                <w:dstrike w:val="0"/>
                <w:color w:val="auto"/>
                <w:sz w:val="21"/>
                <w:highlight w:val="none"/>
              </w:rPr>
            </w:pPr>
          </w:p>
        </w:tc>
        <w:tc>
          <w:tcPr>
            <w:tcW w:w="1803" w:type="dxa"/>
            <w:tcBorders>
              <w:bottom w:val="single" w:color="000000" w:sz="6" w:space="0"/>
            </w:tcBorders>
            <w:noWrap w:val="0"/>
            <w:vAlign w:val="top"/>
          </w:tcPr>
          <w:p w14:paraId="5A005A72">
            <w:pPr>
              <w:rPr>
                <w:rFonts w:ascii="Arial"/>
                <w:strike/>
                <w:dstrike w:val="0"/>
                <w:color w:val="auto"/>
                <w:sz w:val="21"/>
                <w:highlight w:val="none"/>
              </w:rPr>
            </w:pPr>
          </w:p>
        </w:tc>
        <w:tc>
          <w:tcPr>
            <w:tcW w:w="1803" w:type="dxa"/>
            <w:tcBorders>
              <w:bottom w:val="single" w:color="000000" w:sz="6" w:space="0"/>
            </w:tcBorders>
            <w:noWrap w:val="0"/>
            <w:vAlign w:val="top"/>
          </w:tcPr>
          <w:p w14:paraId="048132D6">
            <w:pPr>
              <w:rPr>
                <w:rFonts w:ascii="Arial"/>
                <w:strike/>
                <w:dstrike w:val="0"/>
                <w:color w:val="auto"/>
                <w:sz w:val="21"/>
                <w:highlight w:val="none"/>
              </w:rPr>
            </w:pPr>
          </w:p>
        </w:tc>
        <w:tc>
          <w:tcPr>
            <w:tcW w:w="1813" w:type="dxa"/>
            <w:tcBorders>
              <w:bottom w:val="single" w:color="000000" w:sz="6" w:space="0"/>
              <w:right w:val="single" w:color="000000" w:sz="6" w:space="0"/>
            </w:tcBorders>
            <w:noWrap w:val="0"/>
            <w:vAlign w:val="top"/>
          </w:tcPr>
          <w:p w14:paraId="2F320941">
            <w:pPr>
              <w:rPr>
                <w:rFonts w:ascii="Arial"/>
                <w:strike/>
                <w:dstrike w:val="0"/>
                <w:color w:val="auto"/>
                <w:sz w:val="21"/>
                <w:highlight w:val="none"/>
              </w:rPr>
            </w:pPr>
          </w:p>
        </w:tc>
      </w:tr>
    </w:tbl>
    <w:p w14:paraId="127E3BB1">
      <w:pPr>
        <w:pStyle w:val="8"/>
        <w:rPr>
          <w:strike/>
          <w:dstrike w:val="0"/>
          <w:color w:val="auto"/>
          <w:highlight w:val="none"/>
        </w:rPr>
      </w:pPr>
    </w:p>
    <w:p w14:paraId="675C8717">
      <w:pPr>
        <w:rPr>
          <w:strike/>
          <w:dstrike w:val="0"/>
          <w:color w:val="auto"/>
          <w:highlight w:val="none"/>
        </w:rPr>
        <w:sectPr>
          <w:footerReference r:id="rId130" w:type="default"/>
          <w:pgSz w:w="11905" w:h="16840"/>
          <w:pgMar w:top="400" w:right="1417" w:bottom="1255" w:left="1603" w:header="0" w:footer="1093" w:gutter="0"/>
          <w:pgNumType w:fmt="decimal"/>
          <w:cols w:space="720" w:num="1"/>
        </w:sectPr>
      </w:pPr>
    </w:p>
    <w:p w14:paraId="10D1A033">
      <w:pPr>
        <w:pStyle w:val="8"/>
        <w:spacing w:line="247" w:lineRule="auto"/>
        <w:rPr>
          <w:color w:val="auto"/>
          <w:highlight w:val="none"/>
        </w:rPr>
      </w:pPr>
    </w:p>
    <w:p w14:paraId="3AB079B1">
      <w:pPr>
        <w:pStyle w:val="8"/>
        <w:spacing w:line="248" w:lineRule="auto"/>
        <w:rPr>
          <w:color w:val="auto"/>
          <w:highlight w:val="none"/>
        </w:rPr>
      </w:pPr>
    </w:p>
    <w:p w14:paraId="126D1C8B">
      <w:pPr>
        <w:pStyle w:val="8"/>
        <w:spacing w:line="248" w:lineRule="auto"/>
        <w:rPr>
          <w:color w:val="auto"/>
          <w:highlight w:val="none"/>
        </w:rPr>
      </w:pPr>
    </w:p>
    <w:p w14:paraId="7EE1AF83">
      <w:pPr>
        <w:pStyle w:val="8"/>
        <w:spacing w:line="248" w:lineRule="auto"/>
        <w:rPr>
          <w:color w:val="auto"/>
          <w:highlight w:val="none"/>
        </w:rPr>
      </w:pPr>
    </w:p>
    <w:p w14:paraId="272791BF">
      <w:pPr>
        <w:spacing w:before="78" w:line="220" w:lineRule="auto"/>
        <w:ind w:left="6"/>
        <w:outlineLvl w:val="1"/>
        <w:rPr>
          <w:rFonts w:ascii="宋体" w:hAnsi="宋体" w:eastAsia="宋体" w:cs="宋体"/>
          <w:strike/>
          <w:dstrike w:val="0"/>
          <w:color w:val="auto"/>
          <w:sz w:val="24"/>
          <w:szCs w:val="24"/>
          <w:highlight w:val="none"/>
        </w:rPr>
      </w:pPr>
      <w:bookmarkStart w:id="224" w:name="_Toc8344"/>
      <w:r>
        <w:rPr>
          <w:rFonts w:ascii="宋体" w:hAnsi="宋体" w:eastAsia="宋体" w:cs="宋体"/>
          <w:b/>
          <w:bCs/>
          <w:strike/>
          <w:dstrike w:val="0"/>
          <w:color w:val="auto"/>
          <w:spacing w:val="-4"/>
          <w:sz w:val="24"/>
          <w:szCs w:val="24"/>
          <w:highlight w:val="none"/>
        </w:rPr>
        <w:t>（三）近年完成的类似项目情况表</w:t>
      </w:r>
      <w:bookmarkEnd w:id="224"/>
    </w:p>
    <w:p w14:paraId="0AB04A79">
      <w:pPr>
        <w:spacing w:before="180" w:line="220" w:lineRule="auto"/>
        <w:ind w:left="2946"/>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近年完成的类似项目情况表</w:t>
      </w:r>
    </w:p>
    <w:p w14:paraId="2C64DCAB">
      <w:pPr>
        <w:spacing w:before="180" w:line="220" w:lineRule="auto"/>
        <w:ind w:left="187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（近年指</w:t>
      </w:r>
      <w:r>
        <w:rPr>
          <w:rFonts w:ascii="宋体" w:hAnsi="宋体" w:eastAsia="宋体" w:cs="宋体"/>
          <w:strike/>
          <w:dstrike w:val="0"/>
          <w:color w:val="auto"/>
          <w:spacing w:val="-96"/>
          <w:sz w:val="24"/>
          <w:szCs w:val="24"/>
          <w:highlight w:val="none"/>
        </w:rPr>
        <w:t xml:space="preserve"> </w:t>
      </w:r>
      <w:r>
        <w:rPr>
          <w:rFonts w:ascii="宋体" w:hAnsi="宋体" w:eastAsia="宋体" w:cs="宋体"/>
          <w:strike/>
          <w:dstrike w:val="0"/>
          <w:color w:val="auto"/>
          <w:spacing w:val="24"/>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6"/>
          <w:sz w:val="24"/>
          <w:szCs w:val="24"/>
          <w:highlight w:val="none"/>
        </w:rPr>
        <w:t>年</w:t>
      </w:r>
      <w:r>
        <w:rPr>
          <w:rFonts w:ascii="宋体" w:hAnsi="宋体" w:eastAsia="宋体" w:cs="宋体"/>
          <w:strike/>
          <w:dstrike w:val="0"/>
          <w:color w:val="auto"/>
          <w:spacing w:val="-6"/>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6"/>
          <w:sz w:val="24"/>
          <w:szCs w:val="24"/>
          <w:highlight w:val="none"/>
        </w:rPr>
        <w:t>月</w:t>
      </w:r>
      <w:r>
        <w:rPr>
          <w:rFonts w:ascii="宋体" w:hAnsi="宋体" w:eastAsia="宋体" w:cs="宋体"/>
          <w:strike/>
          <w:dstrike w:val="0"/>
          <w:color w:val="auto"/>
          <w:spacing w:val="-6"/>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6"/>
          <w:sz w:val="24"/>
          <w:szCs w:val="24"/>
          <w:highlight w:val="none"/>
        </w:rPr>
        <w:t>日至投标截止时间）</w:t>
      </w:r>
    </w:p>
    <w:p w14:paraId="1F0FDC03">
      <w:pPr>
        <w:spacing w:line="145" w:lineRule="exact"/>
        <w:rPr>
          <w:strike/>
          <w:dstrike w:val="0"/>
          <w:color w:val="auto"/>
          <w:highlight w:val="none"/>
        </w:rPr>
      </w:pPr>
    </w:p>
    <w:tbl>
      <w:tblPr>
        <w:tblStyle w:val="16"/>
        <w:tblW w:w="8776"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7"/>
        <w:gridCol w:w="6569"/>
      </w:tblGrid>
      <w:tr w14:paraId="47E4C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2207" w:type="dxa"/>
            <w:tcBorders>
              <w:top w:val="single" w:color="000000" w:sz="6" w:space="0"/>
              <w:left w:val="single" w:color="000000" w:sz="6" w:space="0"/>
            </w:tcBorders>
            <w:noWrap w:val="0"/>
            <w:vAlign w:val="top"/>
          </w:tcPr>
          <w:p w14:paraId="5D93E610">
            <w:pPr>
              <w:pStyle w:val="17"/>
              <w:spacing w:before="122" w:line="222" w:lineRule="auto"/>
              <w:ind w:left="625"/>
              <w:rPr>
                <w:strike/>
                <w:dstrike w:val="0"/>
                <w:color w:val="auto"/>
                <w:sz w:val="24"/>
                <w:szCs w:val="24"/>
                <w:highlight w:val="none"/>
              </w:rPr>
            </w:pPr>
            <w:r>
              <w:rPr>
                <w:strike/>
                <w:dstrike w:val="0"/>
                <w:color w:val="auto"/>
                <w:spacing w:val="-2"/>
                <w:sz w:val="24"/>
                <w:szCs w:val="24"/>
                <w:highlight w:val="none"/>
              </w:rPr>
              <w:t>合同名称</w:t>
            </w:r>
          </w:p>
        </w:tc>
        <w:tc>
          <w:tcPr>
            <w:tcW w:w="6569" w:type="dxa"/>
            <w:tcBorders>
              <w:top w:val="single" w:color="000000" w:sz="6" w:space="0"/>
              <w:right w:val="single" w:color="000000" w:sz="6" w:space="0"/>
            </w:tcBorders>
            <w:noWrap w:val="0"/>
            <w:vAlign w:val="top"/>
          </w:tcPr>
          <w:p w14:paraId="34A68854">
            <w:pPr>
              <w:rPr>
                <w:rFonts w:ascii="Arial"/>
                <w:strike/>
                <w:dstrike w:val="0"/>
                <w:color w:val="auto"/>
                <w:sz w:val="21"/>
                <w:highlight w:val="none"/>
              </w:rPr>
            </w:pPr>
          </w:p>
        </w:tc>
      </w:tr>
      <w:tr w14:paraId="5EF0B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0A80FFF2">
            <w:pPr>
              <w:pStyle w:val="17"/>
              <w:spacing w:before="119" w:line="220" w:lineRule="auto"/>
              <w:ind w:left="265"/>
              <w:rPr>
                <w:strike/>
                <w:dstrike w:val="0"/>
                <w:color w:val="auto"/>
                <w:sz w:val="24"/>
                <w:szCs w:val="24"/>
                <w:highlight w:val="none"/>
              </w:rPr>
            </w:pPr>
            <w:r>
              <w:rPr>
                <w:strike/>
                <w:dstrike w:val="0"/>
                <w:color w:val="auto"/>
                <w:spacing w:val="-2"/>
                <w:sz w:val="24"/>
                <w:szCs w:val="24"/>
                <w:highlight w:val="none"/>
              </w:rPr>
              <w:t>合同项目所在地</w:t>
            </w:r>
          </w:p>
        </w:tc>
        <w:tc>
          <w:tcPr>
            <w:tcW w:w="6569" w:type="dxa"/>
            <w:tcBorders>
              <w:right w:val="single" w:color="000000" w:sz="6" w:space="0"/>
            </w:tcBorders>
            <w:noWrap w:val="0"/>
            <w:vAlign w:val="top"/>
          </w:tcPr>
          <w:p w14:paraId="1F0837FC">
            <w:pPr>
              <w:rPr>
                <w:rFonts w:ascii="Arial"/>
                <w:strike/>
                <w:dstrike w:val="0"/>
                <w:color w:val="auto"/>
                <w:sz w:val="21"/>
                <w:highlight w:val="none"/>
              </w:rPr>
            </w:pPr>
          </w:p>
        </w:tc>
      </w:tr>
      <w:tr w14:paraId="7CA46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noWrap w:val="0"/>
            <w:vAlign w:val="top"/>
          </w:tcPr>
          <w:p w14:paraId="0BCA8692">
            <w:pPr>
              <w:pStyle w:val="17"/>
              <w:spacing w:before="119" w:line="220" w:lineRule="auto"/>
              <w:ind w:left="508"/>
              <w:rPr>
                <w:strike/>
                <w:dstrike w:val="0"/>
                <w:color w:val="auto"/>
                <w:sz w:val="24"/>
                <w:szCs w:val="24"/>
                <w:highlight w:val="none"/>
              </w:rPr>
            </w:pPr>
            <w:r>
              <w:rPr>
                <w:strike/>
                <w:dstrike w:val="0"/>
                <w:color w:val="auto"/>
                <w:spacing w:val="-3"/>
                <w:sz w:val="24"/>
                <w:szCs w:val="24"/>
                <w:highlight w:val="none"/>
              </w:rPr>
              <w:t>发包人名称</w:t>
            </w:r>
          </w:p>
        </w:tc>
        <w:tc>
          <w:tcPr>
            <w:tcW w:w="6569" w:type="dxa"/>
            <w:tcBorders>
              <w:right w:val="single" w:color="000000" w:sz="6" w:space="0"/>
            </w:tcBorders>
            <w:noWrap w:val="0"/>
            <w:vAlign w:val="top"/>
          </w:tcPr>
          <w:p w14:paraId="3876659F">
            <w:pPr>
              <w:rPr>
                <w:rFonts w:ascii="Arial"/>
                <w:strike/>
                <w:dstrike w:val="0"/>
                <w:color w:val="auto"/>
                <w:sz w:val="21"/>
                <w:highlight w:val="none"/>
              </w:rPr>
            </w:pPr>
          </w:p>
        </w:tc>
      </w:tr>
      <w:tr w14:paraId="26ED1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noWrap w:val="0"/>
            <w:vAlign w:val="top"/>
          </w:tcPr>
          <w:p w14:paraId="26A397EB">
            <w:pPr>
              <w:pStyle w:val="17"/>
              <w:spacing w:before="120" w:line="220" w:lineRule="auto"/>
              <w:ind w:left="508"/>
              <w:rPr>
                <w:strike/>
                <w:dstrike w:val="0"/>
                <w:color w:val="auto"/>
                <w:sz w:val="24"/>
                <w:szCs w:val="24"/>
                <w:highlight w:val="none"/>
              </w:rPr>
            </w:pPr>
            <w:r>
              <w:rPr>
                <w:strike/>
                <w:dstrike w:val="0"/>
                <w:color w:val="auto"/>
                <w:spacing w:val="-3"/>
                <w:sz w:val="24"/>
                <w:szCs w:val="24"/>
                <w:highlight w:val="none"/>
              </w:rPr>
              <w:t>发包人地址</w:t>
            </w:r>
          </w:p>
        </w:tc>
        <w:tc>
          <w:tcPr>
            <w:tcW w:w="6569" w:type="dxa"/>
            <w:tcBorders>
              <w:right w:val="single" w:color="000000" w:sz="6" w:space="0"/>
            </w:tcBorders>
            <w:noWrap w:val="0"/>
            <w:vAlign w:val="top"/>
          </w:tcPr>
          <w:p w14:paraId="47D43F99">
            <w:pPr>
              <w:rPr>
                <w:rFonts w:ascii="Arial"/>
                <w:strike/>
                <w:dstrike w:val="0"/>
                <w:color w:val="auto"/>
                <w:sz w:val="21"/>
                <w:highlight w:val="none"/>
              </w:rPr>
            </w:pPr>
          </w:p>
        </w:tc>
      </w:tr>
      <w:tr w14:paraId="75CE5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242E213A">
            <w:pPr>
              <w:pStyle w:val="17"/>
              <w:spacing w:before="122" w:line="220" w:lineRule="auto"/>
              <w:ind w:left="508"/>
              <w:rPr>
                <w:strike/>
                <w:dstrike w:val="0"/>
                <w:color w:val="auto"/>
                <w:sz w:val="24"/>
                <w:szCs w:val="24"/>
                <w:highlight w:val="none"/>
              </w:rPr>
            </w:pPr>
            <w:r>
              <w:rPr>
                <w:strike/>
                <w:dstrike w:val="0"/>
                <w:color w:val="auto"/>
                <w:spacing w:val="-3"/>
                <w:sz w:val="24"/>
                <w:szCs w:val="24"/>
                <w:highlight w:val="none"/>
              </w:rPr>
              <w:t>发包人电话</w:t>
            </w:r>
          </w:p>
        </w:tc>
        <w:tc>
          <w:tcPr>
            <w:tcW w:w="6569" w:type="dxa"/>
            <w:tcBorders>
              <w:right w:val="single" w:color="000000" w:sz="6" w:space="0"/>
            </w:tcBorders>
            <w:noWrap w:val="0"/>
            <w:vAlign w:val="top"/>
          </w:tcPr>
          <w:p w14:paraId="6D1C9233">
            <w:pPr>
              <w:rPr>
                <w:rFonts w:ascii="Arial"/>
                <w:strike/>
                <w:dstrike w:val="0"/>
                <w:color w:val="auto"/>
                <w:sz w:val="21"/>
                <w:highlight w:val="none"/>
              </w:rPr>
            </w:pPr>
          </w:p>
        </w:tc>
      </w:tr>
      <w:tr w14:paraId="0EEB9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noWrap w:val="0"/>
            <w:vAlign w:val="top"/>
          </w:tcPr>
          <w:p w14:paraId="61F61157">
            <w:pPr>
              <w:pStyle w:val="17"/>
              <w:spacing w:before="122" w:line="218" w:lineRule="auto"/>
              <w:ind w:left="504"/>
              <w:rPr>
                <w:strike/>
                <w:dstrike w:val="0"/>
                <w:color w:val="auto"/>
                <w:sz w:val="24"/>
                <w:szCs w:val="24"/>
                <w:highlight w:val="none"/>
              </w:rPr>
            </w:pPr>
            <w:r>
              <w:rPr>
                <w:strike/>
                <w:dstrike w:val="0"/>
                <w:color w:val="auto"/>
                <w:spacing w:val="-2"/>
                <w:sz w:val="24"/>
                <w:szCs w:val="24"/>
                <w:highlight w:val="none"/>
              </w:rPr>
              <w:t>签约合同价</w:t>
            </w:r>
          </w:p>
        </w:tc>
        <w:tc>
          <w:tcPr>
            <w:tcW w:w="6569" w:type="dxa"/>
            <w:tcBorders>
              <w:right w:val="single" w:color="000000" w:sz="6" w:space="0"/>
            </w:tcBorders>
            <w:noWrap w:val="0"/>
            <w:vAlign w:val="top"/>
          </w:tcPr>
          <w:p w14:paraId="481DC5F4">
            <w:pPr>
              <w:rPr>
                <w:rFonts w:ascii="Arial"/>
                <w:strike/>
                <w:dstrike w:val="0"/>
                <w:color w:val="auto"/>
                <w:sz w:val="21"/>
                <w:highlight w:val="none"/>
              </w:rPr>
            </w:pPr>
          </w:p>
        </w:tc>
      </w:tr>
      <w:tr w14:paraId="6BCE27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6BE62437">
            <w:pPr>
              <w:pStyle w:val="17"/>
              <w:spacing w:before="123" w:line="220" w:lineRule="auto"/>
              <w:ind w:left="625"/>
              <w:rPr>
                <w:strike/>
                <w:dstrike w:val="0"/>
                <w:color w:val="auto"/>
                <w:sz w:val="24"/>
                <w:szCs w:val="24"/>
                <w:highlight w:val="none"/>
              </w:rPr>
            </w:pPr>
            <w:r>
              <w:rPr>
                <w:strike/>
                <w:dstrike w:val="0"/>
                <w:color w:val="auto"/>
                <w:spacing w:val="-2"/>
                <w:sz w:val="24"/>
                <w:szCs w:val="24"/>
                <w:highlight w:val="none"/>
              </w:rPr>
              <w:t>开工日期</w:t>
            </w:r>
          </w:p>
        </w:tc>
        <w:tc>
          <w:tcPr>
            <w:tcW w:w="6569" w:type="dxa"/>
            <w:tcBorders>
              <w:right w:val="single" w:color="000000" w:sz="6" w:space="0"/>
            </w:tcBorders>
            <w:noWrap w:val="0"/>
            <w:vAlign w:val="top"/>
          </w:tcPr>
          <w:p w14:paraId="65116C12">
            <w:pPr>
              <w:rPr>
                <w:rFonts w:ascii="Arial"/>
                <w:strike/>
                <w:dstrike w:val="0"/>
                <w:color w:val="auto"/>
                <w:sz w:val="21"/>
                <w:highlight w:val="none"/>
              </w:rPr>
            </w:pPr>
          </w:p>
        </w:tc>
      </w:tr>
      <w:tr w14:paraId="0F75A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31FFB051">
            <w:pPr>
              <w:pStyle w:val="17"/>
              <w:spacing w:before="123" w:line="220" w:lineRule="auto"/>
              <w:ind w:left="626"/>
              <w:rPr>
                <w:strike/>
                <w:dstrike w:val="0"/>
                <w:color w:val="auto"/>
                <w:sz w:val="24"/>
                <w:szCs w:val="24"/>
                <w:highlight w:val="none"/>
              </w:rPr>
            </w:pPr>
            <w:r>
              <w:rPr>
                <w:strike/>
                <w:dstrike w:val="0"/>
                <w:color w:val="auto"/>
                <w:spacing w:val="-3"/>
                <w:sz w:val="24"/>
                <w:szCs w:val="24"/>
                <w:highlight w:val="none"/>
              </w:rPr>
              <w:t>完工日期</w:t>
            </w:r>
          </w:p>
        </w:tc>
        <w:tc>
          <w:tcPr>
            <w:tcW w:w="6569" w:type="dxa"/>
            <w:tcBorders>
              <w:right w:val="single" w:color="000000" w:sz="6" w:space="0"/>
            </w:tcBorders>
            <w:noWrap w:val="0"/>
            <w:vAlign w:val="top"/>
          </w:tcPr>
          <w:p w14:paraId="61D52467">
            <w:pPr>
              <w:rPr>
                <w:rFonts w:ascii="Arial"/>
                <w:strike/>
                <w:dstrike w:val="0"/>
                <w:color w:val="auto"/>
                <w:sz w:val="21"/>
                <w:highlight w:val="none"/>
              </w:rPr>
            </w:pPr>
          </w:p>
        </w:tc>
      </w:tr>
      <w:tr w14:paraId="44A82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noWrap w:val="0"/>
            <w:vAlign w:val="top"/>
          </w:tcPr>
          <w:p w14:paraId="2A773F96">
            <w:pPr>
              <w:pStyle w:val="17"/>
              <w:spacing w:before="123" w:line="220" w:lineRule="auto"/>
              <w:ind w:left="504"/>
              <w:rPr>
                <w:strike/>
                <w:dstrike w:val="0"/>
                <w:color w:val="auto"/>
                <w:sz w:val="24"/>
                <w:szCs w:val="24"/>
                <w:highlight w:val="none"/>
              </w:rPr>
            </w:pPr>
            <w:r>
              <w:rPr>
                <w:strike/>
                <w:dstrike w:val="0"/>
                <w:color w:val="auto"/>
                <w:spacing w:val="-2"/>
                <w:sz w:val="24"/>
                <w:szCs w:val="24"/>
                <w:highlight w:val="none"/>
              </w:rPr>
              <w:t>承担的工作</w:t>
            </w:r>
          </w:p>
        </w:tc>
        <w:tc>
          <w:tcPr>
            <w:tcW w:w="6569" w:type="dxa"/>
            <w:tcBorders>
              <w:right w:val="single" w:color="000000" w:sz="6" w:space="0"/>
            </w:tcBorders>
            <w:noWrap w:val="0"/>
            <w:vAlign w:val="top"/>
          </w:tcPr>
          <w:p w14:paraId="06E37D87">
            <w:pPr>
              <w:rPr>
                <w:rFonts w:ascii="Arial"/>
                <w:strike/>
                <w:dstrike w:val="0"/>
                <w:color w:val="auto"/>
                <w:sz w:val="21"/>
                <w:highlight w:val="none"/>
              </w:rPr>
            </w:pPr>
          </w:p>
        </w:tc>
      </w:tr>
      <w:tr w14:paraId="7DE922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04AB1D75">
            <w:pPr>
              <w:pStyle w:val="17"/>
              <w:spacing w:before="125" w:line="220" w:lineRule="auto"/>
              <w:ind w:left="627"/>
              <w:rPr>
                <w:strike/>
                <w:dstrike w:val="0"/>
                <w:color w:val="auto"/>
                <w:sz w:val="24"/>
                <w:szCs w:val="24"/>
                <w:highlight w:val="none"/>
              </w:rPr>
            </w:pPr>
            <w:r>
              <w:rPr>
                <w:strike/>
                <w:dstrike w:val="0"/>
                <w:color w:val="auto"/>
                <w:spacing w:val="-3"/>
                <w:sz w:val="24"/>
                <w:szCs w:val="24"/>
                <w:highlight w:val="none"/>
              </w:rPr>
              <w:t>工程质量</w:t>
            </w:r>
          </w:p>
        </w:tc>
        <w:tc>
          <w:tcPr>
            <w:tcW w:w="6569" w:type="dxa"/>
            <w:tcBorders>
              <w:right w:val="single" w:color="000000" w:sz="6" w:space="0"/>
            </w:tcBorders>
            <w:noWrap w:val="0"/>
            <w:vAlign w:val="top"/>
          </w:tcPr>
          <w:p w14:paraId="4C35A447">
            <w:pPr>
              <w:rPr>
                <w:rFonts w:ascii="Arial"/>
                <w:strike/>
                <w:dstrike w:val="0"/>
                <w:color w:val="auto"/>
                <w:sz w:val="21"/>
                <w:highlight w:val="none"/>
              </w:rPr>
            </w:pPr>
          </w:p>
        </w:tc>
      </w:tr>
      <w:tr w14:paraId="3CFF6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6E8222EC">
            <w:pPr>
              <w:pStyle w:val="17"/>
              <w:spacing w:before="125" w:line="220" w:lineRule="auto"/>
              <w:ind w:left="508"/>
              <w:rPr>
                <w:strike/>
                <w:dstrike w:val="0"/>
                <w:color w:val="auto"/>
                <w:sz w:val="24"/>
                <w:szCs w:val="24"/>
                <w:highlight w:val="none"/>
              </w:rPr>
            </w:pPr>
            <w:r>
              <w:rPr>
                <w:strike/>
                <w:dstrike w:val="0"/>
                <w:color w:val="auto"/>
                <w:spacing w:val="-3"/>
                <w:sz w:val="24"/>
                <w:szCs w:val="24"/>
                <w:highlight w:val="none"/>
              </w:rPr>
              <w:t>项目负责人</w:t>
            </w:r>
          </w:p>
        </w:tc>
        <w:tc>
          <w:tcPr>
            <w:tcW w:w="6569" w:type="dxa"/>
            <w:tcBorders>
              <w:right w:val="single" w:color="000000" w:sz="6" w:space="0"/>
            </w:tcBorders>
            <w:noWrap w:val="0"/>
            <w:vAlign w:val="top"/>
          </w:tcPr>
          <w:p w14:paraId="28781D02">
            <w:pPr>
              <w:rPr>
                <w:rFonts w:ascii="Arial"/>
                <w:strike/>
                <w:dstrike w:val="0"/>
                <w:color w:val="auto"/>
                <w:sz w:val="21"/>
                <w:highlight w:val="none"/>
              </w:rPr>
            </w:pPr>
          </w:p>
        </w:tc>
      </w:tr>
      <w:tr w14:paraId="7301DA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noWrap w:val="0"/>
            <w:vAlign w:val="top"/>
          </w:tcPr>
          <w:p w14:paraId="3D4C2271">
            <w:pPr>
              <w:pStyle w:val="17"/>
              <w:spacing w:before="125" w:line="220" w:lineRule="auto"/>
              <w:ind w:left="268"/>
              <w:rPr>
                <w:strike/>
                <w:dstrike w:val="0"/>
                <w:color w:val="auto"/>
                <w:sz w:val="24"/>
                <w:szCs w:val="24"/>
                <w:highlight w:val="none"/>
              </w:rPr>
            </w:pPr>
            <w:r>
              <w:rPr>
                <w:strike/>
                <w:dstrike w:val="0"/>
                <w:color w:val="auto"/>
                <w:spacing w:val="-2"/>
                <w:sz w:val="24"/>
                <w:szCs w:val="24"/>
                <w:highlight w:val="none"/>
              </w:rPr>
              <w:t>项目技术负责人</w:t>
            </w:r>
          </w:p>
        </w:tc>
        <w:tc>
          <w:tcPr>
            <w:tcW w:w="6569" w:type="dxa"/>
            <w:tcBorders>
              <w:right w:val="single" w:color="000000" w:sz="6" w:space="0"/>
            </w:tcBorders>
            <w:noWrap w:val="0"/>
            <w:vAlign w:val="top"/>
          </w:tcPr>
          <w:p w14:paraId="0D636E0B">
            <w:pPr>
              <w:rPr>
                <w:rFonts w:ascii="Arial"/>
                <w:strike/>
                <w:dstrike w:val="0"/>
                <w:color w:val="auto"/>
                <w:sz w:val="21"/>
                <w:highlight w:val="none"/>
              </w:rPr>
            </w:pPr>
          </w:p>
        </w:tc>
      </w:tr>
      <w:tr w14:paraId="0B721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2207" w:type="dxa"/>
            <w:tcBorders>
              <w:left w:val="single" w:color="000000" w:sz="6" w:space="0"/>
            </w:tcBorders>
            <w:noWrap w:val="0"/>
            <w:vAlign w:val="top"/>
          </w:tcPr>
          <w:p w14:paraId="112051DB">
            <w:pPr>
              <w:pStyle w:val="17"/>
              <w:spacing w:before="45" w:line="339" w:lineRule="auto"/>
              <w:ind w:left="383" w:right="142" w:hanging="238"/>
              <w:rPr>
                <w:strike/>
                <w:dstrike w:val="0"/>
                <w:color w:val="auto"/>
                <w:sz w:val="24"/>
                <w:szCs w:val="24"/>
                <w:highlight w:val="none"/>
              </w:rPr>
            </w:pPr>
            <w:r>
              <w:rPr>
                <w:strike/>
                <w:dstrike w:val="0"/>
                <w:color w:val="auto"/>
                <w:spacing w:val="-2"/>
                <w:sz w:val="24"/>
                <w:szCs w:val="24"/>
                <w:highlight w:val="none"/>
              </w:rPr>
              <w:t>监理人和总监理工</w:t>
            </w:r>
            <w:r>
              <w:rPr>
                <w:strike/>
                <w:dstrike w:val="0"/>
                <w:color w:val="auto"/>
                <w:spacing w:val="4"/>
                <w:sz w:val="24"/>
                <w:szCs w:val="24"/>
                <w:highlight w:val="none"/>
              </w:rPr>
              <w:t xml:space="preserve"> </w:t>
            </w:r>
            <w:r>
              <w:rPr>
                <w:strike/>
                <w:dstrike w:val="0"/>
                <w:color w:val="auto"/>
                <w:spacing w:val="-2"/>
                <w:sz w:val="24"/>
                <w:szCs w:val="24"/>
                <w:highlight w:val="none"/>
              </w:rPr>
              <w:t>程师以及电话</w:t>
            </w:r>
          </w:p>
        </w:tc>
        <w:tc>
          <w:tcPr>
            <w:tcW w:w="6569" w:type="dxa"/>
            <w:tcBorders>
              <w:right w:val="single" w:color="000000" w:sz="6" w:space="0"/>
            </w:tcBorders>
            <w:noWrap w:val="0"/>
            <w:vAlign w:val="top"/>
          </w:tcPr>
          <w:p w14:paraId="2A0E5DF4">
            <w:pPr>
              <w:rPr>
                <w:rFonts w:ascii="Arial"/>
                <w:strike/>
                <w:dstrike w:val="0"/>
                <w:color w:val="auto"/>
                <w:sz w:val="21"/>
                <w:highlight w:val="none"/>
              </w:rPr>
            </w:pPr>
          </w:p>
        </w:tc>
      </w:tr>
      <w:tr w14:paraId="6D640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9" w:hRule="atLeast"/>
        </w:trPr>
        <w:tc>
          <w:tcPr>
            <w:tcW w:w="2207" w:type="dxa"/>
            <w:tcBorders>
              <w:left w:val="single" w:color="000000" w:sz="6" w:space="0"/>
            </w:tcBorders>
            <w:noWrap w:val="0"/>
            <w:vAlign w:val="top"/>
          </w:tcPr>
          <w:p w14:paraId="6A74EEB0">
            <w:pPr>
              <w:spacing w:line="319" w:lineRule="auto"/>
              <w:rPr>
                <w:rFonts w:ascii="Arial"/>
                <w:strike/>
                <w:dstrike w:val="0"/>
                <w:color w:val="auto"/>
                <w:sz w:val="21"/>
                <w:highlight w:val="none"/>
              </w:rPr>
            </w:pPr>
          </w:p>
          <w:p w14:paraId="0701E84F">
            <w:pPr>
              <w:spacing w:line="320" w:lineRule="auto"/>
              <w:rPr>
                <w:rFonts w:ascii="Arial"/>
                <w:strike/>
                <w:dstrike w:val="0"/>
                <w:color w:val="auto"/>
                <w:sz w:val="21"/>
                <w:highlight w:val="none"/>
              </w:rPr>
            </w:pPr>
          </w:p>
          <w:p w14:paraId="3CA39AFD">
            <w:pPr>
              <w:pStyle w:val="17"/>
              <w:spacing w:before="78" w:line="220" w:lineRule="auto"/>
              <w:ind w:left="385"/>
              <w:rPr>
                <w:strike/>
                <w:dstrike w:val="0"/>
                <w:color w:val="auto"/>
                <w:sz w:val="24"/>
                <w:szCs w:val="24"/>
                <w:highlight w:val="none"/>
              </w:rPr>
            </w:pPr>
            <w:r>
              <w:rPr>
                <w:strike/>
                <w:dstrike w:val="0"/>
                <w:color w:val="auto"/>
                <w:spacing w:val="-2"/>
                <w:sz w:val="24"/>
                <w:szCs w:val="24"/>
                <w:highlight w:val="none"/>
              </w:rPr>
              <w:t>合同项目描述</w:t>
            </w:r>
          </w:p>
        </w:tc>
        <w:tc>
          <w:tcPr>
            <w:tcW w:w="6569" w:type="dxa"/>
            <w:tcBorders>
              <w:right w:val="single" w:color="000000" w:sz="6" w:space="0"/>
            </w:tcBorders>
            <w:noWrap w:val="0"/>
            <w:vAlign w:val="top"/>
          </w:tcPr>
          <w:p w14:paraId="15DC241E">
            <w:pPr>
              <w:rPr>
                <w:rFonts w:ascii="Arial"/>
                <w:strike/>
                <w:dstrike w:val="0"/>
                <w:color w:val="auto"/>
                <w:sz w:val="21"/>
                <w:highlight w:val="none"/>
              </w:rPr>
            </w:pPr>
          </w:p>
        </w:tc>
      </w:tr>
      <w:tr w14:paraId="70DCD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7" w:hRule="atLeast"/>
        </w:trPr>
        <w:tc>
          <w:tcPr>
            <w:tcW w:w="2207" w:type="dxa"/>
            <w:tcBorders>
              <w:left w:val="single" w:color="000000" w:sz="6" w:space="0"/>
              <w:bottom w:val="single" w:color="000000" w:sz="6" w:space="0"/>
            </w:tcBorders>
            <w:noWrap w:val="0"/>
            <w:vAlign w:val="top"/>
          </w:tcPr>
          <w:p w14:paraId="39A9CCB8">
            <w:pPr>
              <w:spacing w:line="435" w:lineRule="auto"/>
              <w:rPr>
                <w:rFonts w:ascii="Arial"/>
                <w:strike/>
                <w:dstrike w:val="0"/>
                <w:color w:val="auto"/>
                <w:sz w:val="21"/>
                <w:highlight w:val="none"/>
              </w:rPr>
            </w:pPr>
          </w:p>
          <w:p w14:paraId="32AFBF3D">
            <w:pPr>
              <w:pStyle w:val="17"/>
              <w:spacing w:before="78" w:line="221" w:lineRule="auto"/>
              <w:ind w:left="867"/>
              <w:rPr>
                <w:strike/>
                <w:dstrike w:val="0"/>
                <w:color w:val="auto"/>
                <w:sz w:val="24"/>
                <w:szCs w:val="24"/>
                <w:highlight w:val="none"/>
              </w:rPr>
            </w:pPr>
            <w:r>
              <w:rPr>
                <w:strike/>
                <w:dstrike w:val="0"/>
                <w:color w:val="auto"/>
                <w:spacing w:val="-4"/>
                <w:sz w:val="24"/>
                <w:szCs w:val="24"/>
                <w:highlight w:val="none"/>
              </w:rPr>
              <w:t>备注</w:t>
            </w:r>
          </w:p>
        </w:tc>
        <w:tc>
          <w:tcPr>
            <w:tcW w:w="6569" w:type="dxa"/>
            <w:tcBorders>
              <w:bottom w:val="single" w:color="000000" w:sz="6" w:space="0"/>
              <w:right w:val="single" w:color="000000" w:sz="6" w:space="0"/>
            </w:tcBorders>
            <w:noWrap w:val="0"/>
            <w:vAlign w:val="top"/>
          </w:tcPr>
          <w:p w14:paraId="78BC8029">
            <w:pPr>
              <w:pStyle w:val="17"/>
              <w:spacing w:before="49" w:line="348" w:lineRule="auto"/>
              <w:ind w:left="110" w:right="101"/>
              <w:jc w:val="both"/>
              <w:rPr>
                <w:strike/>
                <w:dstrike w:val="0"/>
                <w:color w:val="auto"/>
                <w:sz w:val="24"/>
                <w:szCs w:val="24"/>
                <w:highlight w:val="none"/>
              </w:rPr>
            </w:pPr>
            <w:r>
              <w:rPr>
                <w:strike/>
                <w:dstrike w:val="0"/>
                <w:color w:val="auto"/>
                <w:spacing w:val="4"/>
                <w:sz w:val="24"/>
                <w:szCs w:val="24"/>
                <w:highlight w:val="none"/>
              </w:rPr>
              <w:t>合同项目描述内容至少包括项目概况、本合同在项目中的地</w:t>
            </w:r>
            <w:r>
              <w:rPr>
                <w:strike/>
                <w:dstrike w:val="0"/>
                <w:color w:val="auto"/>
                <w:sz w:val="24"/>
                <w:szCs w:val="24"/>
                <w:highlight w:val="none"/>
              </w:rPr>
              <w:t xml:space="preserve"> </w:t>
            </w:r>
            <w:r>
              <w:rPr>
                <w:strike/>
                <w:dstrike w:val="0"/>
                <w:color w:val="auto"/>
                <w:spacing w:val="-9"/>
                <w:sz w:val="24"/>
                <w:szCs w:val="24"/>
                <w:highlight w:val="none"/>
              </w:rPr>
              <w:t>位（部位、合同价格所占比例） 和合同工程完工验收鉴定</w:t>
            </w:r>
            <w:r>
              <w:rPr>
                <w:strike/>
                <w:dstrike w:val="0"/>
                <w:color w:val="auto"/>
                <w:spacing w:val="-10"/>
                <w:sz w:val="24"/>
                <w:szCs w:val="24"/>
                <w:highlight w:val="none"/>
              </w:rPr>
              <w:t>书有</w:t>
            </w:r>
            <w:r>
              <w:rPr>
                <w:strike/>
                <w:dstrike w:val="0"/>
                <w:color w:val="auto"/>
                <w:sz w:val="24"/>
                <w:szCs w:val="24"/>
                <w:highlight w:val="none"/>
              </w:rPr>
              <w:t xml:space="preserve"> </w:t>
            </w:r>
            <w:r>
              <w:rPr>
                <w:strike/>
                <w:dstrike w:val="0"/>
                <w:color w:val="auto"/>
                <w:spacing w:val="-7"/>
                <w:sz w:val="24"/>
                <w:szCs w:val="24"/>
                <w:highlight w:val="none"/>
              </w:rPr>
              <w:t>关验收结论。</w:t>
            </w:r>
          </w:p>
        </w:tc>
      </w:tr>
    </w:tbl>
    <w:p w14:paraId="3F699C36">
      <w:pPr>
        <w:spacing w:before="37" w:line="21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注：相关材料复制件在“十、原件的复制件”中提供。</w:t>
      </w:r>
    </w:p>
    <w:p w14:paraId="22CD257E">
      <w:pPr>
        <w:spacing w:line="219" w:lineRule="auto"/>
        <w:rPr>
          <w:rFonts w:ascii="宋体" w:hAnsi="宋体" w:eastAsia="宋体" w:cs="宋体"/>
          <w:strike/>
          <w:dstrike w:val="0"/>
          <w:color w:val="auto"/>
          <w:sz w:val="24"/>
          <w:szCs w:val="24"/>
          <w:highlight w:val="none"/>
        </w:rPr>
        <w:sectPr>
          <w:footerReference r:id="rId131" w:type="default"/>
          <w:pgSz w:w="11905" w:h="16840"/>
          <w:pgMar w:top="400" w:right="1417" w:bottom="1255" w:left="1596" w:header="0" w:footer="1093" w:gutter="0"/>
          <w:pgNumType w:fmt="decimal"/>
          <w:cols w:space="720" w:num="1"/>
        </w:sectPr>
      </w:pPr>
    </w:p>
    <w:p w14:paraId="340D0664">
      <w:pPr>
        <w:pStyle w:val="8"/>
        <w:spacing w:line="247" w:lineRule="auto"/>
        <w:rPr>
          <w:color w:val="auto"/>
          <w:highlight w:val="none"/>
        </w:rPr>
      </w:pPr>
    </w:p>
    <w:p w14:paraId="1F34E2A2">
      <w:pPr>
        <w:pStyle w:val="8"/>
        <w:spacing w:line="248" w:lineRule="auto"/>
        <w:rPr>
          <w:color w:val="auto"/>
          <w:highlight w:val="none"/>
        </w:rPr>
      </w:pPr>
    </w:p>
    <w:p w14:paraId="668B7E74">
      <w:pPr>
        <w:pStyle w:val="8"/>
        <w:spacing w:line="248" w:lineRule="auto"/>
        <w:rPr>
          <w:color w:val="auto"/>
          <w:highlight w:val="none"/>
        </w:rPr>
      </w:pPr>
    </w:p>
    <w:p w14:paraId="3CA51E65">
      <w:pPr>
        <w:pStyle w:val="8"/>
        <w:spacing w:line="248" w:lineRule="auto"/>
        <w:rPr>
          <w:color w:val="auto"/>
          <w:highlight w:val="none"/>
        </w:rPr>
      </w:pPr>
    </w:p>
    <w:p w14:paraId="1E2C7167">
      <w:pPr>
        <w:spacing w:before="78" w:line="220" w:lineRule="auto"/>
        <w:ind w:left="6"/>
        <w:outlineLvl w:val="1"/>
        <w:rPr>
          <w:rFonts w:ascii="宋体" w:hAnsi="宋体" w:eastAsia="宋体" w:cs="宋体"/>
          <w:strike/>
          <w:dstrike w:val="0"/>
          <w:color w:val="auto"/>
          <w:sz w:val="24"/>
          <w:szCs w:val="24"/>
          <w:highlight w:val="none"/>
        </w:rPr>
      </w:pPr>
      <w:bookmarkStart w:id="225" w:name="_Toc17700"/>
      <w:r>
        <w:rPr>
          <w:rFonts w:ascii="宋体" w:hAnsi="宋体" w:eastAsia="宋体" w:cs="宋体"/>
          <w:b/>
          <w:bCs/>
          <w:strike/>
          <w:dstrike w:val="0"/>
          <w:color w:val="auto"/>
          <w:spacing w:val="-4"/>
          <w:sz w:val="24"/>
          <w:szCs w:val="24"/>
          <w:highlight w:val="none"/>
        </w:rPr>
        <w:t>（四）正在施工的和新承接的项目情况表</w:t>
      </w:r>
      <w:bookmarkEnd w:id="225"/>
    </w:p>
    <w:p w14:paraId="73D03540">
      <w:pPr>
        <w:spacing w:before="180" w:line="220" w:lineRule="auto"/>
        <w:ind w:left="2590"/>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正在施工的和新承接的项目情况表</w:t>
      </w:r>
    </w:p>
    <w:p w14:paraId="697FA5A1">
      <w:pPr>
        <w:spacing w:line="145" w:lineRule="exact"/>
        <w:rPr>
          <w:strike/>
          <w:dstrike w:val="0"/>
          <w:color w:val="auto"/>
          <w:highlight w:val="none"/>
        </w:rPr>
      </w:pPr>
    </w:p>
    <w:tbl>
      <w:tblPr>
        <w:tblStyle w:val="16"/>
        <w:tblW w:w="8776"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7"/>
        <w:gridCol w:w="6569"/>
      </w:tblGrid>
      <w:tr w14:paraId="6CDBE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2207" w:type="dxa"/>
            <w:tcBorders>
              <w:top w:val="single" w:color="000000" w:sz="6" w:space="0"/>
              <w:left w:val="single" w:color="000000" w:sz="6" w:space="0"/>
            </w:tcBorders>
            <w:noWrap w:val="0"/>
            <w:vAlign w:val="top"/>
          </w:tcPr>
          <w:p w14:paraId="07BCD1EF">
            <w:pPr>
              <w:pStyle w:val="17"/>
              <w:spacing w:before="122" w:line="222" w:lineRule="auto"/>
              <w:ind w:left="625"/>
              <w:rPr>
                <w:strike/>
                <w:dstrike w:val="0"/>
                <w:color w:val="auto"/>
                <w:sz w:val="24"/>
                <w:szCs w:val="24"/>
                <w:highlight w:val="none"/>
              </w:rPr>
            </w:pPr>
            <w:r>
              <w:rPr>
                <w:strike/>
                <w:dstrike w:val="0"/>
                <w:color w:val="auto"/>
                <w:spacing w:val="-2"/>
                <w:sz w:val="24"/>
                <w:szCs w:val="24"/>
                <w:highlight w:val="none"/>
              </w:rPr>
              <w:t>合同名称</w:t>
            </w:r>
          </w:p>
        </w:tc>
        <w:tc>
          <w:tcPr>
            <w:tcW w:w="6569" w:type="dxa"/>
            <w:tcBorders>
              <w:top w:val="single" w:color="000000" w:sz="6" w:space="0"/>
              <w:right w:val="single" w:color="000000" w:sz="6" w:space="0"/>
            </w:tcBorders>
            <w:noWrap w:val="0"/>
            <w:vAlign w:val="top"/>
          </w:tcPr>
          <w:p w14:paraId="6587BA13">
            <w:pPr>
              <w:rPr>
                <w:rFonts w:ascii="Arial"/>
                <w:strike/>
                <w:dstrike w:val="0"/>
                <w:color w:val="auto"/>
                <w:sz w:val="21"/>
                <w:highlight w:val="none"/>
              </w:rPr>
            </w:pPr>
          </w:p>
        </w:tc>
      </w:tr>
      <w:tr w14:paraId="31D6E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5A8CF9F3">
            <w:pPr>
              <w:pStyle w:val="17"/>
              <w:spacing w:before="119" w:line="220" w:lineRule="auto"/>
              <w:ind w:left="265"/>
              <w:rPr>
                <w:strike/>
                <w:dstrike w:val="0"/>
                <w:color w:val="auto"/>
                <w:sz w:val="24"/>
                <w:szCs w:val="24"/>
                <w:highlight w:val="none"/>
              </w:rPr>
            </w:pPr>
            <w:r>
              <w:rPr>
                <w:strike/>
                <w:dstrike w:val="0"/>
                <w:color w:val="auto"/>
                <w:spacing w:val="-2"/>
                <w:sz w:val="24"/>
                <w:szCs w:val="24"/>
                <w:highlight w:val="none"/>
              </w:rPr>
              <w:t>合同项目所在地</w:t>
            </w:r>
          </w:p>
        </w:tc>
        <w:tc>
          <w:tcPr>
            <w:tcW w:w="6569" w:type="dxa"/>
            <w:tcBorders>
              <w:right w:val="single" w:color="000000" w:sz="6" w:space="0"/>
            </w:tcBorders>
            <w:noWrap w:val="0"/>
            <w:vAlign w:val="top"/>
          </w:tcPr>
          <w:p w14:paraId="01ECE1CD">
            <w:pPr>
              <w:rPr>
                <w:rFonts w:ascii="Arial"/>
                <w:strike/>
                <w:dstrike w:val="0"/>
                <w:color w:val="auto"/>
                <w:sz w:val="21"/>
                <w:highlight w:val="none"/>
              </w:rPr>
            </w:pPr>
          </w:p>
        </w:tc>
      </w:tr>
      <w:tr w14:paraId="793A8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noWrap w:val="0"/>
            <w:vAlign w:val="top"/>
          </w:tcPr>
          <w:p w14:paraId="01971D00">
            <w:pPr>
              <w:pStyle w:val="17"/>
              <w:spacing w:before="119" w:line="220" w:lineRule="auto"/>
              <w:ind w:left="508"/>
              <w:rPr>
                <w:strike/>
                <w:dstrike w:val="0"/>
                <w:color w:val="auto"/>
                <w:sz w:val="24"/>
                <w:szCs w:val="24"/>
                <w:highlight w:val="none"/>
              </w:rPr>
            </w:pPr>
            <w:r>
              <w:rPr>
                <w:strike/>
                <w:dstrike w:val="0"/>
                <w:color w:val="auto"/>
                <w:spacing w:val="-3"/>
                <w:sz w:val="24"/>
                <w:szCs w:val="24"/>
                <w:highlight w:val="none"/>
              </w:rPr>
              <w:t>发包人名称</w:t>
            </w:r>
          </w:p>
        </w:tc>
        <w:tc>
          <w:tcPr>
            <w:tcW w:w="6569" w:type="dxa"/>
            <w:tcBorders>
              <w:right w:val="single" w:color="000000" w:sz="6" w:space="0"/>
            </w:tcBorders>
            <w:noWrap w:val="0"/>
            <w:vAlign w:val="top"/>
          </w:tcPr>
          <w:p w14:paraId="3C28149C">
            <w:pPr>
              <w:rPr>
                <w:rFonts w:ascii="Arial"/>
                <w:strike/>
                <w:dstrike w:val="0"/>
                <w:color w:val="auto"/>
                <w:sz w:val="21"/>
                <w:highlight w:val="none"/>
              </w:rPr>
            </w:pPr>
          </w:p>
        </w:tc>
      </w:tr>
      <w:tr w14:paraId="58D6D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noWrap w:val="0"/>
            <w:vAlign w:val="top"/>
          </w:tcPr>
          <w:p w14:paraId="3DC2268C">
            <w:pPr>
              <w:pStyle w:val="17"/>
              <w:spacing w:before="122" w:line="220" w:lineRule="auto"/>
              <w:ind w:left="508"/>
              <w:rPr>
                <w:strike/>
                <w:dstrike w:val="0"/>
                <w:color w:val="auto"/>
                <w:sz w:val="24"/>
                <w:szCs w:val="24"/>
                <w:highlight w:val="none"/>
              </w:rPr>
            </w:pPr>
            <w:r>
              <w:rPr>
                <w:strike/>
                <w:dstrike w:val="0"/>
                <w:color w:val="auto"/>
                <w:spacing w:val="-3"/>
                <w:sz w:val="24"/>
                <w:szCs w:val="24"/>
                <w:highlight w:val="none"/>
              </w:rPr>
              <w:t>发包人地址</w:t>
            </w:r>
          </w:p>
        </w:tc>
        <w:tc>
          <w:tcPr>
            <w:tcW w:w="6569" w:type="dxa"/>
            <w:tcBorders>
              <w:right w:val="single" w:color="000000" w:sz="6" w:space="0"/>
            </w:tcBorders>
            <w:noWrap w:val="0"/>
            <w:vAlign w:val="top"/>
          </w:tcPr>
          <w:p w14:paraId="3421704C">
            <w:pPr>
              <w:rPr>
                <w:rFonts w:ascii="Arial"/>
                <w:strike/>
                <w:dstrike w:val="0"/>
                <w:color w:val="auto"/>
                <w:sz w:val="21"/>
                <w:highlight w:val="none"/>
              </w:rPr>
            </w:pPr>
          </w:p>
        </w:tc>
      </w:tr>
      <w:tr w14:paraId="7D7D5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6E3A0301">
            <w:pPr>
              <w:pStyle w:val="17"/>
              <w:spacing w:before="122" w:line="220" w:lineRule="auto"/>
              <w:ind w:left="508"/>
              <w:rPr>
                <w:strike/>
                <w:dstrike w:val="0"/>
                <w:color w:val="auto"/>
                <w:sz w:val="24"/>
                <w:szCs w:val="24"/>
                <w:highlight w:val="none"/>
              </w:rPr>
            </w:pPr>
            <w:r>
              <w:rPr>
                <w:strike/>
                <w:dstrike w:val="0"/>
                <w:color w:val="auto"/>
                <w:spacing w:val="-3"/>
                <w:sz w:val="24"/>
                <w:szCs w:val="24"/>
                <w:highlight w:val="none"/>
              </w:rPr>
              <w:t>发包人电话</w:t>
            </w:r>
          </w:p>
        </w:tc>
        <w:tc>
          <w:tcPr>
            <w:tcW w:w="6569" w:type="dxa"/>
            <w:tcBorders>
              <w:right w:val="single" w:color="000000" w:sz="6" w:space="0"/>
            </w:tcBorders>
            <w:noWrap w:val="0"/>
            <w:vAlign w:val="top"/>
          </w:tcPr>
          <w:p w14:paraId="0D53048C">
            <w:pPr>
              <w:rPr>
                <w:rFonts w:ascii="Arial"/>
                <w:strike/>
                <w:dstrike w:val="0"/>
                <w:color w:val="auto"/>
                <w:sz w:val="21"/>
                <w:highlight w:val="none"/>
              </w:rPr>
            </w:pPr>
          </w:p>
        </w:tc>
      </w:tr>
      <w:tr w14:paraId="7B62C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5F696928">
            <w:pPr>
              <w:pStyle w:val="17"/>
              <w:spacing w:before="122" w:line="218" w:lineRule="auto"/>
              <w:ind w:left="504"/>
              <w:rPr>
                <w:strike/>
                <w:dstrike w:val="0"/>
                <w:color w:val="auto"/>
                <w:sz w:val="24"/>
                <w:szCs w:val="24"/>
                <w:highlight w:val="none"/>
              </w:rPr>
            </w:pPr>
            <w:r>
              <w:rPr>
                <w:strike/>
                <w:dstrike w:val="0"/>
                <w:color w:val="auto"/>
                <w:spacing w:val="-2"/>
                <w:sz w:val="24"/>
                <w:szCs w:val="24"/>
                <w:highlight w:val="none"/>
              </w:rPr>
              <w:t>签约合同价</w:t>
            </w:r>
          </w:p>
        </w:tc>
        <w:tc>
          <w:tcPr>
            <w:tcW w:w="6569" w:type="dxa"/>
            <w:tcBorders>
              <w:right w:val="single" w:color="000000" w:sz="6" w:space="0"/>
            </w:tcBorders>
            <w:noWrap w:val="0"/>
            <w:vAlign w:val="top"/>
          </w:tcPr>
          <w:p w14:paraId="19639B6F">
            <w:pPr>
              <w:rPr>
                <w:rFonts w:ascii="Arial"/>
                <w:strike/>
                <w:dstrike w:val="0"/>
                <w:color w:val="auto"/>
                <w:sz w:val="21"/>
                <w:highlight w:val="none"/>
              </w:rPr>
            </w:pPr>
          </w:p>
        </w:tc>
      </w:tr>
      <w:tr w14:paraId="33006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noWrap w:val="0"/>
            <w:vAlign w:val="top"/>
          </w:tcPr>
          <w:p w14:paraId="16FA816F">
            <w:pPr>
              <w:pStyle w:val="17"/>
              <w:spacing w:before="124" w:line="220" w:lineRule="auto"/>
              <w:ind w:left="625"/>
              <w:rPr>
                <w:strike/>
                <w:dstrike w:val="0"/>
                <w:color w:val="auto"/>
                <w:sz w:val="24"/>
                <w:szCs w:val="24"/>
                <w:highlight w:val="none"/>
              </w:rPr>
            </w:pPr>
            <w:r>
              <w:rPr>
                <w:strike/>
                <w:dstrike w:val="0"/>
                <w:color w:val="auto"/>
                <w:spacing w:val="-2"/>
                <w:sz w:val="24"/>
                <w:szCs w:val="24"/>
                <w:highlight w:val="none"/>
              </w:rPr>
              <w:t>开工日期</w:t>
            </w:r>
          </w:p>
        </w:tc>
        <w:tc>
          <w:tcPr>
            <w:tcW w:w="6569" w:type="dxa"/>
            <w:tcBorders>
              <w:right w:val="single" w:color="000000" w:sz="6" w:space="0"/>
            </w:tcBorders>
            <w:noWrap w:val="0"/>
            <w:vAlign w:val="top"/>
          </w:tcPr>
          <w:p w14:paraId="79B179EE">
            <w:pPr>
              <w:rPr>
                <w:rFonts w:ascii="Arial"/>
                <w:strike/>
                <w:dstrike w:val="0"/>
                <w:color w:val="auto"/>
                <w:sz w:val="21"/>
                <w:highlight w:val="none"/>
              </w:rPr>
            </w:pPr>
          </w:p>
        </w:tc>
      </w:tr>
      <w:tr w14:paraId="70B69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108322A1">
            <w:pPr>
              <w:pStyle w:val="17"/>
              <w:spacing w:before="123" w:line="220" w:lineRule="auto"/>
              <w:ind w:left="384"/>
              <w:rPr>
                <w:strike/>
                <w:dstrike w:val="0"/>
                <w:color w:val="auto"/>
                <w:sz w:val="24"/>
                <w:szCs w:val="24"/>
                <w:highlight w:val="none"/>
              </w:rPr>
            </w:pPr>
            <w:r>
              <w:rPr>
                <w:strike/>
                <w:dstrike w:val="0"/>
                <w:color w:val="auto"/>
                <w:spacing w:val="-2"/>
                <w:sz w:val="24"/>
                <w:szCs w:val="24"/>
                <w:highlight w:val="none"/>
              </w:rPr>
              <w:t>计划完工日期</w:t>
            </w:r>
          </w:p>
        </w:tc>
        <w:tc>
          <w:tcPr>
            <w:tcW w:w="6569" w:type="dxa"/>
            <w:tcBorders>
              <w:right w:val="single" w:color="000000" w:sz="6" w:space="0"/>
            </w:tcBorders>
            <w:noWrap w:val="0"/>
            <w:vAlign w:val="top"/>
          </w:tcPr>
          <w:p w14:paraId="5151CE4C">
            <w:pPr>
              <w:rPr>
                <w:rFonts w:ascii="Arial"/>
                <w:strike/>
                <w:dstrike w:val="0"/>
                <w:color w:val="auto"/>
                <w:sz w:val="21"/>
                <w:highlight w:val="none"/>
              </w:rPr>
            </w:pPr>
          </w:p>
        </w:tc>
      </w:tr>
      <w:tr w14:paraId="5E3F6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2C21CA6A">
            <w:pPr>
              <w:pStyle w:val="17"/>
              <w:spacing w:before="123" w:line="220" w:lineRule="auto"/>
              <w:ind w:left="504"/>
              <w:rPr>
                <w:strike/>
                <w:dstrike w:val="0"/>
                <w:color w:val="auto"/>
                <w:sz w:val="24"/>
                <w:szCs w:val="24"/>
                <w:highlight w:val="none"/>
              </w:rPr>
            </w:pPr>
            <w:r>
              <w:rPr>
                <w:strike/>
                <w:dstrike w:val="0"/>
                <w:color w:val="auto"/>
                <w:spacing w:val="-2"/>
                <w:sz w:val="24"/>
                <w:szCs w:val="24"/>
                <w:highlight w:val="none"/>
              </w:rPr>
              <w:t>承担的工作</w:t>
            </w:r>
          </w:p>
        </w:tc>
        <w:tc>
          <w:tcPr>
            <w:tcW w:w="6569" w:type="dxa"/>
            <w:tcBorders>
              <w:right w:val="single" w:color="000000" w:sz="6" w:space="0"/>
            </w:tcBorders>
            <w:noWrap w:val="0"/>
            <w:vAlign w:val="top"/>
          </w:tcPr>
          <w:p w14:paraId="05D9F27F">
            <w:pPr>
              <w:rPr>
                <w:rFonts w:ascii="Arial"/>
                <w:strike/>
                <w:dstrike w:val="0"/>
                <w:color w:val="auto"/>
                <w:sz w:val="21"/>
                <w:highlight w:val="none"/>
              </w:rPr>
            </w:pPr>
          </w:p>
        </w:tc>
      </w:tr>
      <w:tr w14:paraId="19D61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noWrap w:val="0"/>
            <w:vAlign w:val="top"/>
          </w:tcPr>
          <w:p w14:paraId="49B6A112">
            <w:pPr>
              <w:pStyle w:val="17"/>
              <w:spacing w:before="126" w:line="220" w:lineRule="auto"/>
              <w:ind w:left="627"/>
              <w:rPr>
                <w:strike/>
                <w:dstrike w:val="0"/>
                <w:color w:val="auto"/>
                <w:sz w:val="24"/>
                <w:szCs w:val="24"/>
                <w:highlight w:val="none"/>
              </w:rPr>
            </w:pPr>
            <w:r>
              <w:rPr>
                <w:strike/>
                <w:dstrike w:val="0"/>
                <w:color w:val="auto"/>
                <w:spacing w:val="-3"/>
                <w:sz w:val="24"/>
                <w:szCs w:val="24"/>
                <w:highlight w:val="none"/>
              </w:rPr>
              <w:t>工程质量</w:t>
            </w:r>
          </w:p>
        </w:tc>
        <w:tc>
          <w:tcPr>
            <w:tcW w:w="6569" w:type="dxa"/>
            <w:tcBorders>
              <w:right w:val="single" w:color="000000" w:sz="6" w:space="0"/>
            </w:tcBorders>
            <w:noWrap w:val="0"/>
            <w:vAlign w:val="top"/>
          </w:tcPr>
          <w:p w14:paraId="1544987F">
            <w:pPr>
              <w:rPr>
                <w:rFonts w:ascii="Arial"/>
                <w:strike/>
                <w:dstrike w:val="0"/>
                <w:color w:val="auto"/>
                <w:sz w:val="21"/>
                <w:highlight w:val="none"/>
              </w:rPr>
            </w:pPr>
          </w:p>
        </w:tc>
      </w:tr>
      <w:tr w14:paraId="1ABD4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43EA7002">
            <w:pPr>
              <w:pStyle w:val="17"/>
              <w:spacing w:before="125" w:line="220" w:lineRule="auto"/>
              <w:ind w:left="508"/>
              <w:rPr>
                <w:strike/>
                <w:dstrike w:val="0"/>
                <w:color w:val="auto"/>
                <w:sz w:val="24"/>
                <w:szCs w:val="24"/>
                <w:highlight w:val="none"/>
              </w:rPr>
            </w:pPr>
            <w:r>
              <w:rPr>
                <w:strike/>
                <w:dstrike w:val="0"/>
                <w:color w:val="auto"/>
                <w:spacing w:val="-3"/>
                <w:sz w:val="24"/>
                <w:szCs w:val="24"/>
                <w:highlight w:val="none"/>
              </w:rPr>
              <w:t>项目负责人</w:t>
            </w:r>
          </w:p>
        </w:tc>
        <w:tc>
          <w:tcPr>
            <w:tcW w:w="6569" w:type="dxa"/>
            <w:tcBorders>
              <w:right w:val="single" w:color="000000" w:sz="6" w:space="0"/>
            </w:tcBorders>
            <w:noWrap w:val="0"/>
            <w:vAlign w:val="top"/>
          </w:tcPr>
          <w:p w14:paraId="14EDB823">
            <w:pPr>
              <w:rPr>
                <w:rFonts w:ascii="Arial"/>
                <w:strike/>
                <w:dstrike w:val="0"/>
                <w:color w:val="auto"/>
                <w:sz w:val="21"/>
                <w:highlight w:val="none"/>
              </w:rPr>
            </w:pPr>
          </w:p>
        </w:tc>
      </w:tr>
      <w:tr w14:paraId="41D7C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207" w:type="dxa"/>
            <w:tcBorders>
              <w:left w:val="single" w:color="000000" w:sz="6" w:space="0"/>
            </w:tcBorders>
            <w:noWrap w:val="0"/>
            <w:vAlign w:val="top"/>
          </w:tcPr>
          <w:p w14:paraId="7DAD9ECA">
            <w:pPr>
              <w:pStyle w:val="17"/>
              <w:spacing w:before="125" w:line="220" w:lineRule="auto"/>
              <w:ind w:left="505"/>
              <w:rPr>
                <w:strike/>
                <w:dstrike w:val="0"/>
                <w:color w:val="auto"/>
                <w:sz w:val="24"/>
                <w:szCs w:val="24"/>
                <w:highlight w:val="none"/>
              </w:rPr>
            </w:pPr>
            <w:r>
              <w:rPr>
                <w:strike/>
                <w:dstrike w:val="0"/>
                <w:color w:val="auto"/>
                <w:spacing w:val="-2"/>
                <w:sz w:val="24"/>
                <w:szCs w:val="24"/>
                <w:highlight w:val="none"/>
              </w:rPr>
              <w:t>技术负责人</w:t>
            </w:r>
          </w:p>
        </w:tc>
        <w:tc>
          <w:tcPr>
            <w:tcW w:w="6569" w:type="dxa"/>
            <w:tcBorders>
              <w:right w:val="single" w:color="000000" w:sz="6" w:space="0"/>
            </w:tcBorders>
            <w:noWrap w:val="0"/>
            <w:vAlign w:val="top"/>
          </w:tcPr>
          <w:p w14:paraId="5AC5DA62">
            <w:pPr>
              <w:rPr>
                <w:rFonts w:ascii="Arial"/>
                <w:strike/>
                <w:dstrike w:val="0"/>
                <w:color w:val="auto"/>
                <w:sz w:val="21"/>
                <w:highlight w:val="none"/>
              </w:rPr>
            </w:pPr>
          </w:p>
        </w:tc>
      </w:tr>
      <w:tr w14:paraId="77E59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2207" w:type="dxa"/>
            <w:tcBorders>
              <w:left w:val="single" w:color="000000" w:sz="6" w:space="0"/>
            </w:tcBorders>
            <w:noWrap w:val="0"/>
            <w:vAlign w:val="top"/>
          </w:tcPr>
          <w:p w14:paraId="54ECFEBE">
            <w:pPr>
              <w:pStyle w:val="17"/>
              <w:spacing w:before="46" w:line="339" w:lineRule="auto"/>
              <w:ind w:left="383" w:right="142" w:hanging="238"/>
              <w:rPr>
                <w:strike/>
                <w:dstrike w:val="0"/>
                <w:color w:val="auto"/>
                <w:sz w:val="24"/>
                <w:szCs w:val="24"/>
                <w:highlight w:val="none"/>
              </w:rPr>
            </w:pPr>
            <w:r>
              <w:rPr>
                <w:strike/>
                <w:dstrike w:val="0"/>
                <w:color w:val="auto"/>
                <w:spacing w:val="-2"/>
                <w:sz w:val="24"/>
                <w:szCs w:val="24"/>
                <w:highlight w:val="none"/>
              </w:rPr>
              <w:t>监理人和总监理工</w:t>
            </w:r>
            <w:r>
              <w:rPr>
                <w:strike/>
                <w:dstrike w:val="0"/>
                <w:color w:val="auto"/>
                <w:spacing w:val="4"/>
                <w:sz w:val="24"/>
                <w:szCs w:val="24"/>
                <w:highlight w:val="none"/>
              </w:rPr>
              <w:t xml:space="preserve"> </w:t>
            </w:r>
            <w:r>
              <w:rPr>
                <w:strike/>
                <w:dstrike w:val="0"/>
                <w:color w:val="auto"/>
                <w:spacing w:val="-2"/>
                <w:sz w:val="24"/>
                <w:szCs w:val="24"/>
                <w:highlight w:val="none"/>
              </w:rPr>
              <w:t>程师以及电话</w:t>
            </w:r>
          </w:p>
        </w:tc>
        <w:tc>
          <w:tcPr>
            <w:tcW w:w="6569" w:type="dxa"/>
            <w:tcBorders>
              <w:right w:val="single" w:color="000000" w:sz="6" w:space="0"/>
            </w:tcBorders>
            <w:noWrap w:val="0"/>
            <w:vAlign w:val="top"/>
          </w:tcPr>
          <w:p w14:paraId="7776E0BA">
            <w:pPr>
              <w:rPr>
                <w:rFonts w:ascii="Arial"/>
                <w:strike/>
                <w:dstrike w:val="0"/>
                <w:color w:val="auto"/>
                <w:sz w:val="21"/>
                <w:highlight w:val="none"/>
              </w:rPr>
            </w:pPr>
          </w:p>
        </w:tc>
      </w:tr>
      <w:tr w14:paraId="7BC6F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4" w:hRule="atLeast"/>
        </w:trPr>
        <w:tc>
          <w:tcPr>
            <w:tcW w:w="2207" w:type="dxa"/>
            <w:tcBorders>
              <w:left w:val="single" w:color="000000" w:sz="6" w:space="0"/>
            </w:tcBorders>
            <w:noWrap w:val="0"/>
            <w:vAlign w:val="top"/>
          </w:tcPr>
          <w:p w14:paraId="417C0BC5">
            <w:pPr>
              <w:spacing w:line="353" w:lineRule="auto"/>
              <w:rPr>
                <w:rFonts w:ascii="Arial"/>
                <w:strike/>
                <w:dstrike w:val="0"/>
                <w:color w:val="auto"/>
                <w:sz w:val="21"/>
                <w:highlight w:val="none"/>
              </w:rPr>
            </w:pPr>
          </w:p>
          <w:p w14:paraId="1EB7D7ED">
            <w:pPr>
              <w:spacing w:line="354" w:lineRule="auto"/>
              <w:rPr>
                <w:rFonts w:ascii="Arial"/>
                <w:strike/>
                <w:dstrike w:val="0"/>
                <w:color w:val="auto"/>
                <w:sz w:val="21"/>
                <w:highlight w:val="none"/>
              </w:rPr>
            </w:pPr>
          </w:p>
          <w:p w14:paraId="2C9CB1D1">
            <w:pPr>
              <w:pStyle w:val="17"/>
              <w:spacing w:before="78" w:line="220" w:lineRule="auto"/>
              <w:ind w:left="628"/>
              <w:rPr>
                <w:strike/>
                <w:dstrike w:val="0"/>
                <w:color w:val="auto"/>
                <w:sz w:val="24"/>
                <w:szCs w:val="24"/>
                <w:highlight w:val="none"/>
              </w:rPr>
            </w:pPr>
            <w:r>
              <w:rPr>
                <w:strike/>
                <w:dstrike w:val="0"/>
                <w:color w:val="auto"/>
                <w:spacing w:val="-3"/>
                <w:sz w:val="24"/>
                <w:szCs w:val="24"/>
                <w:highlight w:val="none"/>
              </w:rPr>
              <w:t>项目描述</w:t>
            </w:r>
          </w:p>
        </w:tc>
        <w:tc>
          <w:tcPr>
            <w:tcW w:w="6569" w:type="dxa"/>
            <w:tcBorders>
              <w:right w:val="single" w:color="000000" w:sz="6" w:space="0"/>
            </w:tcBorders>
            <w:noWrap w:val="0"/>
            <w:vAlign w:val="top"/>
          </w:tcPr>
          <w:p w14:paraId="64C6920E">
            <w:pPr>
              <w:rPr>
                <w:rFonts w:ascii="Arial"/>
                <w:strike/>
                <w:dstrike w:val="0"/>
                <w:color w:val="auto"/>
                <w:sz w:val="21"/>
                <w:highlight w:val="none"/>
              </w:rPr>
            </w:pPr>
          </w:p>
        </w:tc>
      </w:tr>
      <w:tr w14:paraId="465B7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2207" w:type="dxa"/>
            <w:tcBorders>
              <w:left w:val="single" w:color="000000" w:sz="6" w:space="0"/>
              <w:bottom w:val="single" w:color="000000" w:sz="6" w:space="0"/>
            </w:tcBorders>
            <w:noWrap w:val="0"/>
            <w:vAlign w:val="top"/>
          </w:tcPr>
          <w:p w14:paraId="7C6EF87F">
            <w:pPr>
              <w:spacing w:line="253" w:lineRule="auto"/>
              <w:rPr>
                <w:rFonts w:ascii="Arial"/>
                <w:strike/>
                <w:dstrike w:val="0"/>
                <w:color w:val="auto"/>
                <w:sz w:val="21"/>
                <w:highlight w:val="none"/>
              </w:rPr>
            </w:pPr>
          </w:p>
          <w:p w14:paraId="49D62AC4">
            <w:pPr>
              <w:pStyle w:val="17"/>
              <w:spacing w:before="78" w:line="221" w:lineRule="auto"/>
              <w:ind w:left="867"/>
              <w:rPr>
                <w:strike/>
                <w:dstrike w:val="0"/>
                <w:color w:val="auto"/>
                <w:sz w:val="24"/>
                <w:szCs w:val="24"/>
                <w:highlight w:val="none"/>
              </w:rPr>
            </w:pPr>
            <w:r>
              <w:rPr>
                <w:strike/>
                <w:dstrike w:val="0"/>
                <w:color w:val="auto"/>
                <w:spacing w:val="-4"/>
                <w:sz w:val="24"/>
                <w:szCs w:val="24"/>
                <w:highlight w:val="none"/>
              </w:rPr>
              <w:t>备注</w:t>
            </w:r>
          </w:p>
        </w:tc>
        <w:tc>
          <w:tcPr>
            <w:tcW w:w="6569" w:type="dxa"/>
            <w:tcBorders>
              <w:bottom w:val="single" w:color="000000" w:sz="6" w:space="0"/>
              <w:right w:val="single" w:color="000000" w:sz="6" w:space="0"/>
            </w:tcBorders>
            <w:noWrap w:val="0"/>
            <w:vAlign w:val="top"/>
          </w:tcPr>
          <w:p w14:paraId="62053E9C">
            <w:pPr>
              <w:pStyle w:val="17"/>
              <w:spacing w:before="100" w:line="360" w:lineRule="auto"/>
              <w:ind w:left="110" w:right="115" w:firstLine="3"/>
              <w:rPr>
                <w:strike/>
                <w:dstrike w:val="0"/>
                <w:color w:val="auto"/>
                <w:sz w:val="24"/>
                <w:szCs w:val="24"/>
                <w:highlight w:val="none"/>
              </w:rPr>
            </w:pPr>
            <w:r>
              <w:rPr>
                <w:strike/>
                <w:dstrike w:val="0"/>
                <w:color w:val="auto"/>
                <w:spacing w:val="-6"/>
                <w:sz w:val="24"/>
                <w:szCs w:val="24"/>
                <w:highlight w:val="none"/>
              </w:rPr>
              <w:t>项目描述内容至少包括项目概况、本合同在项目中的地位（部</w:t>
            </w:r>
            <w:r>
              <w:rPr>
                <w:strike/>
                <w:dstrike w:val="0"/>
                <w:color w:val="auto"/>
                <w:spacing w:val="9"/>
                <w:sz w:val="24"/>
                <w:szCs w:val="24"/>
                <w:highlight w:val="none"/>
              </w:rPr>
              <w:t xml:space="preserve"> </w:t>
            </w:r>
            <w:r>
              <w:rPr>
                <w:strike/>
                <w:dstrike w:val="0"/>
                <w:color w:val="auto"/>
                <w:spacing w:val="-4"/>
                <w:sz w:val="24"/>
                <w:szCs w:val="24"/>
                <w:highlight w:val="none"/>
              </w:rPr>
              <w:t>位、合同价格所占比例）。</w:t>
            </w:r>
          </w:p>
        </w:tc>
      </w:tr>
    </w:tbl>
    <w:p w14:paraId="3269C665">
      <w:pPr>
        <w:spacing w:before="37" w:line="21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注：相关材料复制件在“十、原件的复制件”中提供。</w:t>
      </w:r>
    </w:p>
    <w:p w14:paraId="5EAC6008">
      <w:pPr>
        <w:spacing w:line="219" w:lineRule="auto"/>
        <w:rPr>
          <w:rFonts w:ascii="宋体" w:hAnsi="宋体" w:eastAsia="宋体" w:cs="宋体"/>
          <w:strike/>
          <w:dstrike w:val="0"/>
          <w:color w:val="auto"/>
          <w:sz w:val="24"/>
          <w:szCs w:val="24"/>
          <w:highlight w:val="none"/>
        </w:rPr>
        <w:sectPr>
          <w:footerReference r:id="rId132" w:type="default"/>
          <w:pgSz w:w="11905" w:h="16840"/>
          <w:pgMar w:top="400" w:right="1417" w:bottom="1255" w:left="1596" w:header="0" w:footer="1093" w:gutter="0"/>
          <w:pgNumType w:fmt="decimal"/>
          <w:cols w:space="720" w:num="1"/>
        </w:sectPr>
      </w:pPr>
    </w:p>
    <w:p w14:paraId="118D4263">
      <w:pPr>
        <w:pStyle w:val="8"/>
        <w:spacing w:line="247" w:lineRule="auto"/>
        <w:rPr>
          <w:color w:val="auto"/>
          <w:highlight w:val="none"/>
        </w:rPr>
      </w:pPr>
    </w:p>
    <w:p w14:paraId="31964EED">
      <w:pPr>
        <w:pStyle w:val="8"/>
        <w:spacing w:line="248" w:lineRule="auto"/>
        <w:rPr>
          <w:color w:val="auto"/>
          <w:highlight w:val="none"/>
        </w:rPr>
      </w:pPr>
    </w:p>
    <w:p w14:paraId="4F27B3B6">
      <w:pPr>
        <w:pStyle w:val="8"/>
        <w:spacing w:line="248" w:lineRule="auto"/>
        <w:rPr>
          <w:color w:val="auto"/>
          <w:highlight w:val="none"/>
        </w:rPr>
      </w:pPr>
    </w:p>
    <w:p w14:paraId="264C0C7D">
      <w:pPr>
        <w:pStyle w:val="8"/>
        <w:spacing w:line="248" w:lineRule="auto"/>
        <w:rPr>
          <w:color w:val="auto"/>
          <w:highlight w:val="none"/>
        </w:rPr>
      </w:pPr>
    </w:p>
    <w:p w14:paraId="2CBABB0F">
      <w:pPr>
        <w:spacing w:before="78" w:line="220" w:lineRule="auto"/>
        <w:ind w:left="15"/>
        <w:outlineLvl w:val="1"/>
        <w:rPr>
          <w:rFonts w:ascii="宋体" w:hAnsi="宋体" w:eastAsia="宋体" w:cs="宋体"/>
          <w:strike/>
          <w:dstrike w:val="0"/>
          <w:color w:val="auto"/>
          <w:sz w:val="24"/>
          <w:szCs w:val="24"/>
          <w:highlight w:val="none"/>
        </w:rPr>
      </w:pPr>
      <w:bookmarkStart w:id="226" w:name="_Toc1363"/>
      <w:r>
        <w:rPr>
          <w:rFonts w:ascii="宋体" w:hAnsi="宋体" w:eastAsia="宋体" w:cs="宋体"/>
          <w:b/>
          <w:bCs/>
          <w:strike/>
          <w:dstrike w:val="0"/>
          <w:color w:val="auto"/>
          <w:spacing w:val="-4"/>
          <w:sz w:val="24"/>
          <w:szCs w:val="24"/>
          <w:highlight w:val="none"/>
        </w:rPr>
        <w:t>（五）近年发生的诉讼及仲裁情况表</w:t>
      </w:r>
      <w:bookmarkEnd w:id="226"/>
    </w:p>
    <w:p w14:paraId="35B76DF0">
      <w:pPr>
        <w:spacing w:before="180" w:line="220" w:lineRule="auto"/>
        <w:ind w:left="2835"/>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近年发生的诉讼及仲裁情况表</w:t>
      </w:r>
    </w:p>
    <w:p w14:paraId="523E8C28">
      <w:pPr>
        <w:spacing w:before="180" w:line="220" w:lineRule="auto"/>
        <w:ind w:left="18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8"/>
          <w:sz w:val="24"/>
          <w:szCs w:val="24"/>
          <w:highlight w:val="none"/>
        </w:rPr>
        <w:t>（近年指</w:t>
      </w:r>
      <w:r>
        <w:rPr>
          <w:rFonts w:ascii="宋体" w:hAnsi="宋体" w:eastAsia="宋体" w:cs="宋体"/>
          <w:strike/>
          <w:dstrike w:val="0"/>
          <w:color w:val="auto"/>
          <w:spacing w:val="-102"/>
          <w:sz w:val="24"/>
          <w:szCs w:val="24"/>
          <w:highlight w:val="none"/>
        </w:rPr>
        <w:t xml:space="preserve"> </w:t>
      </w:r>
      <w:r>
        <w:rPr>
          <w:rFonts w:ascii="宋体" w:hAnsi="宋体" w:eastAsia="宋体" w:cs="宋体"/>
          <w:strike/>
          <w:dstrike w:val="0"/>
          <w:color w:val="auto"/>
          <w:spacing w:val="24"/>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8"/>
          <w:sz w:val="24"/>
          <w:szCs w:val="24"/>
          <w:highlight w:val="none"/>
        </w:rPr>
        <w:t>年</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8"/>
          <w:sz w:val="24"/>
          <w:szCs w:val="24"/>
          <w:highlight w:val="none"/>
        </w:rPr>
        <w:t>月</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8"/>
          <w:sz w:val="24"/>
          <w:szCs w:val="24"/>
          <w:highlight w:val="none"/>
        </w:rPr>
        <w:t>日至投标截止时间）</w:t>
      </w:r>
    </w:p>
    <w:p w14:paraId="4594A0BC">
      <w:pPr>
        <w:spacing w:line="145" w:lineRule="exact"/>
        <w:rPr>
          <w:strike/>
          <w:dstrike w:val="0"/>
          <w:color w:val="auto"/>
          <w:highlight w:val="none"/>
        </w:rPr>
      </w:pPr>
    </w:p>
    <w:tbl>
      <w:tblPr>
        <w:tblStyle w:val="16"/>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2216"/>
        <w:gridCol w:w="1656"/>
        <w:gridCol w:w="1342"/>
        <w:gridCol w:w="1344"/>
        <w:gridCol w:w="1352"/>
      </w:tblGrid>
      <w:tr w14:paraId="44F19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902" w:type="dxa"/>
            <w:tcBorders>
              <w:top w:val="single" w:color="000000" w:sz="6" w:space="0"/>
              <w:left w:val="single" w:color="000000" w:sz="6" w:space="0"/>
            </w:tcBorders>
            <w:noWrap w:val="0"/>
            <w:vAlign w:val="top"/>
          </w:tcPr>
          <w:p w14:paraId="1F9ECC1E">
            <w:pPr>
              <w:pStyle w:val="17"/>
              <w:spacing w:before="274" w:line="221" w:lineRule="auto"/>
              <w:ind w:left="212"/>
              <w:rPr>
                <w:strike/>
                <w:dstrike w:val="0"/>
                <w:color w:val="auto"/>
                <w:sz w:val="24"/>
                <w:szCs w:val="24"/>
                <w:highlight w:val="none"/>
              </w:rPr>
            </w:pPr>
            <w:r>
              <w:rPr>
                <w:strike/>
                <w:dstrike w:val="0"/>
                <w:color w:val="auto"/>
                <w:spacing w:val="-3"/>
                <w:sz w:val="24"/>
                <w:szCs w:val="24"/>
                <w:highlight w:val="none"/>
              </w:rPr>
              <w:t>序号</w:t>
            </w:r>
          </w:p>
        </w:tc>
        <w:tc>
          <w:tcPr>
            <w:tcW w:w="2216" w:type="dxa"/>
            <w:tcBorders>
              <w:top w:val="single" w:color="000000" w:sz="6" w:space="0"/>
            </w:tcBorders>
            <w:noWrap w:val="0"/>
            <w:vAlign w:val="top"/>
          </w:tcPr>
          <w:p w14:paraId="3DC6A70A">
            <w:pPr>
              <w:pStyle w:val="17"/>
              <w:spacing w:before="273" w:line="220" w:lineRule="auto"/>
              <w:ind w:left="269"/>
              <w:rPr>
                <w:strike/>
                <w:dstrike w:val="0"/>
                <w:color w:val="auto"/>
                <w:sz w:val="24"/>
                <w:szCs w:val="24"/>
                <w:highlight w:val="none"/>
              </w:rPr>
            </w:pPr>
            <w:r>
              <w:rPr>
                <w:strike/>
                <w:dstrike w:val="0"/>
                <w:color w:val="auto"/>
                <w:spacing w:val="-2"/>
                <w:sz w:val="24"/>
                <w:szCs w:val="24"/>
                <w:highlight w:val="none"/>
              </w:rPr>
              <w:t>诉讼或仲裁事项</w:t>
            </w:r>
          </w:p>
        </w:tc>
        <w:tc>
          <w:tcPr>
            <w:tcW w:w="1656" w:type="dxa"/>
            <w:tcBorders>
              <w:top w:val="single" w:color="000000" w:sz="6" w:space="0"/>
            </w:tcBorders>
            <w:noWrap w:val="0"/>
            <w:vAlign w:val="top"/>
          </w:tcPr>
          <w:p w14:paraId="5EC528E3">
            <w:pPr>
              <w:pStyle w:val="17"/>
              <w:spacing w:before="42" w:line="342" w:lineRule="auto"/>
              <w:ind w:left="493" w:right="106" w:hanging="380"/>
              <w:rPr>
                <w:strike/>
                <w:dstrike w:val="0"/>
                <w:color w:val="auto"/>
                <w:sz w:val="24"/>
                <w:szCs w:val="24"/>
                <w:highlight w:val="none"/>
              </w:rPr>
            </w:pPr>
            <w:r>
              <w:rPr>
                <w:strike/>
                <w:dstrike w:val="0"/>
                <w:color w:val="auto"/>
                <w:spacing w:val="-2"/>
                <w:sz w:val="24"/>
                <w:szCs w:val="24"/>
                <w:highlight w:val="none"/>
              </w:rPr>
              <w:t>诉讼或仲裁中</w:t>
            </w:r>
            <w:r>
              <w:rPr>
                <w:strike/>
                <w:dstrike w:val="0"/>
                <w:color w:val="auto"/>
                <w:spacing w:val="2"/>
                <w:sz w:val="24"/>
                <w:szCs w:val="24"/>
                <w:highlight w:val="none"/>
              </w:rPr>
              <w:t xml:space="preserve"> </w:t>
            </w:r>
            <w:r>
              <w:rPr>
                <w:strike/>
                <w:dstrike w:val="0"/>
                <w:color w:val="auto"/>
                <w:spacing w:val="-7"/>
                <w:sz w:val="24"/>
                <w:szCs w:val="24"/>
                <w:highlight w:val="none"/>
              </w:rPr>
              <w:t>的地位</w:t>
            </w:r>
          </w:p>
        </w:tc>
        <w:tc>
          <w:tcPr>
            <w:tcW w:w="1342" w:type="dxa"/>
            <w:tcBorders>
              <w:top w:val="single" w:color="000000" w:sz="6" w:space="0"/>
            </w:tcBorders>
            <w:noWrap w:val="0"/>
            <w:vAlign w:val="top"/>
          </w:tcPr>
          <w:p w14:paraId="75E04388">
            <w:pPr>
              <w:pStyle w:val="17"/>
              <w:spacing w:before="274" w:line="222" w:lineRule="auto"/>
              <w:ind w:left="441"/>
              <w:rPr>
                <w:strike/>
                <w:dstrike w:val="0"/>
                <w:color w:val="auto"/>
                <w:sz w:val="24"/>
                <w:szCs w:val="24"/>
                <w:highlight w:val="none"/>
              </w:rPr>
            </w:pPr>
            <w:r>
              <w:rPr>
                <w:strike/>
                <w:dstrike w:val="0"/>
                <w:color w:val="auto"/>
                <w:spacing w:val="-3"/>
                <w:sz w:val="24"/>
                <w:szCs w:val="24"/>
                <w:highlight w:val="none"/>
              </w:rPr>
              <w:t>缘由</w:t>
            </w:r>
          </w:p>
        </w:tc>
        <w:tc>
          <w:tcPr>
            <w:tcW w:w="1344" w:type="dxa"/>
            <w:tcBorders>
              <w:top w:val="single" w:color="000000" w:sz="6" w:space="0"/>
            </w:tcBorders>
            <w:noWrap w:val="0"/>
            <w:vAlign w:val="top"/>
          </w:tcPr>
          <w:p w14:paraId="6760C2D1">
            <w:pPr>
              <w:pStyle w:val="17"/>
              <w:spacing w:before="274" w:line="220" w:lineRule="auto"/>
              <w:ind w:left="447"/>
              <w:rPr>
                <w:strike/>
                <w:dstrike w:val="0"/>
                <w:color w:val="auto"/>
                <w:sz w:val="24"/>
                <w:szCs w:val="24"/>
                <w:highlight w:val="none"/>
              </w:rPr>
            </w:pPr>
            <w:r>
              <w:rPr>
                <w:strike/>
                <w:dstrike w:val="0"/>
                <w:color w:val="auto"/>
                <w:spacing w:val="-4"/>
                <w:sz w:val="24"/>
                <w:szCs w:val="24"/>
                <w:highlight w:val="none"/>
              </w:rPr>
              <w:t>结果</w:t>
            </w:r>
          </w:p>
        </w:tc>
        <w:tc>
          <w:tcPr>
            <w:tcW w:w="1352" w:type="dxa"/>
            <w:tcBorders>
              <w:top w:val="single" w:color="000000" w:sz="6" w:space="0"/>
              <w:right w:val="single" w:color="000000" w:sz="6" w:space="0"/>
            </w:tcBorders>
            <w:noWrap w:val="0"/>
            <w:vAlign w:val="top"/>
          </w:tcPr>
          <w:p w14:paraId="6FB4E4E3">
            <w:pPr>
              <w:pStyle w:val="17"/>
              <w:spacing w:before="274" w:line="221" w:lineRule="auto"/>
              <w:ind w:left="444"/>
              <w:rPr>
                <w:strike/>
                <w:dstrike w:val="0"/>
                <w:color w:val="auto"/>
                <w:sz w:val="24"/>
                <w:szCs w:val="24"/>
                <w:highlight w:val="none"/>
              </w:rPr>
            </w:pPr>
            <w:r>
              <w:rPr>
                <w:strike/>
                <w:dstrike w:val="0"/>
                <w:color w:val="auto"/>
                <w:spacing w:val="-4"/>
                <w:sz w:val="24"/>
                <w:szCs w:val="24"/>
                <w:highlight w:val="none"/>
              </w:rPr>
              <w:t>备注</w:t>
            </w:r>
          </w:p>
        </w:tc>
      </w:tr>
      <w:tr w14:paraId="0BF9B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1390A0D5">
            <w:pPr>
              <w:pStyle w:val="17"/>
              <w:spacing w:before="165" w:line="185" w:lineRule="exact"/>
              <w:ind w:left="337"/>
              <w:rPr>
                <w:strike/>
                <w:dstrike w:val="0"/>
                <w:color w:val="auto"/>
                <w:sz w:val="24"/>
                <w:szCs w:val="24"/>
                <w:highlight w:val="none"/>
              </w:rPr>
            </w:pPr>
            <w:r>
              <w:rPr>
                <w:strike/>
                <w:dstrike w:val="0"/>
                <w:color w:val="auto"/>
                <w:position w:val="-5"/>
                <w:sz w:val="24"/>
                <w:szCs w:val="24"/>
                <w:highlight w:val="none"/>
              </w:rPr>
              <w:t>一</w:t>
            </w:r>
          </w:p>
        </w:tc>
        <w:tc>
          <w:tcPr>
            <w:tcW w:w="2216" w:type="dxa"/>
            <w:noWrap w:val="0"/>
            <w:vAlign w:val="top"/>
          </w:tcPr>
          <w:p w14:paraId="3D2E56DA">
            <w:pPr>
              <w:pStyle w:val="17"/>
              <w:spacing w:before="75" w:line="220" w:lineRule="auto"/>
              <w:ind w:left="629"/>
              <w:rPr>
                <w:strike/>
                <w:dstrike w:val="0"/>
                <w:color w:val="auto"/>
                <w:sz w:val="24"/>
                <w:szCs w:val="24"/>
                <w:highlight w:val="none"/>
              </w:rPr>
            </w:pPr>
            <w:r>
              <w:rPr>
                <w:strike/>
                <w:dstrike w:val="0"/>
                <w:color w:val="auto"/>
                <w:spacing w:val="-2"/>
                <w:sz w:val="24"/>
                <w:szCs w:val="24"/>
                <w:highlight w:val="none"/>
              </w:rPr>
              <w:t>诉讼事项</w:t>
            </w:r>
          </w:p>
        </w:tc>
        <w:tc>
          <w:tcPr>
            <w:tcW w:w="1656" w:type="dxa"/>
            <w:noWrap w:val="0"/>
            <w:vAlign w:val="top"/>
          </w:tcPr>
          <w:p w14:paraId="26FD6694">
            <w:pPr>
              <w:rPr>
                <w:rFonts w:ascii="Arial"/>
                <w:strike/>
                <w:dstrike w:val="0"/>
                <w:color w:val="auto"/>
                <w:sz w:val="21"/>
                <w:highlight w:val="none"/>
              </w:rPr>
            </w:pPr>
          </w:p>
        </w:tc>
        <w:tc>
          <w:tcPr>
            <w:tcW w:w="1342" w:type="dxa"/>
            <w:noWrap w:val="0"/>
            <w:vAlign w:val="top"/>
          </w:tcPr>
          <w:p w14:paraId="796BF8DC">
            <w:pPr>
              <w:rPr>
                <w:rFonts w:ascii="Arial"/>
                <w:strike/>
                <w:dstrike w:val="0"/>
                <w:color w:val="auto"/>
                <w:sz w:val="21"/>
                <w:highlight w:val="none"/>
              </w:rPr>
            </w:pPr>
          </w:p>
        </w:tc>
        <w:tc>
          <w:tcPr>
            <w:tcW w:w="1344" w:type="dxa"/>
            <w:noWrap w:val="0"/>
            <w:vAlign w:val="top"/>
          </w:tcPr>
          <w:p w14:paraId="7EDFBD6B">
            <w:pPr>
              <w:rPr>
                <w:rFonts w:ascii="Arial"/>
                <w:strike/>
                <w:dstrike w:val="0"/>
                <w:color w:val="auto"/>
                <w:sz w:val="21"/>
                <w:highlight w:val="none"/>
              </w:rPr>
            </w:pPr>
          </w:p>
        </w:tc>
        <w:tc>
          <w:tcPr>
            <w:tcW w:w="1352" w:type="dxa"/>
            <w:tcBorders>
              <w:right w:val="single" w:color="000000" w:sz="6" w:space="0"/>
            </w:tcBorders>
            <w:noWrap w:val="0"/>
            <w:vAlign w:val="top"/>
          </w:tcPr>
          <w:p w14:paraId="5A078E60">
            <w:pPr>
              <w:rPr>
                <w:rFonts w:ascii="Arial"/>
                <w:strike/>
                <w:dstrike w:val="0"/>
                <w:color w:val="auto"/>
                <w:sz w:val="21"/>
                <w:highlight w:val="none"/>
              </w:rPr>
            </w:pPr>
          </w:p>
        </w:tc>
      </w:tr>
      <w:tr w14:paraId="02582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noWrap w:val="0"/>
            <w:vAlign w:val="top"/>
          </w:tcPr>
          <w:p w14:paraId="05048770">
            <w:pPr>
              <w:rPr>
                <w:rFonts w:ascii="Arial"/>
                <w:strike/>
                <w:dstrike w:val="0"/>
                <w:color w:val="auto"/>
                <w:sz w:val="21"/>
                <w:highlight w:val="none"/>
              </w:rPr>
            </w:pPr>
          </w:p>
        </w:tc>
        <w:tc>
          <w:tcPr>
            <w:tcW w:w="2216" w:type="dxa"/>
            <w:noWrap w:val="0"/>
            <w:vAlign w:val="top"/>
          </w:tcPr>
          <w:p w14:paraId="5275DCA8">
            <w:pPr>
              <w:rPr>
                <w:rFonts w:ascii="Arial"/>
                <w:strike/>
                <w:dstrike w:val="0"/>
                <w:color w:val="auto"/>
                <w:sz w:val="21"/>
                <w:highlight w:val="none"/>
              </w:rPr>
            </w:pPr>
          </w:p>
        </w:tc>
        <w:tc>
          <w:tcPr>
            <w:tcW w:w="1656" w:type="dxa"/>
            <w:noWrap w:val="0"/>
            <w:vAlign w:val="top"/>
          </w:tcPr>
          <w:p w14:paraId="3F488470">
            <w:pPr>
              <w:rPr>
                <w:rFonts w:ascii="Arial"/>
                <w:strike/>
                <w:dstrike w:val="0"/>
                <w:color w:val="auto"/>
                <w:sz w:val="21"/>
                <w:highlight w:val="none"/>
              </w:rPr>
            </w:pPr>
          </w:p>
        </w:tc>
        <w:tc>
          <w:tcPr>
            <w:tcW w:w="1342" w:type="dxa"/>
            <w:noWrap w:val="0"/>
            <w:vAlign w:val="top"/>
          </w:tcPr>
          <w:p w14:paraId="53376D10">
            <w:pPr>
              <w:rPr>
                <w:rFonts w:ascii="Arial"/>
                <w:strike/>
                <w:dstrike w:val="0"/>
                <w:color w:val="auto"/>
                <w:sz w:val="21"/>
                <w:highlight w:val="none"/>
              </w:rPr>
            </w:pPr>
          </w:p>
        </w:tc>
        <w:tc>
          <w:tcPr>
            <w:tcW w:w="1344" w:type="dxa"/>
            <w:noWrap w:val="0"/>
            <w:vAlign w:val="top"/>
          </w:tcPr>
          <w:p w14:paraId="549A623E">
            <w:pPr>
              <w:rPr>
                <w:rFonts w:ascii="Arial"/>
                <w:strike/>
                <w:dstrike w:val="0"/>
                <w:color w:val="auto"/>
                <w:sz w:val="21"/>
                <w:highlight w:val="none"/>
              </w:rPr>
            </w:pPr>
          </w:p>
        </w:tc>
        <w:tc>
          <w:tcPr>
            <w:tcW w:w="1352" w:type="dxa"/>
            <w:tcBorders>
              <w:right w:val="single" w:color="000000" w:sz="6" w:space="0"/>
            </w:tcBorders>
            <w:noWrap w:val="0"/>
            <w:vAlign w:val="top"/>
          </w:tcPr>
          <w:p w14:paraId="0397956A">
            <w:pPr>
              <w:rPr>
                <w:rFonts w:ascii="Arial"/>
                <w:strike/>
                <w:dstrike w:val="0"/>
                <w:color w:val="auto"/>
                <w:sz w:val="21"/>
                <w:highlight w:val="none"/>
              </w:rPr>
            </w:pPr>
          </w:p>
        </w:tc>
      </w:tr>
      <w:tr w14:paraId="34016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902" w:type="dxa"/>
            <w:tcBorders>
              <w:left w:val="single" w:color="000000" w:sz="6" w:space="0"/>
            </w:tcBorders>
            <w:noWrap w:val="0"/>
            <w:vAlign w:val="top"/>
          </w:tcPr>
          <w:p w14:paraId="5FC3FC3B">
            <w:pPr>
              <w:rPr>
                <w:rFonts w:ascii="Arial"/>
                <w:strike/>
                <w:dstrike w:val="0"/>
                <w:color w:val="auto"/>
                <w:sz w:val="21"/>
                <w:highlight w:val="none"/>
              </w:rPr>
            </w:pPr>
          </w:p>
        </w:tc>
        <w:tc>
          <w:tcPr>
            <w:tcW w:w="2216" w:type="dxa"/>
            <w:noWrap w:val="0"/>
            <w:vAlign w:val="top"/>
          </w:tcPr>
          <w:p w14:paraId="430FC3DD">
            <w:pPr>
              <w:rPr>
                <w:rFonts w:ascii="Arial"/>
                <w:strike/>
                <w:dstrike w:val="0"/>
                <w:color w:val="auto"/>
                <w:sz w:val="21"/>
                <w:highlight w:val="none"/>
              </w:rPr>
            </w:pPr>
          </w:p>
        </w:tc>
        <w:tc>
          <w:tcPr>
            <w:tcW w:w="1656" w:type="dxa"/>
            <w:noWrap w:val="0"/>
            <w:vAlign w:val="top"/>
          </w:tcPr>
          <w:p w14:paraId="5D9E87D9">
            <w:pPr>
              <w:rPr>
                <w:rFonts w:ascii="Arial"/>
                <w:strike/>
                <w:dstrike w:val="0"/>
                <w:color w:val="auto"/>
                <w:sz w:val="21"/>
                <w:highlight w:val="none"/>
              </w:rPr>
            </w:pPr>
          </w:p>
        </w:tc>
        <w:tc>
          <w:tcPr>
            <w:tcW w:w="1342" w:type="dxa"/>
            <w:noWrap w:val="0"/>
            <w:vAlign w:val="top"/>
          </w:tcPr>
          <w:p w14:paraId="44D625A5">
            <w:pPr>
              <w:rPr>
                <w:rFonts w:ascii="Arial"/>
                <w:strike/>
                <w:dstrike w:val="0"/>
                <w:color w:val="auto"/>
                <w:sz w:val="21"/>
                <w:highlight w:val="none"/>
              </w:rPr>
            </w:pPr>
          </w:p>
        </w:tc>
        <w:tc>
          <w:tcPr>
            <w:tcW w:w="1344" w:type="dxa"/>
            <w:noWrap w:val="0"/>
            <w:vAlign w:val="top"/>
          </w:tcPr>
          <w:p w14:paraId="232292C2">
            <w:pPr>
              <w:rPr>
                <w:rFonts w:ascii="Arial"/>
                <w:strike/>
                <w:dstrike w:val="0"/>
                <w:color w:val="auto"/>
                <w:sz w:val="21"/>
                <w:highlight w:val="none"/>
              </w:rPr>
            </w:pPr>
          </w:p>
        </w:tc>
        <w:tc>
          <w:tcPr>
            <w:tcW w:w="1352" w:type="dxa"/>
            <w:tcBorders>
              <w:right w:val="single" w:color="000000" w:sz="6" w:space="0"/>
            </w:tcBorders>
            <w:noWrap w:val="0"/>
            <w:vAlign w:val="top"/>
          </w:tcPr>
          <w:p w14:paraId="75FD6042">
            <w:pPr>
              <w:rPr>
                <w:rFonts w:ascii="Arial"/>
                <w:strike/>
                <w:dstrike w:val="0"/>
                <w:color w:val="auto"/>
                <w:sz w:val="21"/>
                <w:highlight w:val="none"/>
              </w:rPr>
            </w:pPr>
          </w:p>
        </w:tc>
      </w:tr>
      <w:tr w14:paraId="0DFC2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0BD50297">
            <w:pPr>
              <w:rPr>
                <w:rFonts w:ascii="Arial"/>
                <w:strike/>
                <w:dstrike w:val="0"/>
                <w:color w:val="auto"/>
                <w:sz w:val="21"/>
                <w:highlight w:val="none"/>
              </w:rPr>
            </w:pPr>
          </w:p>
        </w:tc>
        <w:tc>
          <w:tcPr>
            <w:tcW w:w="2216" w:type="dxa"/>
            <w:noWrap w:val="0"/>
            <w:vAlign w:val="top"/>
          </w:tcPr>
          <w:p w14:paraId="3D6565BA">
            <w:pPr>
              <w:rPr>
                <w:rFonts w:ascii="Arial"/>
                <w:strike/>
                <w:dstrike w:val="0"/>
                <w:color w:val="auto"/>
                <w:sz w:val="21"/>
                <w:highlight w:val="none"/>
              </w:rPr>
            </w:pPr>
          </w:p>
        </w:tc>
        <w:tc>
          <w:tcPr>
            <w:tcW w:w="1656" w:type="dxa"/>
            <w:noWrap w:val="0"/>
            <w:vAlign w:val="top"/>
          </w:tcPr>
          <w:p w14:paraId="2CB5ADED">
            <w:pPr>
              <w:rPr>
                <w:rFonts w:ascii="Arial"/>
                <w:strike/>
                <w:dstrike w:val="0"/>
                <w:color w:val="auto"/>
                <w:sz w:val="21"/>
                <w:highlight w:val="none"/>
              </w:rPr>
            </w:pPr>
          </w:p>
        </w:tc>
        <w:tc>
          <w:tcPr>
            <w:tcW w:w="1342" w:type="dxa"/>
            <w:noWrap w:val="0"/>
            <w:vAlign w:val="top"/>
          </w:tcPr>
          <w:p w14:paraId="5471674A">
            <w:pPr>
              <w:rPr>
                <w:rFonts w:ascii="Arial"/>
                <w:strike/>
                <w:dstrike w:val="0"/>
                <w:color w:val="auto"/>
                <w:sz w:val="21"/>
                <w:highlight w:val="none"/>
              </w:rPr>
            </w:pPr>
          </w:p>
        </w:tc>
        <w:tc>
          <w:tcPr>
            <w:tcW w:w="1344" w:type="dxa"/>
            <w:noWrap w:val="0"/>
            <w:vAlign w:val="top"/>
          </w:tcPr>
          <w:p w14:paraId="25E7A79F">
            <w:pPr>
              <w:rPr>
                <w:rFonts w:ascii="Arial"/>
                <w:strike/>
                <w:dstrike w:val="0"/>
                <w:color w:val="auto"/>
                <w:sz w:val="21"/>
                <w:highlight w:val="none"/>
              </w:rPr>
            </w:pPr>
          </w:p>
        </w:tc>
        <w:tc>
          <w:tcPr>
            <w:tcW w:w="1352" w:type="dxa"/>
            <w:tcBorders>
              <w:right w:val="single" w:color="000000" w:sz="6" w:space="0"/>
            </w:tcBorders>
            <w:noWrap w:val="0"/>
            <w:vAlign w:val="top"/>
          </w:tcPr>
          <w:p w14:paraId="7605FAC8">
            <w:pPr>
              <w:rPr>
                <w:rFonts w:ascii="Arial"/>
                <w:strike/>
                <w:dstrike w:val="0"/>
                <w:color w:val="auto"/>
                <w:sz w:val="21"/>
                <w:highlight w:val="none"/>
              </w:rPr>
            </w:pPr>
          </w:p>
        </w:tc>
      </w:tr>
      <w:tr w14:paraId="76194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noWrap w:val="0"/>
            <w:vAlign w:val="top"/>
          </w:tcPr>
          <w:p w14:paraId="7711AB10">
            <w:pPr>
              <w:rPr>
                <w:rFonts w:ascii="Arial"/>
                <w:strike/>
                <w:dstrike w:val="0"/>
                <w:color w:val="auto"/>
                <w:sz w:val="21"/>
                <w:highlight w:val="none"/>
              </w:rPr>
            </w:pPr>
          </w:p>
        </w:tc>
        <w:tc>
          <w:tcPr>
            <w:tcW w:w="2216" w:type="dxa"/>
            <w:noWrap w:val="0"/>
            <w:vAlign w:val="top"/>
          </w:tcPr>
          <w:p w14:paraId="7BB9E926">
            <w:pPr>
              <w:rPr>
                <w:rFonts w:ascii="Arial"/>
                <w:strike/>
                <w:dstrike w:val="0"/>
                <w:color w:val="auto"/>
                <w:sz w:val="21"/>
                <w:highlight w:val="none"/>
              </w:rPr>
            </w:pPr>
          </w:p>
        </w:tc>
        <w:tc>
          <w:tcPr>
            <w:tcW w:w="1656" w:type="dxa"/>
            <w:noWrap w:val="0"/>
            <w:vAlign w:val="top"/>
          </w:tcPr>
          <w:p w14:paraId="0EC13179">
            <w:pPr>
              <w:rPr>
                <w:rFonts w:ascii="Arial"/>
                <w:strike/>
                <w:dstrike w:val="0"/>
                <w:color w:val="auto"/>
                <w:sz w:val="21"/>
                <w:highlight w:val="none"/>
              </w:rPr>
            </w:pPr>
          </w:p>
        </w:tc>
        <w:tc>
          <w:tcPr>
            <w:tcW w:w="1342" w:type="dxa"/>
            <w:noWrap w:val="0"/>
            <w:vAlign w:val="top"/>
          </w:tcPr>
          <w:p w14:paraId="4123E959">
            <w:pPr>
              <w:rPr>
                <w:rFonts w:ascii="Arial"/>
                <w:strike/>
                <w:dstrike w:val="0"/>
                <w:color w:val="auto"/>
                <w:sz w:val="21"/>
                <w:highlight w:val="none"/>
              </w:rPr>
            </w:pPr>
          </w:p>
        </w:tc>
        <w:tc>
          <w:tcPr>
            <w:tcW w:w="1344" w:type="dxa"/>
            <w:noWrap w:val="0"/>
            <w:vAlign w:val="top"/>
          </w:tcPr>
          <w:p w14:paraId="56ED18A7">
            <w:pPr>
              <w:rPr>
                <w:rFonts w:ascii="Arial"/>
                <w:strike/>
                <w:dstrike w:val="0"/>
                <w:color w:val="auto"/>
                <w:sz w:val="21"/>
                <w:highlight w:val="none"/>
              </w:rPr>
            </w:pPr>
          </w:p>
        </w:tc>
        <w:tc>
          <w:tcPr>
            <w:tcW w:w="1352" w:type="dxa"/>
            <w:tcBorders>
              <w:right w:val="single" w:color="000000" w:sz="6" w:space="0"/>
            </w:tcBorders>
            <w:noWrap w:val="0"/>
            <w:vAlign w:val="top"/>
          </w:tcPr>
          <w:p w14:paraId="7C9B3BF9">
            <w:pPr>
              <w:rPr>
                <w:rFonts w:ascii="Arial"/>
                <w:strike/>
                <w:dstrike w:val="0"/>
                <w:color w:val="auto"/>
                <w:sz w:val="21"/>
                <w:highlight w:val="none"/>
              </w:rPr>
            </w:pPr>
          </w:p>
        </w:tc>
      </w:tr>
      <w:tr w14:paraId="29289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3E395BB7">
            <w:pPr>
              <w:rPr>
                <w:rFonts w:ascii="Arial"/>
                <w:strike/>
                <w:dstrike w:val="0"/>
                <w:color w:val="auto"/>
                <w:sz w:val="21"/>
                <w:highlight w:val="none"/>
              </w:rPr>
            </w:pPr>
          </w:p>
        </w:tc>
        <w:tc>
          <w:tcPr>
            <w:tcW w:w="2216" w:type="dxa"/>
            <w:noWrap w:val="0"/>
            <w:vAlign w:val="top"/>
          </w:tcPr>
          <w:p w14:paraId="55F77748">
            <w:pPr>
              <w:rPr>
                <w:rFonts w:ascii="Arial"/>
                <w:strike/>
                <w:dstrike w:val="0"/>
                <w:color w:val="auto"/>
                <w:sz w:val="21"/>
                <w:highlight w:val="none"/>
              </w:rPr>
            </w:pPr>
          </w:p>
        </w:tc>
        <w:tc>
          <w:tcPr>
            <w:tcW w:w="1656" w:type="dxa"/>
            <w:noWrap w:val="0"/>
            <w:vAlign w:val="top"/>
          </w:tcPr>
          <w:p w14:paraId="5B1700BA">
            <w:pPr>
              <w:rPr>
                <w:rFonts w:ascii="Arial"/>
                <w:strike/>
                <w:dstrike w:val="0"/>
                <w:color w:val="auto"/>
                <w:sz w:val="21"/>
                <w:highlight w:val="none"/>
              </w:rPr>
            </w:pPr>
          </w:p>
        </w:tc>
        <w:tc>
          <w:tcPr>
            <w:tcW w:w="1342" w:type="dxa"/>
            <w:noWrap w:val="0"/>
            <w:vAlign w:val="top"/>
          </w:tcPr>
          <w:p w14:paraId="44DD8878">
            <w:pPr>
              <w:rPr>
                <w:rFonts w:ascii="Arial"/>
                <w:strike/>
                <w:dstrike w:val="0"/>
                <w:color w:val="auto"/>
                <w:sz w:val="21"/>
                <w:highlight w:val="none"/>
              </w:rPr>
            </w:pPr>
          </w:p>
        </w:tc>
        <w:tc>
          <w:tcPr>
            <w:tcW w:w="1344" w:type="dxa"/>
            <w:noWrap w:val="0"/>
            <w:vAlign w:val="top"/>
          </w:tcPr>
          <w:p w14:paraId="7018A315">
            <w:pPr>
              <w:rPr>
                <w:rFonts w:ascii="Arial"/>
                <w:strike/>
                <w:dstrike w:val="0"/>
                <w:color w:val="auto"/>
                <w:sz w:val="21"/>
                <w:highlight w:val="none"/>
              </w:rPr>
            </w:pPr>
          </w:p>
        </w:tc>
        <w:tc>
          <w:tcPr>
            <w:tcW w:w="1352" w:type="dxa"/>
            <w:tcBorders>
              <w:right w:val="single" w:color="000000" w:sz="6" w:space="0"/>
            </w:tcBorders>
            <w:noWrap w:val="0"/>
            <w:vAlign w:val="top"/>
          </w:tcPr>
          <w:p w14:paraId="47F1E173">
            <w:pPr>
              <w:rPr>
                <w:rFonts w:ascii="Arial"/>
                <w:strike/>
                <w:dstrike w:val="0"/>
                <w:color w:val="auto"/>
                <w:sz w:val="21"/>
                <w:highlight w:val="none"/>
              </w:rPr>
            </w:pPr>
          </w:p>
        </w:tc>
      </w:tr>
      <w:tr w14:paraId="3422C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3996C6B1">
            <w:pPr>
              <w:rPr>
                <w:rFonts w:ascii="Arial"/>
                <w:strike/>
                <w:dstrike w:val="0"/>
                <w:color w:val="auto"/>
                <w:sz w:val="21"/>
                <w:highlight w:val="none"/>
              </w:rPr>
            </w:pPr>
          </w:p>
        </w:tc>
        <w:tc>
          <w:tcPr>
            <w:tcW w:w="2216" w:type="dxa"/>
            <w:noWrap w:val="0"/>
            <w:vAlign w:val="top"/>
          </w:tcPr>
          <w:p w14:paraId="6F98EA0D">
            <w:pPr>
              <w:rPr>
                <w:rFonts w:ascii="Arial"/>
                <w:strike/>
                <w:dstrike w:val="0"/>
                <w:color w:val="auto"/>
                <w:sz w:val="21"/>
                <w:highlight w:val="none"/>
              </w:rPr>
            </w:pPr>
          </w:p>
        </w:tc>
        <w:tc>
          <w:tcPr>
            <w:tcW w:w="1656" w:type="dxa"/>
            <w:noWrap w:val="0"/>
            <w:vAlign w:val="top"/>
          </w:tcPr>
          <w:p w14:paraId="31E0A458">
            <w:pPr>
              <w:rPr>
                <w:rFonts w:ascii="Arial"/>
                <w:strike/>
                <w:dstrike w:val="0"/>
                <w:color w:val="auto"/>
                <w:sz w:val="21"/>
                <w:highlight w:val="none"/>
              </w:rPr>
            </w:pPr>
          </w:p>
        </w:tc>
        <w:tc>
          <w:tcPr>
            <w:tcW w:w="1342" w:type="dxa"/>
            <w:noWrap w:val="0"/>
            <w:vAlign w:val="top"/>
          </w:tcPr>
          <w:p w14:paraId="0939E370">
            <w:pPr>
              <w:rPr>
                <w:rFonts w:ascii="Arial"/>
                <w:strike/>
                <w:dstrike w:val="0"/>
                <w:color w:val="auto"/>
                <w:sz w:val="21"/>
                <w:highlight w:val="none"/>
              </w:rPr>
            </w:pPr>
          </w:p>
        </w:tc>
        <w:tc>
          <w:tcPr>
            <w:tcW w:w="1344" w:type="dxa"/>
            <w:noWrap w:val="0"/>
            <w:vAlign w:val="top"/>
          </w:tcPr>
          <w:p w14:paraId="540BD78E">
            <w:pPr>
              <w:rPr>
                <w:rFonts w:ascii="Arial"/>
                <w:strike/>
                <w:dstrike w:val="0"/>
                <w:color w:val="auto"/>
                <w:sz w:val="21"/>
                <w:highlight w:val="none"/>
              </w:rPr>
            </w:pPr>
          </w:p>
        </w:tc>
        <w:tc>
          <w:tcPr>
            <w:tcW w:w="1352" w:type="dxa"/>
            <w:tcBorders>
              <w:right w:val="single" w:color="000000" w:sz="6" w:space="0"/>
            </w:tcBorders>
            <w:noWrap w:val="0"/>
            <w:vAlign w:val="top"/>
          </w:tcPr>
          <w:p w14:paraId="7BAFE505">
            <w:pPr>
              <w:rPr>
                <w:rFonts w:ascii="Arial"/>
                <w:strike/>
                <w:dstrike w:val="0"/>
                <w:color w:val="auto"/>
                <w:sz w:val="21"/>
                <w:highlight w:val="none"/>
              </w:rPr>
            </w:pPr>
          </w:p>
        </w:tc>
      </w:tr>
      <w:tr w14:paraId="3C961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noWrap w:val="0"/>
            <w:vAlign w:val="top"/>
          </w:tcPr>
          <w:p w14:paraId="15FE7E0B">
            <w:pPr>
              <w:rPr>
                <w:rFonts w:ascii="Arial"/>
                <w:strike/>
                <w:dstrike w:val="0"/>
                <w:color w:val="auto"/>
                <w:sz w:val="21"/>
                <w:highlight w:val="none"/>
              </w:rPr>
            </w:pPr>
          </w:p>
        </w:tc>
        <w:tc>
          <w:tcPr>
            <w:tcW w:w="2216" w:type="dxa"/>
            <w:noWrap w:val="0"/>
            <w:vAlign w:val="top"/>
          </w:tcPr>
          <w:p w14:paraId="12C01D85">
            <w:pPr>
              <w:rPr>
                <w:rFonts w:ascii="Arial"/>
                <w:strike/>
                <w:dstrike w:val="0"/>
                <w:color w:val="auto"/>
                <w:sz w:val="21"/>
                <w:highlight w:val="none"/>
              </w:rPr>
            </w:pPr>
          </w:p>
        </w:tc>
        <w:tc>
          <w:tcPr>
            <w:tcW w:w="1656" w:type="dxa"/>
            <w:noWrap w:val="0"/>
            <w:vAlign w:val="top"/>
          </w:tcPr>
          <w:p w14:paraId="2493EEC0">
            <w:pPr>
              <w:rPr>
                <w:rFonts w:ascii="Arial"/>
                <w:strike/>
                <w:dstrike w:val="0"/>
                <w:color w:val="auto"/>
                <w:sz w:val="21"/>
                <w:highlight w:val="none"/>
              </w:rPr>
            </w:pPr>
          </w:p>
        </w:tc>
        <w:tc>
          <w:tcPr>
            <w:tcW w:w="1342" w:type="dxa"/>
            <w:noWrap w:val="0"/>
            <w:vAlign w:val="top"/>
          </w:tcPr>
          <w:p w14:paraId="2D20E121">
            <w:pPr>
              <w:rPr>
                <w:rFonts w:ascii="Arial"/>
                <w:strike/>
                <w:dstrike w:val="0"/>
                <w:color w:val="auto"/>
                <w:sz w:val="21"/>
                <w:highlight w:val="none"/>
              </w:rPr>
            </w:pPr>
          </w:p>
        </w:tc>
        <w:tc>
          <w:tcPr>
            <w:tcW w:w="1344" w:type="dxa"/>
            <w:noWrap w:val="0"/>
            <w:vAlign w:val="top"/>
          </w:tcPr>
          <w:p w14:paraId="7C621AE4">
            <w:pPr>
              <w:rPr>
                <w:rFonts w:ascii="Arial"/>
                <w:strike/>
                <w:dstrike w:val="0"/>
                <w:color w:val="auto"/>
                <w:sz w:val="21"/>
                <w:highlight w:val="none"/>
              </w:rPr>
            </w:pPr>
          </w:p>
        </w:tc>
        <w:tc>
          <w:tcPr>
            <w:tcW w:w="1352" w:type="dxa"/>
            <w:tcBorders>
              <w:right w:val="single" w:color="000000" w:sz="6" w:space="0"/>
            </w:tcBorders>
            <w:noWrap w:val="0"/>
            <w:vAlign w:val="top"/>
          </w:tcPr>
          <w:p w14:paraId="430945DA">
            <w:pPr>
              <w:rPr>
                <w:rFonts w:ascii="Arial"/>
                <w:strike/>
                <w:dstrike w:val="0"/>
                <w:color w:val="auto"/>
                <w:sz w:val="21"/>
                <w:highlight w:val="none"/>
              </w:rPr>
            </w:pPr>
          </w:p>
        </w:tc>
      </w:tr>
      <w:tr w14:paraId="1D49A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5D861E9D">
            <w:pPr>
              <w:rPr>
                <w:rFonts w:ascii="Arial"/>
                <w:strike/>
                <w:dstrike w:val="0"/>
                <w:color w:val="auto"/>
                <w:sz w:val="21"/>
                <w:highlight w:val="none"/>
              </w:rPr>
            </w:pPr>
          </w:p>
        </w:tc>
        <w:tc>
          <w:tcPr>
            <w:tcW w:w="2216" w:type="dxa"/>
            <w:noWrap w:val="0"/>
            <w:vAlign w:val="top"/>
          </w:tcPr>
          <w:p w14:paraId="7317EB65">
            <w:pPr>
              <w:rPr>
                <w:rFonts w:ascii="Arial"/>
                <w:strike/>
                <w:dstrike w:val="0"/>
                <w:color w:val="auto"/>
                <w:sz w:val="21"/>
                <w:highlight w:val="none"/>
              </w:rPr>
            </w:pPr>
          </w:p>
        </w:tc>
        <w:tc>
          <w:tcPr>
            <w:tcW w:w="1656" w:type="dxa"/>
            <w:noWrap w:val="0"/>
            <w:vAlign w:val="top"/>
          </w:tcPr>
          <w:p w14:paraId="13764181">
            <w:pPr>
              <w:rPr>
                <w:rFonts w:ascii="Arial"/>
                <w:strike/>
                <w:dstrike w:val="0"/>
                <w:color w:val="auto"/>
                <w:sz w:val="21"/>
                <w:highlight w:val="none"/>
              </w:rPr>
            </w:pPr>
          </w:p>
        </w:tc>
        <w:tc>
          <w:tcPr>
            <w:tcW w:w="1342" w:type="dxa"/>
            <w:noWrap w:val="0"/>
            <w:vAlign w:val="top"/>
          </w:tcPr>
          <w:p w14:paraId="4C1E43DC">
            <w:pPr>
              <w:rPr>
                <w:rFonts w:ascii="Arial"/>
                <w:strike/>
                <w:dstrike w:val="0"/>
                <w:color w:val="auto"/>
                <w:sz w:val="21"/>
                <w:highlight w:val="none"/>
              </w:rPr>
            </w:pPr>
          </w:p>
        </w:tc>
        <w:tc>
          <w:tcPr>
            <w:tcW w:w="1344" w:type="dxa"/>
            <w:noWrap w:val="0"/>
            <w:vAlign w:val="top"/>
          </w:tcPr>
          <w:p w14:paraId="5E1354C2">
            <w:pPr>
              <w:rPr>
                <w:rFonts w:ascii="Arial"/>
                <w:strike/>
                <w:dstrike w:val="0"/>
                <w:color w:val="auto"/>
                <w:sz w:val="21"/>
                <w:highlight w:val="none"/>
              </w:rPr>
            </w:pPr>
          </w:p>
        </w:tc>
        <w:tc>
          <w:tcPr>
            <w:tcW w:w="1352" w:type="dxa"/>
            <w:tcBorders>
              <w:right w:val="single" w:color="000000" w:sz="6" w:space="0"/>
            </w:tcBorders>
            <w:noWrap w:val="0"/>
            <w:vAlign w:val="top"/>
          </w:tcPr>
          <w:p w14:paraId="3FF77B59">
            <w:pPr>
              <w:rPr>
                <w:rFonts w:ascii="Arial"/>
                <w:strike/>
                <w:dstrike w:val="0"/>
                <w:color w:val="auto"/>
                <w:sz w:val="21"/>
                <w:highlight w:val="none"/>
              </w:rPr>
            </w:pPr>
          </w:p>
        </w:tc>
      </w:tr>
      <w:tr w14:paraId="0B7113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2FC03BF2">
            <w:pPr>
              <w:pStyle w:val="17"/>
              <w:spacing w:before="126" w:line="178" w:lineRule="auto"/>
              <w:ind w:left="337"/>
              <w:rPr>
                <w:strike/>
                <w:dstrike w:val="0"/>
                <w:color w:val="auto"/>
                <w:sz w:val="24"/>
                <w:szCs w:val="24"/>
                <w:highlight w:val="none"/>
              </w:rPr>
            </w:pPr>
            <w:r>
              <w:rPr>
                <w:strike/>
                <w:dstrike w:val="0"/>
                <w:color w:val="auto"/>
                <w:sz w:val="24"/>
                <w:szCs w:val="24"/>
                <w:highlight w:val="none"/>
              </w:rPr>
              <w:t>二</w:t>
            </w:r>
          </w:p>
        </w:tc>
        <w:tc>
          <w:tcPr>
            <w:tcW w:w="2216" w:type="dxa"/>
            <w:noWrap w:val="0"/>
            <w:vAlign w:val="top"/>
          </w:tcPr>
          <w:p w14:paraId="667D7EF2">
            <w:pPr>
              <w:pStyle w:val="17"/>
              <w:spacing w:before="81" w:line="220" w:lineRule="auto"/>
              <w:ind w:left="629"/>
              <w:rPr>
                <w:strike/>
                <w:dstrike w:val="0"/>
                <w:color w:val="auto"/>
                <w:sz w:val="24"/>
                <w:szCs w:val="24"/>
                <w:highlight w:val="none"/>
              </w:rPr>
            </w:pPr>
            <w:r>
              <w:rPr>
                <w:strike/>
                <w:dstrike w:val="0"/>
                <w:color w:val="auto"/>
                <w:spacing w:val="-2"/>
                <w:sz w:val="24"/>
                <w:szCs w:val="24"/>
                <w:highlight w:val="none"/>
              </w:rPr>
              <w:t>仲裁事项</w:t>
            </w:r>
          </w:p>
        </w:tc>
        <w:tc>
          <w:tcPr>
            <w:tcW w:w="1656" w:type="dxa"/>
            <w:noWrap w:val="0"/>
            <w:vAlign w:val="top"/>
          </w:tcPr>
          <w:p w14:paraId="59AD8DD0">
            <w:pPr>
              <w:rPr>
                <w:rFonts w:ascii="Arial"/>
                <w:strike/>
                <w:dstrike w:val="0"/>
                <w:color w:val="auto"/>
                <w:sz w:val="21"/>
                <w:highlight w:val="none"/>
              </w:rPr>
            </w:pPr>
          </w:p>
        </w:tc>
        <w:tc>
          <w:tcPr>
            <w:tcW w:w="1342" w:type="dxa"/>
            <w:noWrap w:val="0"/>
            <w:vAlign w:val="top"/>
          </w:tcPr>
          <w:p w14:paraId="41B0D703">
            <w:pPr>
              <w:rPr>
                <w:rFonts w:ascii="Arial"/>
                <w:strike/>
                <w:dstrike w:val="0"/>
                <w:color w:val="auto"/>
                <w:sz w:val="21"/>
                <w:highlight w:val="none"/>
              </w:rPr>
            </w:pPr>
          </w:p>
        </w:tc>
        <w:tc>
          <w:tcPr>
            <w:tcW w:w="1344" w:type="dxa"/>
            <w:noWrap w:val="0"/>
            <w:vAlign w:val="top"/>
          </w:tcPr>
          <w:p w14:paraId="4FDE6291">
            <w:pPr>
              <w:rPr>
                <w:rFonts w:ascii="Arial"/>
                <w:strike/>
                <w:dstrike w:val="0"/>
                <w:color w:val="auto"/>
                <w:sz w:val="21"/>
                <w:highlight w:val="none"/>
              </w:rPr>
            </w:pPr>
          </w:p>
        </w:tc>
        <w:tc>
          <w:tcPr>
            <w:tcW w:w="1352" w:type="dxa"/>
            <w:tcBorders>
              <w:right w:val="single" w:color="000000" w:sz="6" w:space="0"/>
            </w:tcBorders>
            <w:noWrap w:val="0"/>
            <w:vAlign w:val="top"/>
          </w:tcPr>
          <w:p w14:paraId="2CA8A178">
            <w:pPr>
              <w:rPr>
                <w:rFonts w:ascii="Arial"/>
                <w:strike/>
                <w:dstrike w:val="0"/>
                <w:color w:val="auto"/>
                <w:sz w:val="21"/>
                <w:highlight w:val="none"/>
              </w:rPr>
            </w:pPr>
          </w:p>
        </w:tc>
      </w:tr>
      <w:tr w14:paraId="23694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noWrap w:val="0"/>
            <w:vAlign w:val="top"/>
          </w:tcPr>
          <w:p w14:paraId="7569AB2E">
            <w:pPr>
              <w:rPr>
                <w:rFonts w:ascii="Arial"/>
                <w:strike/>
                <w:dstrike w:val="0"/>
                <w:color w:val="auto"/>
                <w:sz w:val="21"/>
                <w:highlight w:val="none"/>
              </w:rPr>
            </w:pPr>
          </w:p>
        </w:tc>
        <w:tc>
          <w:tcPr>
            <w:tcW w:w="2216" w:type="dxa"/>
            <w:noWrap w:val="0"/>
            <w:vAlign w:val="top"/>
          </w:tcPr>
          <w:p w14:paraId="7ABD82CE">
            <w:pPr>
              <w:rPr>
                <w:rFonts w:ascii="Arial"/>
                <w:strike/>
                <w:dstrike w:val="0"/>
                <w:color w:val="auto"/>
                <w:sz w:val="21"/>
                <w:highlight w:val="none"/>
              </w:rPr>
            </w:pPr>
          </w:p>
        </w:tc>
        <w:tc>
          <w:tcPr>
            <w:tcW w:w="1656" w:type="dxa"/>
            <w:noWrap w:val="0"/>
            <w:vAlign w:val="top"/>
          </w:tcPr>
          <w:p w14:paraId="0DD2A7D3">
            <w:pPr>
              <w:rPr>
                <w:rFonts w:ascii="Arial"/>
                <w:strike/>
                <w:dstrike w:val="0"/>
                <w:color w:val="auto"/>
                <w:sz w:val="21"/>
                <w:highlight w:val="none"/>
              </w:rPr>
            </w:pPr>
          </w:p>
        </w:tc>
        <w:tc>
          <w:tcPr>
            <w:tcW w:w="1342" w:type="dxa"/>
            <w:noWrap w:val="0"/>
            <w:vAlign w:val="top"/>
          </w:tcPr>
          <w:p w14:paraId="4A774405">
            <w:pPr>
              <w:rPr>
                <w:rFonts w:ascii="Arial"/>
                <w:strike/>
                <w:dstrike w:val="0"/>
                <w:color w:val="auto"/>
                <w:sz w:val="21"/>
                <w:highlight w:val="none"/>
              </w:rPr>
            </w:pPr>
          </w:p>
        </w:tc>
        <w:tc>
          <w:tcPr>
            <w:tcW w:w="1344" w:type="dxa"/>
            <w:noWrap w:val="0"/>
            <w:vAlign w:val="top"/>
          </w:tcPr>
          <w:p w14:paraId="6FF54C63">
            <w:pPr>
              <w:rPr>
                <w:rFonts w:ascii="Arial"/>
                <w:strike/>
                <w:dstrike w:val="0"/>
                <w:color w:val="auto"/>
                <w:sz w:val="21"/>
                <w:highlight w:val="none"/>
              </w:rPr>
            </w:pPr>
          </w:p>
        </w:tc>
        <w:tc>
          <w:tcPr>
            <w:tcW w:w="1352" w:type="dxa"/>
            <w:tcBorders>
              <w:right w:val="single" w:color="000000" w:sz="6" w:space="0"/>
            </w:tcBorders>
            <w:noWrap w:val="0"/>
            <w:vAlign w:val="top"/>
          </w:tcPr>
          <w:p w14:paraId="1A433AA0">
            <w:pPr>
              <w:rPr>
                <w:rFonts w:ascii="Arial"/>
                <w:strike/>
                <w:dstrike w:val="0"/>
                <w:color w:val="auto"/>
                <w:sz w:val="21"/>
                <w:highlight w:val="none"/>
              </w:rPr>
            </w:pPr>
          </w:p>
        </w:tc>
      </w:tr>
      <w:tr w14:paraId="7FE1F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27429F8D">
            <w:pPr>
              <w:rPr>
                <w:rFonts w:ascii="Arial"/>
                <w:strike/>
                <w:dstrike w:val="0"/>
                <w:color w:val="auto"/>
                <w:sz w:val="21"/>
                <w:highlight w:val="none"/>
              </w:rPr>
            </w:pPr>
          </w:p>
        </w:tc>
        <w:tc>
          <w:tcPr>
            <w:tcW w:w="2216" w:type="dxa"/>
            <w:noWrap w:val="0"/>
            <w:vAlign w:val="top"/>
          </w:tcPr>
          <w:p w14:paraId="228461AA">
            <w:pPr>
              <w:rPr>
                <w:rFonts w:ascii="Arial"/>
                <w:strike/>
                <w:dstrike w:val="0"/>
                <w:color w:val="auto"/>
                <w:sz w:val="21"/>
                <w:highlight w:val="none"/>
              </w:rPr>
            </w:pPr>
          </w:p>
        </w:tc>
        <w:tc>
          <w:tcPr>
            <w:tcW w:w="1656" w:type="dxa"/>
            <w:noWrap w:val="0"/>
            <w:vAlign w:val="top"/>
          </w:tcPr>
          <w:p w14:paraId="1E13BCFE">
            <w:pPr>
              <w:rPr>
                <w:rFonts w:ascii="Arial"/>
                <w:strike/>
                <w:dstrike w:val="0"/>
                <w:color w:val="auto"/>
                <w:sz w:val="21"/>
                <w:highlight w:val="none"/>
              </w:rPr>
            </w:pPr>
          </w:p>
        </w:tc>
        <w:tc>
          <w:tcPr>
            <w:tcW w:w="1342" w:type="dxa"/>
            <w:noWrap w:val="0"/>
            <w:vAlign w:val="top"/>
          </w:tcPr>
          <w:p w14:paraId="0ADA6E28">
            <w:pPr>
              <w:rPr>
                <w:rFonts w:ascii="Arial"/>
                <w:strike/>
                <w:dstrike w:val="0"/>
                <w:color w:val="auto"/>
                <w:sz w:val="21"/>
                <w:highlight w:val="none"/>
              </w:rPr>
            </w:pPr>
          </w:p>
        </w:tc>
        <w:tc>
          <w:tcPr>
            <w:tcW w:w="1344" w:type="dxa"/>
            <w:noWrap w:val="0"/>
            <w:vAlign w:val="top"/>
          </w:tcPr>
          <w:p w14:paraId="62BBE075">
            <w:pPr>
              <w:rPr>
                <w:rFonts w:ascii="Arial"/>
                <w:strike/>
                <w:dstrike w:val="0"/>
                <w:color w:val="auto"/>
                <w:sz w:val="21"/>
                <w:highlight w:val="none"/>
              </w:rPr>
            </w:pPr>
          </w:p>
        </w:tc>
        <w:tc>
          <w:tcPr>
            <w:tcW w:w="1352" w:type="dxa"/>
            <w:tcBorders>
              <w:right w:val="single" w:color="000000" w:sz="6" w:space="0"/>
            </w:tcBorders>
            <w:noWrap w:val="0"/>
            <w:vAlign w:val="top"/>
          </w:tcPr>
          <w:p w14:paraId="7E9F04A6">
            <w:pPr>
              <w:rPr>
                <w:rFonts w:ascii="Arial"/>
                <w:strike/>
                <w:dstrike w:val="0"/>
                <w:color w:val="auto"/>
                <w:sz w:val="21"/>
                <w:highlight w:val="none"/>
              </w:rPr>
            </w:pPr>
          </w:p>
        </w:tc>
      </w:tr>
      <w:tr w14:paraId="27183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1A15E2D4">
            <w:pPr>
              <w:rPr>
                <w:rFonts w:ascii="Arial"/>
                <w:strike/>
                <w:dstrike w:val="0"/>
                <w:color w:val="auto"/>
                <w:sz w:val="21"/>
                <w:highlight w:val="none"/>
              </w:rPr>
            </w:pPr>
          </w:p>
        </w:tc>
        <w:tc>
          <w:tcPr>
            <w:tcW w:w="2216" w:type="dxa"/>
            <w:noWrap w:val="0"/>
            <w:vAlign w:val="top"/>
          </w:tcPr>
          <w:p w14:paraId="2355D67E">
            <w:pPr>
              <w:rPr>
                <w:rFonts w:ascii="Arial"/>
                <w:strike/>
                <w:dstrike w:val="0"/>
                <w:color w:val="auto"/>
                <w:sz w:val="21"/>
                <w:highlight w:val="none"/>
              </w:rPr>
            </w:pPr>
          </w:p>
        </w:tc>
        <w:tc>
          <w:tcPr>
            <w:tcW w:w="1656" w:type="dxa"/>
            <w:noWrap w:val="0"/>
            <w:vAlign w:val="top"/>
          </w:tcPr>
          <w:p w14:paraId="16A9DB70">
            <w:pPr>
              <w:rPr>
                <w:rFonts w:ascii="Arial"/>
                <w:strike/>
                <w:dstrike w:val="0"/>
                <w:color w:val="auto"/>
                <w:sz w:val="21"/>
                <w:highlight w:val="none"/>
              </w:rPr>
            </w:pPr>
          </w:p>
        </w:tc>
        <w:tc>
          <w:tcPr>
            <w:tcW w:w="1342" w:type="dxa"/>
            <w:noWrap w:val="0"/>
            <w:vAlign w:val="top"/>
          </w:tcPr>
          <w:p w14:paraId="4804FDE0">
            <w:pPr>
              <w:rPr>
                <w:rFonts w:ascii="Arial"/>
                <w:strike/>
                <w:dstrike w:val="0"/>
                <w:color w:val="auto"/>
                <w:sz w:val="21"/>
                <w:highlight w:val="none"/>
              </w:rPr>
            </w:pPr>
          </w:p>
        </w:tc>
        <w:tc>
          <w:tcPr>
            <w:tcW w:w="1344" w:type="dxa"/>
            <w:noWrap w:val="0"/>
            <w:vAlign w:val="top"/>
          </w:tcPr>
          <w:p w14:paraId="67E13B6B">
            <w:pPr>
              <w:rPr>
                <w:rFonts w:ascii="Arial"/>
                <w:strike/>
                <w:dstrike w:val="0"/>
                <w:color w:val="auto"/>
                <w:sz w:val="21"/>
                <w:highlight w:val="none"/>
              </w:rPr>
            </w:pPr>
          </w:p>
        </w:tc>
        <w:tc>
          <w:tcPr>
            <w:tcW w:w="1352" w:type="dxa"/>
            <w:tcBorders>
              <w:right w:val="single" w:color="000000" w:sz="6" w:space="0"/>
            </w:tcBorders>
            <w:noWrap w:val="0"/>
            <w:vAlign w:val="top"/>
          </w:tcPr>
          <w:p w14:paraId="338C9FBE">
            <w:pPr>
              <w:rPr>
                <w:rFonts w:ascii="Arial"/>
                <w:strike/>
                <w:dstrike w:val="0"/>
                <w:color w:val="auto"/>
                <w:sz w:val="21"/>
                <w:highlight w:val="none"/>
              </w:rPr>
            </w:pPr>
          </w:p>
        </w:tc>
      </w:tr>
      <w:tr w14:paraId="5E7C1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noWrap w:val="0"/>
            <w:vAlign w:val="top"/>
          </w:tcPr>
          <w:p w14:paraId="33FC6E43">
            <w:pPr>
              <w:rPr>
                <w:rFonts w:ascii="Arial"/>
                <w:strike/>
                <w:dstrike w:val="0"/>
                <w:color w:val="auto"/>
                <w:sz w:val="21"/>
                <w:highlight w:val="none"/>
              </w:rPr>
            </w:pPr>
          </w:p>
        </w:tc>
        <w:tc>
          <w:tcPr>
            <w:tcW w:w="2216" w:type="dxa"/>
            <w:noWrap w:val="0"/>
            <w:vAlign w:val="top"/>
          </w:tcPr>
          <w:p w14:paraId="04CFB4CE">
            <w:pPr>
              <w:rPr>
                <w:rFonts w:ascii="Arial"/>
                <w:strike/>
                <w:dstrike w:val="0"/>
                <w:color w:val="auto"/>
                <w:sz w:val="21"/>
                <w:highlight w:val="none"/>
              </w:rPr>
            </w:pPr>
          </w:p>
        </w:tc>
        <w:tc>
          <w:tcPr>
            <w:tcW w:w="1656" w:type="dxa"/>
            <w:noWrap w:val="0"/>
            <w:vAlign w:val="top"/>
          </w:tcPr>
          <w:p w14:paraId="03DC2DB6">
            <w:pPr>
              <w:rPr>
                <w:rFonts w:ascii="Arial"/>
                <w:strike/>
                <w:dstrike w:val="0"/>
                <w:color w:val="auto"/>
                <w:sz w:val="21"/>
                <w:highlight w:val="none"/>
              </w:rPr>
            </w:pPr>
          </w:p>
        </w:tc>
        <w:tc>
          <w:tcPr>
            <w:tcW w:w="1342" w:type="dxa"/>
            <w:noWrap w:val="0"/>
            <w:vAlign w:val="top"/>
          </w:tcPr>
          <w:p w14:paraId="552B8DFB">
            <w:pPr>
              <w:rPr>
                <w:rFonts w:ascii="Arial"/>
                <w:strike/>
                <w:dstrike w:val="0"/>
                <w:color w:val="auto"/>
                <w:sz w:val="21"/>
                <w:highlight w:val="none"/>
              </w:rPr>
            </w:pPr>
          </w:p>
        </w:tc>
        <w:tc>
          <w:tcPr>
            <w:tcW w:w="1344" w:type="dxa"/>
            <w:noWrap w:val="0"/>
            <w:vAlign w:val="top"/>
          </w:tcPr>
          <w:p w14:paraId="679FAD0B">
            <w:pPr>
              <w:rPr>
                <w:rFonts w:ascii="Arial"/>
                <w:strike/>
                <w:dstrike w:val="0"/>
                <w:color w:val="auto"/>
                <w:sz w:val="21"/>
                <w:highlight w:val="none"/>
              </w:rPr>
            </w:pPr>
          </w:p>
        </w:tc>
        <w:tc>
          <w:tcPr>
            <w:tcW w:w="1352" w:type="dxa"/>
            <w:tcBorders>
              <w:right w:val="single" w:color="000000" w:sz="6" w:space="0"/>
            </w:tcBorders>
            <w:noWrap w:val="0"/>
            <w:vAlign w:val="top"/>
          </w:tcPr>
          <w:p w14:paraId="2A00EEFF">
            <w:pPr>
              <w:rPr>
                <w:rFonts w:ascii="Arial"/>
                <w:strike/>
                <w:dstrike w:val="0"/>
                <w:color w:val="auto"/>
                <w:sz w:val="21"/>
                <w:highlight w:val="none"/>
              </w:rPr>
            </w:pPr>
          </w:p>
        </w:tc>
      </w:tr>
      <w:tr w14:paraId="7FC31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61756A3A">
            <w:pPr>
              <w:rPr>
                <w:rFonts w:ascii="Arial"/>
                <w:strike/>
                <w:dstrike w:val="0"/>
                <w:color w:val="auto"/>
                <w:sz w:val="21"/>
                <w:highlight w:val="none"/>
              </w:rPr>
            </w:pPr>
          </w:p>
        </w:tc>
        <w:tc>
          <w:tcPr>
            <w:tcW w:w="2216" w:type="dxa"/>
            <w:noWrap w:val="0"/>
            <w:vAlign w:val="top"/>
          </w:tcPr>
          <w:p w14:paraId="6DDA34E5">
            <w:pPr>
              <w:rPr>
                <w:rFonts w:ascii="Arial"/>
                <w:strike/>
                <w:dstrike w:val="0"/>
                <w:color w:val="auto"/>
                <w:sz w:val="21"/>
                <w:highlight w:val="none"/>
              </w:rPr>
            </w:pPr>
          </w:p>
        </w:tc>
        <w:tc>
          <w:tcPr>
            <w:tcW w:w="1656" w:type="dxa"/>
            <w:noWrap w:val="0"/>
            <w:vAlign w:val="top"/>
          </w:tcPr>
          <w:p w14:paraId="226802F8">
            <w:pPr>
              <w:rPr>
                <w:rFonts w:ascii="Arial"/>
                <w:strike/>
                <w:dstrike w:val="0"/>
                <w:color w:val="auto"/>
                <w:sz w:val="21"/>
                <w:highlight w:val="none"/>
              </w:rPr>
            </w:pPr>
          </w:p>
        </w:tc>
        <w:tc>
          <w:tcPr>
            <w:tcW w:w="1342" w:type="dxa"/>
            <w:noWrap w:val="0"/>
            <w:vAlign w:val="top"/>
          </w:tcPr>
          <w:p w14:paraId="23673DA5">
            <w:pPr>
              <w:rPr>
                <w:rFonts w:ascii="Arial"/>
                <w:strike/>
                <w:dstrike w:val="0"/>
                <w:color w:val="auto"/>
                <w:sz w:val="21"/>
                <w:highlight w:val="none"/>
              </w:rPr>
            </w:pPr>
          </w:p>
        </w:tc>
        <w:tc>
          <w:tcPr>
            <w:tcW w:w="1344" w:type="dxa"/>
            <w:noWrap w:val="0"/>
            <w:vAlign w:val="top"/>
          </w:tcPr>
          <w:p w14:paraId="4681BCC9">
            <w:pPr>
              <w:rPr>
                <w:rFonts w:ascii="Arial"/>
                <w:strike/>
                <w:dstrike w:val="0"/>
                <w:color w:val="auto"/>
                <w:sz w:val="21"/>
                <w:highlight w:val="none"/>
              </w:rPr>
            </w:pPr>
          </w:p>
        </w:tc>
        <w:tc>
          <w:tcPr>
            <w:tcW w:w="1352" w:type="dxa"/>
            <w:tcBorders>
              <w:right w:val="single" w:color="000000" w:sz="6" w:space="0"/>
            </w:tcBorders>
            <w:noWrap w:val="0"/>
            <w:vAlign w:val="top"/>
          </w:tcPr>
          <w:p w14:paraId="064A2117">
            <w:pPr>
              <w:rPr>
                <w:rFonts w:ascii="Arial"/>
                <w:strike/>
                <w:dstrike w:val="0"/>
                <w:color w:val="auto"/>
                <w:sz w:val="21"/>
                <w:highlight w:val="none"/>
              </w:rPr>
            </w:pPr>
          </w:p>
        </w:tc>
      </w:tr>
      <w:tr w14:paraId="2AAD8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5F043D1F">
            <w:pPr>
              <w:rPr>
                <w:rFonts w:ascii="Arial"/>
                <w:strike/>
                <w:dstrike w:val="0"/>
                <w:color w:val="auto"/>
                <w:sz w:val="21"/>
                <w:highlight w:val="none"/>
              </w:rPr>
            </w:pPr>
          </w:p>
        </w:tc>
        <w:tc>
          <w:tcPr>
            <w:tcW w:w="2216" w:type="dxa"/>
            <w:noWrap w:val="0"/>
            <w:vAlign w:val="top"/>
          </w:tcPr>
          <w:p w14:paraId="320EE4BE">
            <w:pPr>
              <w:rPr>
                <w:rFonts w:ascii="Arial"/>
                <w:strike/>
                <w:dstrike w:val="0"/>
                <w:color w:val="auto"/>
                <w:sz w:val="21"/>
                <w:highlight w:val="none"/>
              </w:rPr>
            </w:pPr>
          </w:p>
        </w:tc>
        <w:tc>
          <w:tcPr>
            <w:tcW w:w="1656" w:type="dxa"/>
            <w:noWrap w:val="0"/>
            <w:vAlign w:val="top"/>
          </w:tcPr>
          <w:p w14:paraId="2607A6AE">
            <w:pPr>
              <w:rPr>
                <w:rFonts w:ascii="Arial"/>
                <w:strike/>
                <w:dstrike w:val="0"/>
                <w:color w:val="auto"/>
                <w:sz w:val="21"/>
                <w:highlight w:val="none"/>
              </w:rPr>
            </w:pPr>
          </w:p>
        </w:tc>
        <w:tc>
          <w:tcPr>
            <w:tcW w:w="1342" w:type="dxa"/>
            <w:noWrap w:val="0"/>
            <w:vAlign w:val="top"/>
          </w:tcPr>
          <w:p w14:paraId="32E906C7">
            <w:pPr>
              <w:rPr>
                <w:rFonts w:ascii="Arial"/>
                <w:strike/>
                <w:dstrike w:val="0"/>
                <w:color w:val="auto"/>
                <w:sz w:val="21"/>
                <w:highlight w:val="none"/>
              </w:rPr>
            </w:pPr>
          </w:p>
        </w:tc>
        <w:tc>
          <w:tcPr>
            <w:tcW w:w="1344" w:type="dxa"/>
            <w:noWrap w:val="0"/>
            <w:vAlign w:val="top"/>
          </w:tcPr>
          <w:p w14:paraId="76D12F8E">
            <w:pPr>
              <w:rPr>
                <w:rFonts w:ascii="Arial"/>
                <w:strike/>
                <w:dstrike w:val="0"/>
                <w:color w:val="auto"/>
                <w:sz w:val="21"/>
                <w:highlight w:val="none"/>
              </w:rPr>
            </w:pPr>
          </w:p>
        </w:tc>
        <w:tc>
          <w:tcPr>
            <w:tcW w:w="1352" w:type="dxa"/>
            <w:tcBorders>
              <w:right w:val="single" w:color="000000" w:sz="6" w:space="0"/>
            </w:tcBorders>
            <w:noWrap w:val="0"/>
            <w:vAlign w:val="top"/>
          </w:tcPr>
          <w:p w14:paraId="65F3C0F0">
            <w:pPr>
              <w:rPr>
                <w:rFonts w:ascii="Arial"/>
                <w:strike/>
                <w:dstrike w:val="0"/>
                <w:color w:val="auto"/>
                <w:sz w:val="21"/>
                <w:highlight w:val="none"/>
              </w:rPr>
            </w:pPr>
          </w:p>
        </w:tc>
      </w:tr>
      <w:tr w14:paraId="272A4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2" w:type="dxa"/>
            <w:tcBorders>
              <w:left w:val="single" w:color="000000" w:sz="6" w:space="0"/>
            </w:tcBorders>
            <w:noWrap w:val="0"/>
            <w:vAlign w:val="top"/>
          </w:tcPr>
          <w:p w14:paraId="743EF336">
            <w:pPr>
              <w:rPr>
                <w:rFonts w:ascii="Arial"/>
                <w:strike/>
                <w:dstrike w:val="0"/>
                <w:color w:val="auto"/>
                <w:sz w:val="21"/>
                <w:highlight w:val="none"/>
              </w:rPr>
            </w:pPr>
          </w:p>
        </w:tc>
        <w:tc>
          <w:tcPr>
            <w:tcW w:w="2216" w:type="dxa"/>
            <w:noWrap w:val="0"/>
            <w:vAlign w:val="top"/>
          </w:tcPr>
          <w:p w14:paraId="1194950F">
            <w:pPr>
              <w:rPr>
                <w:rFonts w:ascii="Arial"/>
                <w:strike/>
                <w:dstrike w:val="0"/>
                <w:color w:val="auto"/>
                <w:sz w:val="21"/>
                <w:highlight w:val="none"/>
              </w:rPr>
            </w:pPr>
          </w:p>
        </w:tc>
        <w:tc>
          <w:tcPr>
            <w:tcW w:w="1656" w:type="dxa"/>
            <w:noWrap w:val="0"/>
            <w:vAlign w:val="top"/>
          </w:tcPr>
          <w:p w14:paraId="15E7A5CE">
            <w:pPr>
              <w:rPr>
                <w:rFonts w:ascii="Arial"/>
                <w:strike/>
                <w:dstrike w:val="0"/>
                <w:color w:val="auto"/>
                <w:sz w:val="21"/>
                <w:highlight w:val="none"/>
              </w:rPr>
            </w:pPr>
          </w:p>
        </w:tc>
        <w:tc>
          <w:tcPr>
            <w:tcW w:w="1342" w:type="dxa"/>
            <w:noWrap w:val="0"/>
            <w:vAlign w:val="top"/>
          </w:tcPr>
          <w:p w14:paraId="649FA8AA">
            <w:pPr>
              <w:rPr>
                <w:rFonts w:ascii="Arial"/>
                <w:strike/>
                <w:dstrike w:val="0"/>
                <w:color w:val="auto"/>
                <w:sz w:val="21"/>
                <w:highlight w:val="none"/>
              </w:rPr>
            </w:pPr>
          </w:p>
        </w:tc>
        <w:tc>
          <w:tcPr>
            <w:tcW w:w="1344" w:type="dxa"/>
            <w:noWrap w:val="0"/>
            <w:vAlign w:val="top"/>
          </w:tcPr>
          <w:p w14:paraId="5732C2FF">
            <w:pPr>
              <w:rPr>
                <w:rFonts w:ascii="Arial"/>
                <w:strike/>
                <w:dstrike w:val="0"/>
                <w:color w:val="auto"/>
                <w:sz w:val="21"/>
                <w:highlight w:val="none"/>
              </w:rPr>
            </w:pPr>
          </w:p>
        </w:tc>
        <w:tc>
          <w:tcPr>
            <w:tcW w:w="1352" w:type="dxa"/>
            <w:tcBorders>
              <w:right w:val="single" w:color="000000" w:sz="6" w:space="0"/>
            </w:tcBorders>
            <w:noWrap w:val="0"/>
            <w:vAlign w:val="top"/>
          </w:tcPr>
          <w:p w14:paraId="1AD57315">
            <w:pPr>
              <w:rPr>
                <w:rFonts w:ascii="Arial"/>
                <w:strike/>
                <w:dstrike w:val="0"/>
                <w:color w:val="auto"/>
                <w:sz w:val="21"/>
                <w:highlight w:val="none"/>
              </w:rPr>
            </w:pPr>
          </w:p>
        </w:tc>
      </w:tr>
      <w:tr w14:paraId="5AC22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02" w:type="dxa"/>
            <w:tcBorders>
              <w:left w:val="single" w:color="000000" w:sz="6" w:space="0"/>
            </w:tcBorders>
            <w:noWrap w:val="0"/>
            <w:vAlign w:val="top"/>
          </w:tcPr>
          <w:p w14:paraId="2F1D594C">
            <w:pPr>
              <w:rPr>
                <w:rFonts w:ascii="Arial"/>
                <w:strike/>
                <w:dstrike w:val="0"/>
                <w:color w:val="auto"/>
                <w:sz w:val="21"/>
                <w:highlight w:val="none"/>
              </w:rPr>
            </w:pPr>
          </w:p>
        </w:tc>
        <w:tc>
          <w:tcPr>
            <w:tcW w:w="2216" w:type="dxa"/>
            <w:noWrap w:val="0"/>
            <w:vAlign w:val="top"/>
          </w:tcPr>
          <w:p w14:paraId="18BCCAE8">
            <w:pPr>
              <w:rPr>
                <w:rFonts w:ascii="Arial"/>
                <w:strike/>
                <w:dstrike w:val="0"/>
                <w:color w:val="auto"/>
                <w:sz w:val="21"/>
                <w:highlight w:val="none"/>
              </w:rPr>
            </w:pPr>
          </w:p>
        </w:tc>
        <w:tc>
          <w:tcPr>
            <w:tcW w:w="1656" w:type="dxa"/>
            <w:noWrap w:val="0"/>
            <w:vAlign w:val="top"/>
          </w:tcPr>
          <w:p w14:paraId="298A28AD">
            <w:pPr>
              <w:rPr>
                <w:rFonts w:ascii="Arial"/>
                <w:strike/>
                <w:dstrike w:val="0"/>
                <w:color w:val="auto"/>
                <w:sz w:val="21"/>
                <w:highlight w:val="none"/>
              </w:rPr>
            </w:pPr>
          </w:p>
        </w:tc>
        <w:tc>
          <w:tcPr>
            <w:tcW w:w="1342" w:type="dxa"/>
            <w:noWrap w:val="0"/>
            <w:vAlign w:val="top"/>
          </w:tcPr>
          <w:p w14:paraId="0BF20D1D">
            <w:pPr>
              <w:rPr>
                <w:rFonts w:ascii="Arial"/>
                <w:strike/>
                <w:dstrike w:val="0"/>
                <w:color w:val="auto"/>
                <w:sz w:val="21"/>
                <w:highlight w:val="none"/>
              </w:rPr>
            </w:pPr>
          </w:p>
        </w:tc>
        <w:tc>
          <w:tcPr>
            <w:tcW w:w="1344" w:type="dxa"/>
            <w:noWrap w:val="0"/>
            <w:vAlign w:val="top"/>
          </w:tcPr>
          <w:p w14:paraId="1A7FE05F">
            <w:pPr>
              <w:rPr>
                <w:rFonts w:ascii="Arial"/>
                <w:strike/>
                <w:dstrike w:val="0"/>
                <w:color w:val="auto"/>
                <w:sz w:val="21"/>
                <w:highlight w:val="none"/>
              </w:rPr>
            </w:pPr>
          </w:p>
        </w:tc>
        <w:tc>
          <w:tcPr>
            <w:tcW w:w="1352" w:type="dxa"/>
            <w:tcBorders>
              <w:right w:val="single" w:color="000000" w:sz="6" w:space="0"/>
            </w:tcBorders>
            <w:noWrap w:val="0"/>
            <w:vAlign w:val="top"/>
          </w:tcPr>
          <w:p w14:paraId="6F0320F9">
            <w:pPr>
              <w:rPr>
                <w:rFonts w:ascii="Arial"/>
                <w:strike/>
                <w:dstrike w:val="0"/>
                <w:color w:val="auto"/>
                <w:sz w:val="21"/>
                <w:highlight w:val="none"/>
              </w:rPr>
            </w:pPr>
          </w:p>
        </w:tc>
      </w:tr>
      <w:tr w14:paraId="21D21B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902" w:type="dxa"/>
            <w:tcBorders>
              <w:left w:val="single" w:color="000000" w:sz="6" w:space="0"/>
              <w:bottom w:val="single" w:color="000000" w:sz="6" w:space="0"/>
            </w:tcBorders>
            <w:noWrap w:val="0"/>
            <w:vAlign w:val="top"/>
          </w:tcPr>
          <w:p w14:paraId="6DD2AC65">
            <w:pPr>
              <w:rPr>
                <w:rFonts w:ascii="Arial"/>
                <w:strike/>
                <w:dstrike w:val="0"/>
                <w:color w:val="auto"/>
                <w:sz w:val="21"/>
                <w:highlight w:val="none"/>
              </w:rPr>
            </w:pPr>
          </w:p>
        </w:tc>
        <w:tc>
          <w:tcPr>
            <w:tcW w:w="2216" w:type="dxa"/>
            <w:tcBorders>
              <w:bottom w:val="single" w:color="000000" w:sz="6" w:space="0"/>
            </w:tcBorders>
            <w:noWrap w:val="0"/>
            <w:vAlign w:val="top"/>
          </w:tcPr>
          <w:p w14:paraId="072E8728">
            <w:pPr>
              <w:rPr>
                <w:rFonts w:ascii="Arial"/>
                <w:strike/>
                <w:dstrike w:val="0"/>
                <w:color w:val="auto"/>
                <w:sz w:val="21"/>
                <w:highlight w:val="none"/>
              </w:rPr>
            </w:pPr>
          </w:p>
        </w:tc>
        <w:tc>
          <w:tcPr>
            <w:tcW w:w="1656" w:type="dxa"/>
            <w:tcBorders>
              <w:bottom w:val="single" w:color="000000" w:sz="6" w:space="0"/>
            </w:tcBorders>
            <w:noWrap w:val="0"/>
            <w:vAlign w:val="top"/>
          </w:tcPr>
          <w:p w14:paraId="79E21D3C">
            <w:pPr>
              <w:rPr>
                <w:rFonts w:ascii="Arial"/>
                <w:strike/>
                <w:dstrike w:val="0"/>
                <w:color w:val="auto"/>
                <w:sz w:val="21"/>
                <w:highlight w:val="none"/>
              </w:rPr>
            </w:pPr>
          </w:p>
        </w:tc>
        <w:tc>
          <w:tcPr>
            <w:tcW w:w="1342" w:type="dxa"/>
            <w:tcBorders>
              <w:bottom w:val="single" w:color="000000" w:sz="6" w:space="0"/>
            </w:tcBorders>
            <w:noWrap w:val="0"/>
            <w:vAlign w:val="top"/>
          </w:tcPr>
          <w:p w14:paraId="28931373">
            <w:pPr>
              <w:rPr>
                <w:rFonts w:ascii="Arial"/>
                <w:strike/>
                <w:dstrike w:val="0"/>
                <w:color w:val="auto"/>
                <w:sz w:val="21"/>
                <w:highlight w:val="none"/>
              </w:rPr>
            </w:pPr>
          </w:p>
        </w:tc>
        <w:tc>
          <w:tcPr>
            <w:tcW w:w="1344" w:type="dxa"/>
            <w:tcBorders>
              <w:bottom w:val="single" w:color="000000" w:sz="6" w:space="0"/>
            </w:tcBorders>
            <w:noWrap w:val="0"/>
            <w:vAlign w:val="top"/>
          </w:tcPr>
          <w:p w14:paraId="1FD4C755">
            <w:pPr>
              <w:rPr>
                <w:rFonts w:ascii="Arial"/>
                <w:strike/>
                <w:dstrike w:val="0"/>
                <w:color w:val="auto"/>
                <w:sz w:val="21"/>
                <w:highlight w:val="none"/>
              </w:rPr>
            </w:pPr>
          </w:p>
        </w:tc>
        <w:tc>
          <w:tcPr>
            <w:tcW w:w="1352" w:type="dxa"/>
            <w:tcBorders>
              <w:bottom w:val="single" w:color="000000" w:sz="6" w:space="0"/>
              <w:right w:val="single" w:color="000000" w:sz="6" w:space="0"/>
            </w:tcBorders>
            <w:noWrap w:val="0"/>
            <w:vAlign w:val="top"/>
          </w:tcPr>
          <w:p w14:paraId="3EF8C47F">
            <w:pPr>
              <w:rPr>
                <w:rFonts w:ascii="Arial"/>
                <w:strike/>
                <w:dstrike w:val="0"/>
                <w:color w:val="auto"/>
                <w:sz w:val="21"/>
                <w:highlight w:val="none"/>
              </w:rPr>
            </w:pPr>
          </w:p>
        </w:tc>
      </w:tr>
    </w:tbl>
    <w:p w14:paraId="5239E874">
      <w:pPr>
        <w:spacing w:before="37"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注：相关材料复制件在“十、原件的复制件”提供。</w:t>
      </w:r>
    </w:p>
    <w:p w14:paraId="7260C757">
      <w:pPr>
        <w:spacing w:line="219" w:lineRule="auto"/>
        <w:rPr>
          <w:rFonts w:ascii="宋体" w:hAnsi="宋体" w:eastAsia="宋体" w:cs="宋体"/>
          <w:strike/>
          <w:dstrike w:val="0"/>
          <w:color w:val="auto"/>
          <w:sz w:val="24"/>
          <w:szCs w:val="24"/>
          <w:highlight w:val="none"/>
        </w:rPr>
        <w:sectPr>
          <w:footerReference r:id="rId133" w:type="default"/>
          <w:pgSz w:w="11905" w:h="16840"/>
          <w:pgMar w:top="400" w:right="1489" w:bottom="1255" w:left="1587" w:header="0" w:footer="1093" w:gutter="0"/>
          <w:pgNumType w:fmt="decimal"/>
          <w:cols w:space="720" w:num="1"/>
        </w:sectPr>
      </w:pPr>
    </w:p>
    <w:p w14:paraId="225D8377">
      <w:pPr>
        <w:pStyle w:val="8"/>
        <w:spacing w:line="247" w:lineRule="auto"/>
        <w:rPr>
          <w:color w:val="auto"/>
          <w:highlight w:val="none"/>
        </w:rPr>
      </w:pPr>
    </w:p>
    <w:p w14:paraId="7D32231D">
      <w:pPr>
        <w:pStyle w:val="8"/>
        <w:spacing w:line="248" w:lineRule="auto"/>
        <w:rPr>
          <w:color w:val="auto"/>
          <w:highlight w:val="none"/>
        </w:rPr>
      </w:pPr>
    </w:p>
    <w:p w14:paraId="2AFA5EB3">
      <w:pPr>
        <w:pStyle w:val="8"/>
        <w:spacing w:line="248" w:lineRule="auto"/>
        <w:rPr>
          <w:color w:val="auto"/>
          <w:highlight w:val="none"/>
        </w:rPr>
      </w:pPr>
    </w:p>
    <w:p w14:paraId="247ED4F9">
      <w:pPr>
        <w:pStyle w:val="8"/>
        <w:spacing w:line="248" w:lineRule="auto"/>
        <w:rPr>
          <w:color w:val="auto"/>
          <w:highlight w:val="none"/>
        </w:rPr>
      </w:pPr>
    </w:p>
    <w:p w14:paraId="42C828F5">
      <w:pPr>
        <w:spacing w:before="78" w:line="220" w:lineRule="auto"/>
        <w:ind w:left="35"/>
        <w:outlineLvl w:val="1"/>
        <w:rPr>
          <w:rFonts w:ascii="宋体" w:hAnsi="宋体" w:eastAsia="宋体" w:cs="宋体"/>
          <w:color w:val="auto"/>
          <w:sz w:val="24"/>
          <w:szCs w:val="24"/>
          <w:highlight w:val="none"/>
        </w:rPr>
      </w:pPr>
      <w:bookmarkStart w:id="227" w:name="bookmark607"/>
      <w:bookmarkEnd w:id="227"/>
      <w:bookmarkStart w:id="228" w:name="_Toc31616"/>
      <w:r>
        <w:rPr>
          <w:rFonts w:ascii="宋体" w:hAnsi="宋体" w:eastAsia="宋体" w:cs="宋体"/>
          <w:b/>
          <w:bCs/>
          <w:color w:val="auto"/>
          <w:spacing w:val="-5"/>
          <w:sz w:val="24"/>
          <w:szCs w:val="24"/>
          <w:highlight w:val="none"/>
        </w:rPr>
        <w:t>（六）资格审查自审表</w:t>
      </w:r>
      <w:bookmarkEnd w:id="228"/>
    </w:p>
    <w:p w14:paraId="338CFBF8">
      <w:pPr>
        <w:spacing w:before="180" w:line="220" w:lineRule="auto"/>
        <w:ind w:left="358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资格审查自审表</w:t>
      </w:r>
    </w:p>
    <w:p w14:paraId="551664CB">
      <w:pPr>
        <w:spacing w:line="145" w:lineRule="exact"/>
        <w:rPr>
          <w:color w:val="auto"/>
          <w:highlight w:val="none"/>
        </w:rPr>
      </w:pPr>
    </w:p>
    <w:tbl>
      <w:tblPr>
        <w:tblStyle w:val="16"/>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1"/>
        <w:gridCol w:w="4742"/>
        <w:gridCol w:w="969"/>
        <w:gridCol w:w="969"/>
        <w:gridCol w:w="1521"/>
      </w:tblGrid>
      <w:tr w14:paraId="312319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611" w:type="dxa"/>
            <w:tcBorders>
              <w:top w:val="single" w:color="000000" w:sz="6" w:space="0"/>
              <w:left w:val="single" w:color="000000" w:sz="6" w:space="0"/>
            </w:tcBorders>
            <w:noWrap w:val="0"/>
            <w:vAlign w:val="top"/>
          </w:tcPr>
          <w:p w14:paraId="4E9ED496">
            <w:pPr>
              <w:pStyle w:val="17"/>
              <w:spacing w:before="274" w:line="221" w:lineRule="auto"/>
              <w:ind w:left="65"/>
              <w:rPr>
                <w:color w:val="auto"/>
                <w:sz w:val="24"/>
                <w:szCs w:val="24"/>
                <w:highlight w:val="none"/>
              </w:rPr>
            </w:pPr>
            <w:r>
              <w:rPr>
                <w:color w:val="auto"/>
                <w:spacing w:val="-3"/>
                <w:sz w:val="24"/>
                <w:szCs w:val="24"/>
                <w:highlight w:val="none"/>
              </w:rPr>
              <w:t>序号</w:t>
            </w:r>
          </w:p>
        </w:tc>
        <w:tc>
          <w:tcPr>
            <w:tcW w:w="4742" w:type="dxa"/>
            <w:tcBorders>
              <w:top w:val="single" w:color="000000" w:sz="6" w:space="0"/>
            </w:tcBorders>
            <w:noWrap w:val="0"/>
            <w:vAlign w:val="top"/>
          </w:tcPr>
          <w:p w14:paraId="2518F8E0">
            <w:pPr>
              <w:pStyle w:val="17"/>
              <w:spacing w:before="273" w:line="220" w:lineRule="auto"/>
              <w:ind w:left="1546"/>
              <w:rPr>
                <w:color w:val="auto"/>
                <w:sz w:val="24"/>
                <w:szCs w:val="24"/>
                <w:highlight w:val="none"/>
              </w:rPr>
            </w:pPr>
            <w:r>
              <w:rPr>
                <w:color w:val="auto"/>
                <w:spacing w:val="-16"/>
                <w:sz w:val="24"/>
                <w:szCs w:val="24"/>
                <w:highlight w:val="none"/>
              </w:rPr>
              <w:t>审</w:t>
            </w:r>
            <w:r>
              <w:rPr>
                <w:color w:val="auto"/>
                <w:spacing w:val="6"/>
                <w:sz w:val="24"/>
                <w:szCs w:val="24"/>
                <w:highlight w:val="none"/>
              </w:rPr>
              <w:t xml:space="preserve">  </w:t>
            </w:r>
            <w:r>
              <w:rPr>
                <w:color w:val="auto"/>
                <w:spacing w:val="-16"/>
                <w:sz w:val="24"/>
                <w:szCs w:val="24"/>
                <w:highlight w:val="none"/>
              </w:rPr>
              <w:t>查</w:t>
            </w:r>
            <w:r>
              <w:rPr>
                <w:color w:val="auto"/>
                <w:spacing w:val="14"/>
                <w:sz w:val="24"/>
                <w:szCs w:val="24"/>
                <w:highlight w:val="none"/>
              </w:rPr>
              <w:t xml:space="preserve">  </w:t>
            </w:r>
            <w:r>
              <w:rPr>
                <w:color w:val="auto"/>
                <w:spacing w:val="-16"/>
                <w:sz w:val="24"/>
                <w:szCs w:val="24"/>
                <w:highlight w:val="none"/>
              </w:rPr>
              <w:t>因</w:t>
            </w:r>
            <w:r>
              <w:rPr>
                <w:color w:val="auto"/>
                <w:spacing w:val="6"/>
                <w:sz w:val="24"/>
                <w:szCs w:val="24"/>
                <w:highlight w:val="none"/>
              </w:rPr>
              <w:t xml:space="preserve">  </w:t>
            </w:r>
            <w:r>
              <w:rPr>
                <w:color w:val="auto"/>
                <w:spacing w:val="-16"/>
                <w:sz w:val="24"/>
                <w:szCs w:val="24"/>
                <w:highlight w:val="none"/>
              </w:rPr>
              <w:t>素</w:t>
            </w:r>
          </w:p>
        </w:tc>
        <w:tc>
          <w:tcPr>
            <w:tcW w:w="969" w:type="dxa"/>
            <w:tcBorders>
              <w:top w:val="single" w:color="000000" w:sz="6" w:space="0"/>
            </w:tcBorders>
            <w:noWrap w:val="0"/>
            <w:vAlign w:val="top"/>
          </w:tcPr>
          <w:p w14:paraId="0EE3AF67">
            <w:pPr>
              <w:pStyle w:val="17"/>
              <w:spacing w:before="41" w:line="220" w:lineRule="auto"/>
              <w:ind w:left="263"/>
              <w:rPr>
                <w:color w:val="auto"/>
                <w:sz w:val="24"/>
                <w:szCs w:val="24"/>
                <w:highlight w:val="none"/>
              </w:rPr>
            </w:pPr>
            <w:r>
              <w:rPr>
                <w:color w:val="auto"/>
                <w:spacing w:val="-6"/>
                <w:sz w:val="24"/>
                <w:szCs w:val="24"/>
                <w:highlight w:val="none"/>
              </w:rPr>
              <w:t>审查</w:t>
            </w:r>
          </w:p>
          <w:p w14:paraId="0CEA79E0">
            <w:pPr>
              <w:pStyle w:val="17"/>
              <w:spacing w:before="180" w:line="220" w:lineRule="auto"/>
              <w:ind w:left="252"/>
              <w:rPr>
                <w:color w:val="auto"/>
                <w:sz w:val="24"/>
                <w:szCs w:val="24"/>
                <w:highlight w:val="none"/>
              </w:rPr>
            </w:pPr>
            <w:r>
              <w:rPr>
                <w:color w:val="auto"/>
                <w:spacing w:val="-3"/>
                <w:sz w:val="24"/>
                <w:szCs w:val="24"/>
                <w:highlight w:val="none"/>
              </w:rPr>
              <w:t>标准</w:t>
            </w:r>
          </w:p>
        </w:tc>
        <w:tc>
          <w:tcPr>
            <w:tcW w:w="969" w:type="dxa"/>
            <w:tcBorders>
              <w:top w:val="single" w:color="000000" w:sz="6" w:space="0"/>
            </w:tcBorders>
            <w:noWrap w:val="0"/>
            <w:vAlign w:val="top"/>
          </w:tcPr>
          <w:p w14:paraId="5DD86FDD">
            <w:pPr>
              <w:pStyle w:val="17"/>
              <w:spacing w:before="41" w:line="220" w:lineRule="auto"/>
              <w:ind w:left="266"/>
              <w:rPr>
                <w:color w:val="auto"/>
                <w:sz w:val="24"/>
                <w:szCs w:val="24"/>
                <w:highlight w:val="none"/>
              </w:rPr>
            </w:pPr>
            <w:r>
              <w:rPr>
                <w:color w:val="auto"/>
                <w:spacing w:val="-6"/>
                <w:sz w:val="24"/>
                <w:szCs w:val="24"/>
                <w:highlight w:val="none"/>
              </w:rPr>
              <w:t>审查</w:t>
            </w:r>
          </w:p>
          <w:p w14:paraId="65CE08DE">
            <w:pPr>
              <w:pStyle w:val="17"/>
              <w:spacing w:before="180" w:line="220" w:lineRule="auto"/>
              <w:ind w:left="260"/>
              <w:rPr>
                <w:color w:val="auto"/>
                <w:sz w:val="24"/>
                <w:szCs w:val="24"/>
                <w:highlight w:val="none"/>
              </w:rPr>
            </w:pPr>
            <w:r>
              <w:rPr>
                <w:color w:val="auto"/>
                <w:spacing w:val="-4"/>
                <w:sz w:val="24"/>
                <w:szCs w:val="24"/>
                <w:highlight w:val="none"/>
              </w:rPr>
              <w:t>结果</w:t>
            </w:r>
          </w:p>
        </w:tc>
        <w:tc>
          <w:tcPr>
            <w:tcW w:w="1521" w:type="dxa"/>
            <w:tcBorders>
              <w:top w:val="single" w:color="000000" w:sz="6" w:space="0"/>
              <w:right w:val="single" w:color="000000" w:sz="6" w:space="0"/>
            </w:tcBorders>
            <w:noWrap w:val="0"/>
            <w:vAlign w:val="top"/>
          </w:tcPr>
          <w:p w14:paraId="7C1654B2">
            <w:pPr>
              <w:pStyle w:val="17"/>
              <w:spacing w:before="41" w:line="343" w:lineRule="auto"/>
              <w:ind w:left="166" w:right="34" w:hanging="102"/>
              <w:rPr>
                <w:color w:val="auto"/>
                <w:sz w:val="24"/>
                <w:szCs w:val="24"/>
                <w:highlight w:val="none"/>
              </w:rPr>
            </w:pPr>
            <w:r>
              <w:rPr>
                <w:color w:val="auto"/>
                <w:spacing w:val="-5"/>
                <w:sz w:val="24"/>
                <w:szCs w:val="24"/>
                <w:highlight w:val="none"/>
              </w:rPr>
              <w:t>引用的证明材</w:t>
            </w:r>
            <w:r>
              <w:rPr>
                <w:color w:val="auto"/>
                <w:spacing w:val="1"/>
                <w:sz w:val="24"/>
                <w:szCs w:val="24"/>
                <w:highlight w:val="none"/>
              </w:rPr>
              <w:t xml:space="preserve"> </w:t>
            </w:r>
            <w:r>
              <w:rPr>
                <w:color w:val="auto"/>
                <w:spacing w:val="-2"/>
                <w:sz w:val="24"/>
                <w:szCs w:val="24"/>
                <w:highlight w:val="none"/>
              </w:rPr>
              <w:t>料对应页码</w:t>
            </w:r>
          </w:p>
        </w:tc>
      </w:tr>
      <w:tr w14:paraId="5ECEC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noWrap w:val="0"/>
            <w:vAlign w:val="top"/>
          </w:tcPr>
          <w:p w14:paraId="2240BF05">
            <w:pPr>
              <w:spacing w:before="131" w:line="188" w:lineRule="auto"/>
              <w:ind w:left="252"/>
              <w:rPr>
                <w:rFonts w:ascii="Times New Roman" w:hAnsi="Times New Roman" w:eastAsia="Times New Roman" w:cs="Times New Roman"/>
                <w:color w:val="auto"/>
                <w:sz w:val="24"/>
                <w:szCs w:val="24"/>
                <w:highlight w:val="none"/>
              </w:rPr>
            </w:pPr>
            <w:r>
              <w:rPr>
                <w:rFonts w:ascii="Times New Roman" w:hAnsi="Times New Roman" w:eastAsia="Times New Roman" w:cs="Times New Roman"/>
                <w:b/>
                <w:bCs/>
                <w:color w:val="auto"/>
                <w:sz w:val="24"/>
                <w:szCs w:val="24"/>
                <w:highlight w:val="none"/>
              </w:rPr>
              <w:t>1</w:t>
            </w:r>
          </w:p>
        </w:tc>
        <w:tc>
          <w:tcPr>
            <w:tcW w:w="4742" w:type="dxa"/>
            <w:noWrap w:val="0"/>
            <w:vAlign w:val="top"/>
          </w:tcPr>
          <w:p w14:paraId="2E067B8C">
            <w:pPr>
              <w:pStyle w:val="17"/>
              <w:spacing w:before="80" w:line="230" w:lineRule="auto"/>
              <w:ind w:left="8"/>
              <w:rPr>
                <w:color w:val="auto"/>
                <w:sz w:val="24"/>
                <w:szCs w:val="24"/>
                <w:highlight w:val="none"/>
              </w:rPr>
            </w:pPr>
            <w:r>
              <w:rPr>
                <w:b/>
                <w:bCs/>
                <w:color w:val="auto"/>
                <w:spacing w:val="-6"/>
                <w:sz w:val="24"/>
                <w:szCs w:val="24"/>
                <w:highlight w:val="none"/>
              </w:rPr>
              <w:t>企业</w:t>
            </w:r>
          </w:p>
        </w:tc>
        <w:tc>
          <w:tcPr>
            <w:tcW w:w="969" w:type="dxa"/>
            <w:noWrap w:val="0"/>
            <w:vAlign w:val="top"/>
          </w:tcPr>
          <w:p w14:paraId="23C8AB98">
            <w:pPr>
              <w:rPr>
                <w:rFonts w:ascii="Arial"/>
                <w:color w:val="auto"/>
                <w:sz w:val="21"/>
                <w:highlight w:val="none"/>
              </w:rPr>
            </w:pPr>
          </w:p>
        </w:tc>
        <w:tc>
          <w:tcPr>
            <w:tcW w:w="969" w:type="dxa"/>
            <w:noWrap w:val="0"/>
            <w:vAlign w:val="top"/>
          </w:tcPr>
          <w:p w14:paraId="7FBFE997">
            <w:pPr>
              <w:rPr>
                <w:rFonts w:ascii="Arial"/>
                <w:color w:val="auto"/>
                <w:sz w:val="21"/>
                <w:highlight w:val="none"/>
              </w:rPr>
            </w:pPr>
          </w:p>
        </w:tc>
        <w:tc>
          <w:tcPr>
            <w:tcW w:w="1521" w:type="dxa"/>
            <w:tcBorders>
              <w:right w:val="single" w:color="000000" w:sz="6" w:space="0"/>
            </w:tcBorders>
            <w:noWrap w:val="0"/>
            <w:vAlign w:val="top"/>
          </w:tcPr>
          <w:p w14:paraId="6CBD22F2">
            <w:pPr>
              <w:rPr>
                <w:rFonts w:ascii="Arial"/>
                <w:color w:val="auto"/>
                <w:sz w:val="21"/>
                <w:highlight w:val="none"/>
              </w:rPr>
            </w:pPr>
          </w:p>
        </w:tc>
      </w:tr>
      <w:tr w14:paraId="0F374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noWrap w:val="0"/>
            <w:vAlign w:val="top"/>
          </w:tcPr>
          <w:p w14:paraId="1D02F78C">
            <w:pPr>
              <w:rPr>
                <w:rFonts w:ascii="Arial"/>
                <w:color w:val="auto"/>
                <w:sz w:val="21"/>
                <w:highlight w:val="none"/>
              </w:rPr>
            </w:pPr>
          </w:p>
        </w:tc>
        <w:tc>
          <w:tcPr>
            <w:tcW w:w="4742" w:type="dxa"/>
            <w:noWrap w:val="0"/>
            <w:vAlign w:val="top"/>
          </w:tcPr>
          <w:p w14:paraId="76B4C0A8">
            <w:pPr>
              <w:rPr>
                <w:rFonts w:ascii="Arial"/>
                <w:color w:val="auto"/>
                <w:sz w:val="21"/>
                <w:highlight w:val="none"/>
              </w:rPr>
            </w:pPr>
          </w:p>
        </w:tc>
        <w:tc>
          <w:tcPr>
            <w:tcW w:w="969" w:type="dxa"/>
            <w:noWrap w:val="0"/>
            <w:vAlign w:val="top"/>
          </w:tcPr>
          <w:p w14:paraId="1D98EF88">
            <w:pPr>
              <w:rPr>
                <w:rFonts w:ascii="Arial"/>
                <w:color w:val="auto"/>
                <w:sz w:val="21"/>
                <w:highlight w:val="none"/>
              </w:rPr>
            </w:pPr>
          </w:p>
        </w:tc>
        <w:tc>
          <w:tcPr>
            <w:tcW w:w="969" w:type="dxa"/>
            <w:noWrap w:val="0"/>
            <w:vAlign w:val="top"/>
          </w:tcPr>
          <w:p w14:paraId="04FA8A57">
            <w:pPr>
              <w:rPr>
                <w:rFonts w:ascii="Arial"/>
                <w:color w:val="auto"/>
                <w:sz w:val="21"/>
                <w:highlight w:val="none"/>
              </w:rPr>
            </w:pPr>
          </w:p>
        </w:tc>
        <w:tc>
          <w:tcPr>
            <w:tcW w:w="1521" w:type="dxa"/>
            <w:tcBorders>
              <w:right w:val="single" w:color="000000" w:sz="6" w:space="0"/>
            </w:tcBorders>
            <w:noWrap w:val="0"/>
            <w:vAlign w:val="top"/>
          </w:tcPr>
          <w:p w14:paraId="3C63052A">
            <w:pPr>
              <w:rPr>
                <w:rFonts w:ascii="Arial"/>
                <w:color w:val="auto"/>
                <w:sz w:val="21"/>
                <w:highlight w:val="none"/>
              </w:rPr>
            </w:pPr>
          </w:p>
        </w:tc>
      </w:tr>
      <w:tr w14:paraId="54161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noWrap w:val="0"/>
            <w:vAlign w:val="top"/>
          </w:tcPr>
          <w:p w14:paraId="01C40602">
            <w:pPr>
              <w:rPr>
                <w:rFonts w:ascii="Arial"/>
                <w:color w:val="auto"/>
                <w:sz w:val="21"/>
                <w:highlight w:val="none"/>
              </w:rPr>
            </w:pPr>
          </w:p>
        </w:tc>
        <w:tc>
          <w:tcPr>
            <w:tcW w:w="4742" w:type="dxa"/>
            <w:noWrap w:val="0"/>
            <w:vAlign w:val="top"/>
          </w:tcPr>
          <w:p w14:paraId="25853A80">
            <w:pPr>
              <w:rPr>
                <w:rFonts w:ascii="Arial"/>
                <w:color w:val="auto"/>
                <w:sz w:val="21"/>
                <w:highlight w:val="none"/>
              </w:rPr>
            </w:pPr>
          </w:p>
        </w:tc>
        <w:tc>
          <w:tcPr>
            <w:tcW w:w="969" w:type="dxa"/>
            <w:noWrap w:val="0"/>
            <w:vAlign w:val="top"/>
          </w:tcPr>
          <w:p w14:paraId="76B6A0E4">
            <w:pPr>
              <w:rPr>
                <w:rFonts w:ascii="Arial"/>
                <w:color w:val="auto"/>
                <w:sz w:val="21"/>
                <w:highlight w:val="none"/>
              </w:rPr>
            </w:pPr>
          </w:p>
        </w:tc>
        <w:tc>
          <w:tcPr>
            <w:tcW w:w="969" w:type="dxa"/>
            <w:noWrap w:val="0"/>
            <w:vAlign w:val="top"/>
          </w:tcPr>
          <w:p w14:paraId="5143A35A">
            <w:pPr>
              <w:rPr>
                <w:rFonts w:ascii="Arial"/>
                <w:color w:val="auto"/>
                <w:sz w:val="21"/>
                <w:highlight w:val="none"/>
              </w:rPr>
            </w:pPr>
          </w:p>
        </w:tc>
        <w:tc>
          <w:tcPr>
            <w:tcW w:w="1521" w:type="dxa"/>
            <w:tcBorders>
              <w:right w:val="single" w:color="000000" w:sz="6" w:space="0"/>
            </w:tcBorders>
            <w:noWrap w:val="0"/>
            <w:vAlign w:val="top"/>
          </w:tcPr>
          <w:p w14:paraId="48228A85">
            <w:pPr>
              <w:rPr>
                <w:rFonts w:ascii="Arial"/>
                <w:color w:val="auto"/>
                <w:sz w:val="21"/>
                <w:highlight w:val="none"/>
              </w:rPr>
            </w:pPr>
          </w:p>
        </w:tc>
      </w:tr>
      <w:tr w14:paraId="0B79E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1" w:type="dxa"/>
            <w:tcBorders>
              <w:left w:val="single" w:color="000000" w:sz="6" w:space="0"/>
            </w:tcBorders>
            <w:noWrap w:val="0"/>
            <w:vAlign w:val="top"/>
          </w:tcPr>
          <w:p w14:paraId="765FF1F5">
            <w:pPr>
              <w:rPr>
                <w:rFonts w:ascii="Arial"/>
                <w:color w:val="auto"/>
                <w:sz w:val="21"/>
                <w:highlight w:val="none"/>
              </w:rPr>
            </w:pPr>
          </w:p>
        </w:tc>
        <w:tc>
          <w:tcPr>
            <w:tcW w:w="4742" w:type="dxa"/>
            <w:noWrap w:val="0"/>
            <w:vAlign w:val="top"/>
          </w:tcPr>
          <w:p w14:paraId="7D563DA5">
            <w:pPr>
              <w:rPr>
                <w:rFonts w:ascii="Arial"/>
                <w:color w:val="auto"/>
                <w:sz w:val="21"/>
                <w:highlight w:val="none"/>
              </w:rPr>
            </w:pPr>
          </w:p>
        </w:tc>
        <w:tc>
          <w:tcPr>
            <w:tcW w:w="969" w:type="dxa"/>
            <w:noWrap w:val="0"/>
            <w:vAlign w:val="top"/>
          </w:tcPr>
          <w:p w14:paraId="6C90EF22">
            <w:pPr>
              <w:rPr>
                <w:rFonts w:ascii="Arial"/>
                <w:color w:val="auto"/>
                <w:sz w:val="21"/>
                <w:highlight w:val="none"/>
              </w:rPr>
            </w:pPr>
          </w:p>
        </w:tc>
        <w:tc>
          <w:tcPr>
            <w:tcW w:w="969" w:type="dxa"/>
            <w:noWrap w:val="0"/>
            <w:vAlign w:val="top"/>
          </w:tcPr>
          <w:p w14:paraId="3351DCCC">
            <w:pPr>
              <w:rPr>
                <w:rFonts w:ascii="Arial"/>
                <w:color w:val="auto"/>
                <w:sz w:val="21"/>
                <w:highlight w:val="none"/>
              </w:rPr>
            </w:pPr>
          </w:p>
        </w:tc>
        <w:tc>
          <w:tcPr>
            <w:tcW w:w="1521" w:type="dxa"/>
            <w:tcBorders>
              <w:right w:val="single" w:color="000000" w:sz="6" w:space="0"/>
            </w:tcBorders>
            <w:noWrap w:val="0"/>
            <w:vAlign w:val="top"/>
          </w:tcPr>
          <w:p w14:paraId="723B0342">
            <w:pPr>
              <w:rPr>
                <w:rFonts w:ascii="Arial"/>
                <w:color w:val="auto"/>
                <w:sz w:val="21"/>
                <w:highlight w:val="none"/>
              </w:rPr>
            </w:pPr>
          </w:p>
        </w:tc>
      </w:tr>
      <w:tr w14:paraId="128F31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noWrap w:val="0"/>
            <w:vAlign w:val="top"/>
          </w:tcPr>
          <w:p w14:paraId="53E7BF13">
            <w:pPr>
              <w:spacing w:before="135" w:line="188" w:lineRule="auto"/>
              <w:ind w:left="242"/>
              <w:rPr>
                <w:rFonts w:ascii="Times New Roman" w:hAnsi="Times New Roman" w:eastAsia="Times New Roman" w:cs="Times New Roman"/>
                <w:color w:val="auto"/>
                <w:sz w:val="24"/>
                <w:szCs w:val="24"/>
                <w:highlight w:val="none"/>
              </w:rPr>
            </w:pPr>
            <w:r>
              <w:rPr>
                <w:rFonts w:ascii="Times New Roman" w:hAnsi="Times New Roman" w:eastAsia="Times New Roman" w:cs="Times New Roman"/>
                <w:b/>
                <w:bCs/>
                <w:color w:val="auto"/>
                <w:sz w:val="24"/>
                <w:szCs w:val="24"/>
                <w:highlight w:val="none"/>
              </w:rPr>
              <w:t>2</w:t>
            </w:r>
          </w:p>
        </w:tc>
        <w:tc>
          <w:tcPr>
            <w:tcW w:w="4742" w:type="dxa"/>
            <w:noWrap w:val="0"/>
            <w:vAlign w:val="top"/>
          </w:tcPr>
          <w:p w14:paraId="0D3D777A">
            <w:pPr>
              <w:pStyle w:val="17"/>
              <w:spacing w:before="84" w:line="219" w:lineRule="auto"/>
              <w:ind w:left="5"/>
              <w:rPr>
                <w:color w:val="auto"/>
                <w:sz w:val="24"/>
                <w:szCs w:val="24"/>
                <w:highlight w:val="none"/>
              </w:rPr>
            </w:pPr>
            <w:r>
              <w:rPr>
                <w:b/>
                <w:bCs/>
                <w:color w:val="auto"/>
                <w:spacing w:val="-3"/>
                <w:sz w:val="24"/>
                <w:szCs w:val="24"/>
                <w:highlight w:val="none"/>
              </w:rPr>
              <w:t>拟派项目组主要人员</w:t>
            </w:r>
          </w:p>
        </w:tc>
        <w:tc>
          <w:tcPr>
            <w:tcW w:w="969" w:type="dxa"/>
            <w:noWrap w:val="0"/>
            <w:vAlign w:val="top"/>
          </w:tcPr>
          <w:p w14:paraId="4D8E8461">
            <w:pPr>
              <w:rPr>
                <w:rFonts w:ascii="Arial"/>
                <w:color w:val="auto"/>
                <w:sz w:val="21"/>
                <w:highlight w:val="none"/>
              </w:rPr>
            </w:pPr>
          </w:p>
        </w:tc>
        <w:tc>
          <w:tcPr>
            <w:tcW w:w="969" w:type="dxa"/>
            <w:noWrap w:val="0"/>
            <w:vAlign w:val="top"/>
          </w:tcPr>
          <w:p w14:paraId="00AFAE86">
            <w:pPr>
              <w:rPr>
                <w:rFonts w:ascii="Arial"/>
                <w:color w:val="auto"/>
                <w:sz w:val="21"/>
                <w:highlight w:val="none"/>
              </w:rPr>
            </w:pPr>
          </w:p>
        </w:tc>
        <w:tc>
          <w:tcPr>
            <w:tcW w:w="1521" w:type="dxa"/>
            <w:tcBorders>
              <w:right w:val="single" w:color="000000" w:sz="6" w:space="0"/>
            </w:tcBorders>
            <w:noWrap w:val="0"/>
            <w:vAlign w:val="top"/>
          </w:tcPr>
          <w:p w14:paraId="606FAF98">
            <w:pPr>
              <w:rPr>
                <w:rFonts w:ascii="Arial"/>
                <w:color w:val="auto"/>
                <w:sz w:val="21"/>
                <w:highlight w:val="none"/>
              </w:rPr>
            </w:pPr>
          </w:p>
        </w:tc>
      </w:tr>
      <w:tr w14:paraId="50DB3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1" w:type="dxa"/>
            <w:tcBorders>
              <w:left w:val="single" w:color="000000" w:sz="6" w:space="0"/>
            </w:tcBorders>
            <w:noWrap w:val="0"/>
            <w:vAlign w:val="top"/>
          </w:tcPr>
          <w:p w14:paraId="55EED6EA">
            <w:pPr>
              <w:rPr>
                <w:rFonts w:ascii="Arial"/>
                <w:color w:val="auto"/>
                <w:sz w:val="21"/>
                <w:highlight w:val="none"/>
              </w:rPr>
            </w:pPr>
          </w:p>
        </w:tc>
        <w:tc>
          <w:tcPr>
            <w:tcW w:w="4742" w:type="dxa"/>
            <w:noWrap w:val="0"/>
            <w:vAlign w:val="top"/>
          </w:tcPr>
          <w:p w14:paraId="5DFCCB69">
            <w:pPr>
              <w:rPr>
                <w:rFonts w:ascii="Arial"/>
                <w:color w:val="auto"/>
                <w:sz w:val="21"/>
                <w:highlight w:val="none"/>
              </w:rPr>
            </w:pPr>
          </w:p>
        </w:tc>
        <w:tc>
          <w:tcPr>
            <w:tcW w:w="969" w:type="dxa"/>
            <w:noWrap w:val="0"/>
            <w:vAlign w:val="top"/>
          </w:tcPr>
          <w:p w14:paraId="3A29EAD8">
            <w:pPr>
              <w:rPr>
                <w:rFonts w:ascii="Arial"/>
                <w:color w:val="auto"/>
                <w:sz w:val="21"/>
                <w:highlight w:val="none"/>
              </w:rPr>
            </w:pPr>
          </w:p>
        </w:tc>
        <w:tc>
          <w:tcPr>
            <w:tcW w:w="969" w:type="dxa"/>
            <w:noWrap w:val="0"/>
            <w:vAlign w:val="top"/>
          </w:tcPr>
          <w:p w14:paraId="50AD2245">
            <w:pPr>
              <w:rPr>
                <w:rFonts w:ascii="Arial"/>
                <w:color w:val="auto"/>
                <w:sz w:val="21"/>
                <w:highlight w:val="none"/>
              </w:rPr>
            </w:pPr>
          </w:p>
        </w:tc>
        <w:tc>
          <w:tcPr>
            <w:tcW w:w="1521" w:type="dxa"/>
            <w:tcBorders>
              <w:right w:val="single" w:color="000000" w:sz="6" w:space="0"/>
            </w:tcBorders>
            <w:noWrap w:val="0"/>
            <w:vAlign w:val="top"/>
          </w:tcPr>
          <w:p w14:paraId="209C01EA">
            <w:pPr>
              <w:rPr>
                <w:rFonts w:ascii="Arial"/>
                <w:color w:val="auto"/>
                <w:sz w:val="21"/>
                <w:highlight w:val="none"/>
              </w:rPr>
            </w:pPr>
          </w:p>
        </w:tc>
      </w:tr>
      <w:tr w14:paraId="563CB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1" w:type="dxa"/>
            <w:tcBorders>
              <w:left w:val="single" w:color="000000" w:sz="6" w:space="0"/>
            </w:tcBorders>
            <w:noWrap w:val="0"/>
            <w:vAlign w:val="top"/>
          </w:tcPr>
          <w:p w14:paraId="40A2BC84">
            <w:pPr>
              <w:rPr>
                <w:rFonts w:ascii="Arial"/>
                <w:color w:val="auto"/>
                <w:sz w:val="21"/>
                <w:highlight w:val="none"/>
              </w:rPr>
            </w:pPr>
          </w:p>
        </w:tc>
        <w:tc>
          <w:tcPr>
            <w:tcW w:w="4742" w:type="dxa"/>
            <w:noWrap w:val="0"/>
            <w:vAlign w:val="top"/>
          </w:tcPr>
          <w:p w14:paraId="16E91898">
            <w:pPr>
              <w:rPr>
                <w:rFonts w:ascii="Arial"/>
                <w:color w:val="auto"/>
                <w:sz w:val="21"/>
                <w:highlight w:val="none"/>
              </w:rPr>
            </w:pPr>
          </w:p>
        </w:tc>
        <w:tc>
          <w:tcPr>
            <w:tcW w:w="969" w:type="dxa"/>
            <w:noWrap w:val="0"/>
            <w:vAlign w:val="top"/>
          </w:tcPr>
          <w:p w14:paraId="20C68B52">
            <w:pPr>
              <w:rPr>
                <w:rFonts w:ascii="Arial"/>
                <w:color w:val="auto"/>
                <w:sz w:val="21"/>
                <w:highlight w:val="none"/>
              </w:rPr>
            </w:pPr>
          </w:p>
        </w:tc>
        <w:tc>
          <w:tcPr>
            <w:tcW w:w="969" w:type="dxa"/>
            <w:noWrap w:val="0"/>
            <w:vAlign w:val="top"/>
          </w:tcPr>
          <w:p w14:paraId="19F5DC0D">
            <w:pPr>
              <w:rPr>
                <w:rFonts w:ascii="Arial"/>
                <w:color w:val="auto"/>
                <w:sz w:val="21"/>
                <w:highlight w:val="none"/>
              </w:rPr>
            </w:pPr>
          </w:p>
        </w:tc>
        <w:tc>
          <w:tcPr>
            <w:tcW w:w="1521" w:type="dxa"/>
            <w:tcBorders>
              <w:right w:val="single" w:color="000000" w:sz="6" w:space="0"/>
            </w:tcBorders>
            <w:noWrap w:val="0"/>
            <w:vAlign w:val="top"/>
          </w:tcPr>
          <w:p w14:paraId="13C2C872">
            <w:pPr>
              <w:rPr>
                <w:rFonts w:ascii="Arial"/>
                <w:color w:val="auto"/>
                <w:sz w:val="21"/>
                <w:highlight w:val="none"/>
              </w:rPr>
            </w:pPr>
          </w:p>
        </w:tc>
      </w:tr>
      <w:tr w14:paraId="37222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1" w:type="dxa"/>
            <w:tcBorders>
              <w:left w:val="single" w:color="000000" w:sz="6" w:space="0"/>
            </w:tcBorders>
            <w:noWrap w:val="0"/>
            <w:vAlign w:val="top"/>
          </w:tcPr>
          <w:p w14:paraId="2DEB0CF6">
            <w:pPr>
              <w:rPr>
                <w:rFonts w:ascii="Arial"/>
                <w:color w:val="auto"/>
                <w:sz w:val="21"/>
                <w:highlight w:val="none"/>
              </w:rPr>
            </w:pPr>
          </w:p>
        </w:tc>
        <w:tc>
          <w:tcPr>
            <w:tcW w:w="4742" w:type="dxa"/>
            <w:noWrap w:val="0"/>
            <w:vAlign w:val="top"/>
          </w:tcPr>
          <w:p w14:paraId="24BABD5D">
            <w:pPr>
              <w:rPr>
                <w:rFonts w:ascii="Arial"/>
                <w:color w:val="auto"/>
                <w:sz w:val="21"/>
                <w:highlight w:val="none"/>
              </w:rPr>
            </w:pPr>
          </w:p>
        </w:tc>
        <w:tc>
          <w:tcPr>
            <w:tcW w:w="969" w:type="dxa"/>
            <w:noWrap w:val="0"/>
            <w:vAlign w:val="top"/>
          </w:tcPr>
          <w:p w14:paraId="3B787A22">
            <w:pPr>
              <w:rPr>
                <w:rFonts w:ascii="Arial"/>
                <w:color w:val="auto"/>
                <w:sz w:val="21"/>
                <w:highlight w:val="none"/>
              </w:rPr>
            </w:pPr>
          </w:p>
        </w:tc>
        <w:tc>
          <w:tcPr>
            <w:tcW w:w="969" w:type="dxa"/>
            <w:noWrap w:val="0"/>
            <w:vAlign w:val="top"/>
          </w:tcPr>
          <w:p w14:paraId="06D08FA2">
            <w:pPr>
              <w:rPr>
                <w:rFonts w:ascii="Arial"/>
                <w:color w:val="auto"/>
                <w:sz w:val="21"/>
                <w:highlight w:val="none"/>
              </w:rPr>
            </w:pPr>
          </w:p>
        </w:tc>
        <w:tc>
          <w:tcPr>
            <w:tcW w:w="1521" w:type="dxa"/>
            <w:tcBorders>
              <w:right w:val="single" w:color="000000" w:sz="6" w:space="0"/>
            </w:tcBorders>
            <w:noWrap w:val="0"/>
            <w:vAlign w:val="top"/>
          </w:tcPr>
          <w:p w14:paraId="5837F789">
            <w:pPr>
              <w:rPr>
                <w:rFonts w:ascii="Arial"/>
                <w:color w:val="auto"/>
                <w:sz w:val="21"/>
                <w:highlight w:val="none"/>
              </w:rPr>
            </w:pPr>
          </w:p>
        </w:tc>
      </w:tr>
      <w:tr w14:paraId="5083A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noWrap w:val="0"/>
            <w:vAlign w:val="top"/>
          </w:tcPr>
          <w:p w14:paraId="76773488">
            <w:pPr>
              <w:spacing w:before="136" w:line="188" w:lineRule="auto"/>
              <w:ind w:left="240"/>
              <w:rPr>
                <w:rFonts w:ascii="Times New Roman" w:hAnsi="Times New Roman" w:eastAsia="Times New Roman" w:cs="Times New Roman"/>
                <w:color w:val="auto"/>
                <w:sz w:val="24"/>
                <w:szCs w:val="24"/>
                <w:highlight w:val="none"/>
              </w:rPr>
            </w:pPr>
            <w:r>
              <w:rPr>
                <w:rFonts w:ascii="Times New Roman" w:hAnsi="Times New Roman" w:eastAsia="Times New Roman" w:cs="Times New Roman"/>
                <w:b/>
                <w:bCs/>
                <w:color w:val="auto"/>
                <w:sz w:val="24"/>
                <w:szCs w:val="24"/>
                <w:highlight w:val="none"/>
              </w:rPr>
              <w:t>3</w:t>
            </w:r>
          </w:p>
        </w:tc>
        <w:tc>
          <w:tcPr>
            <w:tcW w:w="4742" w:type="dxa"/>
            <w:noWrap w:val="0"/>
            <w:vAlign w:val="top"/>
          </w:tcPr>
          <w:p w14:paraId="7E541E98">
            <w:pPr>
              <w:pStyle w:val="17"/>
              <w:spacing w:before="86" w:line="220" w:lineRule="auto"/>
              <w:ind w:left="6"/>
              <w:rPr>
                <w:color w:val="auto"/>
                <w:sz w:val="24"/>
                <w:szCs w:val="24"/>
                <w:highlight w:val="none"/>
              </w:rPr>
            </w:pPr>
            <w:r>
              <w:rPr>
                <w:b/>
                <w:bCs/>
                <w:color w:val="auto"/>
                <w:spacing w:val="-5"/>
                <w:sz w:val="24"/>
                <w:szCs w:val="24"/>
                <w:highlight w:val="none"/>
              </w:rPr>
              <w:t>其他</w:t>
            </w:r>
          </w:p>
        </w:tc>
        <w:tc>
          <w:tcPr>
            <w:tcW w:w="969" w:type="dxa"/>
            <w:noWrap w:val="0"/>
            <w:vAlign w:val="top"/>
          </w:tcPr>
          <w:p w14:paraId="53191B57">
            <w:pPr>
              <w:rPr>
                <w:rFonts w:ascii="Arial"/>
                <w:color w:val="auto"/>
                <w:sz w:val="21"/>
                <w:highlight w:val="none"/>
              </w:rPr>
            </w:pPr>
          </w:p>
        </w:tc>
        <w:tc>
          <w:tcPr>
            <w:tcW w:w="969" w:type="dxa"/>
            <w:noWrap w:val="0"/>
            <w:vAlign w:val="top"/>
          </w:tcPr>
          <w:p w14:paraId="4277B6E7">
            <w:pPr>
              <w:rPr>
                <w:rFonts w:ascii="Arial"/>
                <w:color w:val="auto"/>
                <w:sz w:val="21"/>
                <w:highlight w:val="none"/>
              </w:rPr>
            </w:pPr>
          </w:p>
        </w:tc>
        <w:tc>
          <w:tcPr>
            <w:tcW w:w="1521" w:type="dxa"/>
            <w:tcBorders>
              <w:right w:val="single" w:color="000000" w:sz="6" w:space="0"/>
            </w:tcBorders>
            <w:noWrap w:val="0"/>
            <w:vAlign w:val="top"/>
          </w:tcPr>
          <w:p w14:paraId="29DD115F">
            <w:pPr>
              <w:rPr>
                <w:rFonts w:ascii="Arial"/>
                <w:color w:val="auto"/>
                <w:sz w:val="21"/>
                <w:highlight w:val="none"/>
              </w:rPr>
            </w:pPr>
          </w:p>
        </w:tc>
      </w:tr>
      <w:tr w14:paraId="3718A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noWrap w:val="0"/>
            <w:vAlign w:val="top"/>
          </w:tcPr>
          <w:p w14:paraId="2716FFE7">
            <w:pPr>
              <w:rPr>
                <w:rFonts w:ascii="Arial"/>
                <w:color w:val="auto"/>
                <w:sz w:val="21"/>
                <w:highlight w:val="none"/>
              </w:rPr>
            </w:pPr>
          </w:p>
        </w:tc>
        <w:tc>
          <w:tcPr>
            <w:tcW w:w="4742" w:type="dxa"/>
            <w:noWrap w:val="0"/>
            <w:vAlign w:val="top"/>
          </w:tcPr>
          <w:p w14:paraId="387C2AFD">
            <w:pPr>
              <w:rPr>
                <w:rFonts w:ascii="Arial"/>
                <w:color w:val="auto"/>
                <w:sz w:val="21"/>
                <w:highlight w:val="none"/>
              </w:rPr>
            </w:pPr>
          </w:p>
        </w:tc>
        <w:tc>
          <w:tcPr>
            <w:tcW w:w="969" w:type="dxa"/>
            <w:noWrap w:val="0"/>
            <w:vAlign w:val="top"/>
          </w:tcPr>
          <w:p w14:paraId="34A1648A">
            <w:pPr>
              <w:rPr>
                <w:rFonts w:ascii="Arial"/>
                <w:color w:val="auto"/>
                <w:sz w:val="21"/>
                <w:highlight w:val="none"/>
              </w:rPr>
            </w:pPr>
          </w:p>
        </w:tc>
        <w:tc>
          <w:tcPr>
            <w:tcW w:w="969" w:type="dxa"/>
            <w:noWrap w:val="0"/>
            <w:vAlign w:val="top"/>
          </w:tcPr>
          <w:p w14:paraId="42917298">
            <w:pPr>
              <w:rPr>
                <w:rFonts w:ascii="Arial"/>
                <w:color w:val="auto"/>
                <w:sz w:val="21"/>
                <w:highlight w:val="none"/>
              </w:rPr>
            </w:pPr>
          </w:p>
        </w:tc>
        <w:tc>
          <w:tcPr>
            <w:tcW w:w="1521" w:type="dxa"/>
            <w:tcBorders>
              <w:right w:val="single" w:color="000000" w:sz="6" w:space="0"/>
            </w:tcBorders>
            <w:noWrap w:val="0"/>
            <w:vAlign w:val="top"/>
          </w:tcPr>
          <w:p w14:paraId="290B9B75">
            <w:pPr>
              <w:rPr>
                <w:rFonts w:ascii="Arial"/>
                <w:color w:val="auto"/>
                <w:sz w:val="21"/>
                <w:highlight w:val="none"/>
              </w:rPr>
            </w:pPr>
          </w:p>
        </w:tc>
      </w:tr>
      <w:tr w14:paraId="02E788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1" w:type="dxa"/>
            <w:tcBorders>
              <w:left w:val="single" w:color="000000" w:sz="6" w:space="0"/>
            </w:tcBorders>
            <w:noWrap w:val="0"/>
            <w:vAlign w:val="top"/>
          </w:tcPr>
          <w:p w14:paraId="1296F493">
            <w:pPr>
              <w:rPr>
                <w:rFonts w:ascii="Arial"/>
                <w:color w:val="auto"/>
                <w:sz w:val="21"/>
                <w:highlight w:val="none"/>
              </w:rPr>
            </w:pPr>
          </w:p>
        </w:tc>
        <w:tc>
          <w:tcPr>
            <w:tcW w:w="4742" w:type="dxa"/>
            <w:noWrap w:val="0"/>
            <w:vAlign w:val="top"/>
          </w:tcPr>
          <w:p w14:paraId="387C356B">
            <w:pPr>
              <w:rPr>
                <w:rFonts w:ascii="Arial"/>
                <w:color w:val="auto"/>
                <w:sz w:val="21"/>
                <w:highlight w:val="none"/>
              </w:rPr>
            </w:pPr>
          </w:p>
        </w:tc>
        <w:tc>
          <w:tcPr>
            <w:tcW w:w="969" w:type="dxa"/>
            <w:noWrap w:val="0"/>
            <w:vAlign w:val="top"/>
          </w:tcPr>
          <w:p w14:paraId="543831EB">
            <w:pPr>
              <w:rPr>
                <w:rFonts w:ascii="Arial"/>
                <w:color w:val="auto"/>
                <w:sz w:val="21"/>
                <w:highlight w:val="none"/>
              </w:rPr>
            </w:pPr>
          </w:p>
        </w:tc>
        <w:tc>
          <w:tcPr>
            <w:tcW w:w="969" w:type="dxa"/>
            <w:noWrap w:val="0"/>
            <w:vAlign w:val="top"/>
          </w:tcPr>
          <w:p w14:paraId="6126011D">
            <w:pPr>
              <w:rPr>
                <w:rFonts w:ascii="Arial"/>
                <w:color w:val="auto"/>
                <w:sz w:val="21"/>
                <w:highlight w:val="none"/>
              </w:rPr>
            </w:pPr>
          </w:p>
        </w:tc>
        <w:tc>
          <w:tcPr>
            <w:tcW w:w="1521" w:type="dxa"/>
            <w:tcBorders>
              <w:right w:val="single" w:color="000000" w:sz="6" w:space="0"/>
            </w:tcBorders>
            <w:noWrap w:val="0"/>
            <w:vAlign w:val="top"/>
          </w:tcPr>
          <w:p w14:paraId="6F7A26F2">
            <w:pPr>
              <w:rPr>
                <w:rFonts w:ascii="Arial"/>
                <w:color w:val="auto"/>
                <w:sz w:val="21"/>
                <w:highlight w:val="none"/>
              </w:rPr>
            </w:pPr>
          </w:p>
        </w:tc>
      </w:tr>
      <w:tr w14:paraId="35365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noWrap w:val="0"/>
            <w:vAlign w:val="top"/>
          </w:tcPr>
          <w:p w14:paraId="0DC03085">
            <w:pPr>
              <w:rPr>
                <w:rFonts w:ascii="Arial"/>
                <w:color w:val="auto"/>
                <w:sz w:val="21"/>
                <w:highlight w:val="none"/>
              </w:rPr>
            </w:pPr>
          </w:p>
        </w:tc>
        <w:tc>
          <w:tcPr>
            <w:tcW w:w="4742" w:type="dxa"/>
            <w:noWrap w:val="0"/>
            <w:vAlign w:val="top"/>
          </w:tcPr>
          <w:p w14:paraId="52D4077F">
            <w:pPr>
              <w:rPr>
                <w:rFonts w:ascii="Arial"/>
                <w:color w:val="auto"/>
                <w:sz w:val="21"/>
                <w:highlight w:val="none"/>
              </w:rPr>
            </w:pPr>
          </w:p>
        </w:tc>
        <w:tc>
          <w:tcPr>
            <w:tcW w:w="969" w:type="dxa"/>
            <w:noWrap w:val="0"/>
            <w:vAlign w:val="top"/>
          </w:tcPr>
          <w:p w14:paraId="3E9A04E2">
            <w:pPr>
              <w:rPr>
                <w:rFonts w:ascii="Arial"/>
                <w:color w:val="auto"/>
                <w:sz w:val="21"/>
                <w:highlight w:val="none"/>
              </w:rPr>
            </w:pPr>
          </w:p>
        </w:tc>
        <w:tc>
          <w:tcPr>
            <w:tcW w:w="969" w:type="dxa"/>
            <w:noWrap w:val="0"/>
            <w:vAlign w:val="top"/>
          </w:tcPr>
          <w:p w14:paraId="32EF8B91">
            <w:pPr>
              <w:rPr>
                <w:rFonts w:ascii="Arial"/>
                <w:color w:val="auto"/>
                <w:sz w:val="21"/>
                <w:highlight w:val="none"/>
              </w:rPr>
            </w:pPr>
          </w:p>
        </w:tc>
        <w:tc>
          <w:tcPr>
            <w:tcW w:w="1521" w:type="dxa"/>
            <w:tcBorders>
              <w:right w:val="single" w:color="000000" w:sz="6" w:space="0"/>
            </w:tcBorders>
            <w:noWrap w:val="0"/>
            <w:vAlign w:val="top"/>
          </w:tcPr>
          <w:p w14:paraId="215CE4B8">
            <w:pPr>
              <w:rPr>
                <w:rFonts w:ascii="Arial"/>
                <w:color w:val="auto"/>
                <w:sz w:val="21"/>
                <w:highlight w:val="none"/>
              </w:rPr>
            </w:pPr>
          </w:p>
        </w:tc>
      </w:tr>
      <w:tr w14:paraId="48E23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1" w:type="dxa"/>
            <w:tcBorders>
              <w:left w:val="single" w:color="000000" w:sz="6" w:space="0"/>
            </w:tcBorders>
            <w:noWrap w:val="0"/>
            <w:vAlign w:val="top"/>
          </w:tcPr>
          <w:p w14:paraId="158FA67B">
            <w:pPr>
              <w:rPr>
                <w:rFonts w:ascii="Arial"/>
                <w:color w:val="auto"/>
                <w:sz w:val="21"/>
                <w:highlight w:val="none"/>
              </w:rPr>
            </w:pPr>
          </w:p>
        </w:tc>
        <w:tc>
          <w:tcPr>
            <w:tcW w:w="4742" w:type="dxa"/>
            <w:noWrap w:val="0"/>
            <w:vAlign w:val="top"/>
          </w:tcPr>
          <w:p w14:paraId="5382AFC2">
            <w:pPr>
              <w:rPr>
                <w:rFonts w:ascii="Arial"/>
                <w:color w:val="auto"/>
                <w:sz w:val="21"/>
                <w:highlight w:val="none"/>
              </w:rPr>
            </w:pPr>
          </w:p>
        </w:tc>
        <w:tc>
          <w:tcPr>
            <w:tcW w:w="969" w:type="dxa"/>
            <w:noWrap w:val="0"/>
            <w:vAlign w:val="top"/>
          </w:tcPr>
          <w:p w14:paraId="0211E777">
            <w:pPr>
              <w:rPr>
                <w:rFonts w:ascii="Arial"/>
                <w:color w:val="auto"/>
                <w:sz w:val="21"/>
                <w:highlight w:val="none"/>
              </w:rPr>
            </w:pPr>
          </w:p>
        </w:tc>
        <w:tc>
          <w:tcPr>
            <w:tcW w:w="969" w:type="dxa"/>
            <w:noWrap w:val="0"/>
            <w:vAlign w:val="top"/>
          </w:tcPr>
          <w:p w14:paraId="72C2DB9E">
            <w:pPr>
              <w:rPr>
                <w:rFonts w:ascii="Arial"/>
                <w:color w:val="auto"/>
                <w:sz w:val="21"/>
                <w:highlight w:val="none"/>
              </w:rPr>
            </w:pPr>
          </w:p>
        </w:tc>
        <w:tc>
          <w:tcPr>
            <w:tcW w:w="1521" w:type="dxa"/>
            <w:tcBorders>
              <w:right w:val="single" w:color="000000" w:sz="6" w:space="0"/>
            </w:tcBorders>
            <w:noWrap w:val="0"/>
            <w:vAlign w:val="top"/>
          </w:tcPr>
          <w:p w14:paraId="5AA92275">
            <w:pPr>
              <w:rPr>
                <w:rFonts w:ascii="Arial"/>
                <w:color w:val="auto"/>
                <w:sz w:val="21"/>
                <w:highlight w:val="none"/>
              </w:rPr>
            </w:pPr>
          </w:p>
        </w:tc>
      </w:tr>
      <w:tr w14:paraId="5FAEC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1" w:type="dxa"/>
            <w:tcBorders>
              <w:left w:val="single" w:color="000000" w:sz="6" w:space="0"/>
            </w:tcBorders>
            <w:noWrap w:val="0"/>
            <w:vAlign w:val="top"/>
          </w:tcPr>
          <w:p w14:paraId="69DC20A5">
            <w:pPr>
              <w:rPr>
                <w:rFonts w:ascii="Arial"/>
                <w:color w:val="auto"/>
                <w:sz w:val="21"/>
                <w:highlight w:val="none"/>
              </w:rPr>
            </w:pPr>
          </w:p>
        </w:tc>
        <w:tc>
          <w:tcPr>
            <w:tcW w:w="4742" w:type="dxa"/>
            <w:noWrap w:val="0"/>
            <w:vAlign w:val="top"/>
          </w:tcPr>
          <w:p w14:paraId="3F8F16DC">
            <w:pPr>
              <w:rPr>
                <w:rFonts w:ascii="Arial"/>
                <w:color w:val="auto"/>
                <w:sz w:val="21"/>
                <w:highlight w:val="none"/>
              </w:rPr>
            </w:pPr>
          </w:p>
        </w:tc>
        <w:tc>
          <w:tcPr>
            <w:tcW w:w="969" w:type="dxa"/>
            <w:noWrap w:val="0"/>
            <w:vAlign w:val="top"/>
          </w:tcPr>
          <w:p w14:paraId="3D895642">
            <w:pPr>
              <w:rPr>
                <w:rFonts w:ascii="Arial"/>
                <w:color w:val="auto"/>
                <w:sz w:val="21"/>
                <w:highlight w:val="none"/>
              </w:rPr>
            </w:pPr>
          </w:p>
        </w:tc>
        <w:tc>
          <w:tcPr>
            <w:tcW w:w="969" w:type="dxa"/>
            <w:noWrap w:val="0"/>
            <w:vAlign w:val="top"/>
          </w:tcPr>
          <w:p w14:paraId="43810B17">
            <w:pPr>
              <w:rPr>
                <w:rFonts w:ascii="Arial"/>
                <w:color w:val="auto"/>
                <w:sz w:val="21"/>
                <w:highlight w:val="none"/>
              </w:rPr>
            </w:pPr>
          </w:p>
        </w:tc>
        <w:tc>
          <w:tcPr>
            <w:tcW w:w="1521" w:type="dxa"/>
            <w:tcBorders>
              <w:right w:val="single" w:color="000000" w:sz="6" w:space="0"/>
            </w:tcBorders>
            <w:noWrap w:val="0"/>
            <w:vAlign w:val="top"/>
          </w:tcPr>
          <w:p w14:paraId="6E848199">
            <w:pPr>
              <w:rPr>
                <w:rFonts w:ascii="Arial"/>
                <w:color w:val="auto"/>
                <w:sz w:val="21"/>
                <w:highlight w:val="none"/>
              </w:rPr>
            </w:pPr>
          </w:p>
        </w:tc>
      </w:tr>
      <w:tr w14:paraId="37FB2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noWrap w:val="0"/>
            <w:vAlign w:val="top"/>
          </w:tcPr>
          <w:p w14:paraId="57A42377">
            <w:pPr>
              <w:rPr>
                <w:rFonts w:ascii="Arial"/>
                <w:color w:val="auto"/>
                <w:sz w:val="21"/>
                <w:highlight w:val="none"/>
              </w:rPr>
            </w:pPr>
          </w:p>
        </w:tc>
        <w:tc>
          <w:tcPr>
            <w:tcW w:w="4742" w:type="dxa"/>
            <w:noWrap w:val="0"/>
            <w:vAlign w:val="top"/>
          </w:tcPr>
          <w:p w14:paraId="28BBA8D2">
            <w:pPr>
              <w:rPr>
                <w:rFonts w:ascii="Arial"/>
                <w:color w:val="auto"/>
                <w:sz w:val="21"/>
                <w:highlight w:val="none"/>
              </w:rPr>
            </w:pPr>
          </w:p>
        </w:tc>
        <w:tc>
          <w:tcPr>
            <w:tcW w:w="969" w:type="dxa"/>
            <w:noWrap w:val="0"/>
            <w:vAlign w:val="top"/>
          </w:tcPr>
          <w:p w14:paraId="757CE0E0">
            <w:pPr>
              <w:rPr>
                <w:rFonts w:ascii="Arial"/>
                <w:color w:val="auto"/>
                <w:sz w:val="21"/>
                <w:highlight w:val="none"/>
              </w:rPr>
            </w:pPr>
          </w:p>
        </w:tc>
        <w:tc>
          <w:tcPr>
            <w:tcW w:w="969" w:type="dxa"/>
            <w:noWrap w:val="0"/>
            <w:vAlign w:val="top"/>
          </w:tcPr>
          <w:p w14:paraId="30316738">
            <w:pPr>
              <w:rPr>
                <w:rFonts w:ascii="Arial"/>
                <w:color w:val="auto"/>
                <w:sz w:val="21"/>
                <w:highlight w:val="none"/>
              </w:rPr>
            </w:pPr>
          </w:p>
        </w:tc>
        <w:tc>
          <w:tcPr>
            <w:tcW w:w="1521" w:type="dxa"/>
            <w:tcBorders>
              <w:right w:val="single" w:color="000000" w:sz="6" w:space="0"/>
            </w:tcBorders>
            <w:noWrap w:val="0"/>
            <w:vAlign w:val="top"/>
          </w:tcPr>
          <w:p w14:paraId="663E7B05">
            <w:pPr>
              <w:rPr>
                <w:rFonts w:ascii="Arial"/>
                <w:color w:val="auto"/>
                <w:sz w:val="21"/>
                <w:highlight w:val="none"/>
              </w:rPr>
            </w:pPr>
          </w:p>
        </w:tc>
      </w:tr>
      <w:tr w14:paraId="529F38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noWrap w:val="0"/>
            <w:vAlign w:val="top"/>
          </w:tcPr>
          <w:p w14:paraId="57E21098">
            <w:pPr>
              <w:rPr>
                <w:rFonts w:ascii="Arial"/>
                <w:color w:val="auto"/>
                <w:sz w:val="21"/>
                <w:highlight w:val="none"/>
              </w:rPr>
            </w:pPr>
          </w:p>
        </w:tc>
        <w:tc>
          <w:tcPr>
            <w:tcW w:w="4742" w:type="dxa"/>
            <w:noWrap w:val="0"/>
            <w:vAlign w:val="top"/>
          </w:tcPr>
          <w:p w14:paraId="511AA354">
            <w:pPr>
              <w:rPr>
                <w:rFonts w:ascii="Arial"/>
                <w:color w:val="auto"/>
                <w:sz w:val="21"/>
                <w:highlight w:val="none"/>
              </w:rPr>
            </w:pPr>
          </w:p>
        </w:tc>
        <w:tc>
          <w:tcPr>
            <w:tcW w:w="969" w:type="dxa"/>
            <w:noWrap w:val="0"/>
            <w:vAlign w:val="top"/>
          </w:tcPr>
          <w:p w14:paraId="03097C8E">
            <w:pPr>
              <w:rPr>
                <w:rFonts w:ascii="Arial"/>
                <w:color w:val="auto"/>
                <w:sz w:val="21"/>
                <w:highlight w:val="none"/>
              </w:rPr>
            </w:pPr>
          </w:p>
        </w:tc>
        <w:tc>
          <w:tcPr>
            <w:tcW w:w="969" w:type="dxa"/>
            <w:noWrap w:val="0"/>
            <w:vAlign w:val="top"/>
          </w:tcPr>
          <w:p w14:paraId="45B5DFD8">
            <w:pPr>
              <w:rPr>
                <w:rFonts w:ascii="Arial"/>
                <w:color w:val="auto"/>
                <w:sz w:val="21"/>
                <w:highlight w:val="none"/>
              </w:rPr>
            </w:pPr>
          </w:p>
        </w:tc>
        <w:tc>
          <w:tcPr>
            <w:tcW w:w="1521" w:type="dxa"/>
            <w:tcBorders>
              <w:right w:val="single" w:color="000000" w:sz="6" w:space="0"/>
            </w:tcBorders>
            <w:noWrap w:val="0"/>
            <w:vAlign w:val="top"/>
          </w:tcPr>
          <w:p w14:paraId="6BF5977F">
            <w:pPr>
              <w:rPr>
                <w:rFonts w:ascii="Arial"/>
                <w:color w:val="auto"/>
                <w:sz w:val="21"/>
                <w:highlight w:val="none"/>
              </w:rPr>
            </w:pPr>
          </w:p>
        </w:tc>
      </w:tr>
      <w:tr w14:paraId="22BE5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611" w:type="dxa"/>
            <w:tcBorders>
              <w:left w:val="single" w:color="000000" w:sz="6" w:space="0"/>
            </w:tcBorders>
            <w:noWrap w:val="0"/>
            <w:vAlign w:val="top"/>
          </w:tcPr>
          <w:p w14:paraId="76D10115">
            <w:pPr>
              <w:rPr>
                <w:rFonts w:ascii="Arial"/>
                <w:color w:val="auto"/>
                <w:sz w:val="21"/>
                <w:highlight w:val="none"/>
              </w:rPr>
            </w:pPr>
          </w:p>
        </w:tc>
        <w:tc>
          <w:tcPr>
            <w:tcW w:w="4742" w:type="dxa"/>
            <w:noWrap w:val="0"/>
            <w:vAlign w:val="top"/>
          </w:tcPr>
          <w:p w14:paraId="415160D3">
            <w:pPr>
              <w:rPr>
                <w:rFonts w:ascii="Arial"/>
                <w:color w:val="auto"/>
                <w:sz w:val="21"/>
                <w:highlight w:val="none"/>
              </w:rPr>
            </w:pPr>
          </w:p>
        </w:tc>
        <w:tc>
          <w:tcPr>
            <w:tcW w:w="969" w:type="dxa"/>
            <w:noWrap w:val="0"/>
            <w:vAlign w:val="top"/>
          </w:tcPr>
          <w:p w14:paraId="129C8DFF">
            <w:pPr>
              <w:rPr>
                <w:rFonts w:ascii="Arial"/>
                <w:color w:val="auto"/>
                <w:sz w:val="21"/>
                <w:highlight w:val="none"/>
              </w:rPr>
            </w:pPr>
          </w:p>
        </w:tc>
        <w:tc>
          <w:tcPr>
            <w:tcW w:w="969" w:type="dxa"/>
            <w:noWrap w:val="0"/>
            <w:vAlign w:val="top"/>
          </w:tcPr>
          <w:p w14:paraId="37F61E79">
            <w:pPr>
              <w:rPr>
                <w:rFonts w:ascii="Arial"/>
                <w:color w:val="auto"/>
                <w:sz w:val="21"/>
                <w:highlight w:val="none"/>
              </w:rPr>
            </w:pPr>
          </w:p>
        </w:tc>
        <w:tc>
          <w:tcPr>
            <w:tcW w:w="1521" w:type="dxa"/>
            <w:tcBorders>
              <w:right w:val="single" w:color="000000" w:sz="6" w:space="0"/>
            </w:tcBorders>
            <w:noWrap w:val="0"/>
            <w:vAlign w:val="top"/>
          </w:tcPr>
          <w:p w14:paraId="3BB9FB69">
            <w:pPr>
              <w:rPr>
                <w:rFonts w:ascii="Arial"/>
                <w:color w:val="auto"/>
                <w:sz w:val="21"/>
                <w:highlight w:val="none"/>
              </w:rPr>
            </w:pPr>
          </w:p>
        </w:tc>
      </w:tr>
      <w:tr w14:paraId="372F8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noWrap w:val="0"/>
            <w:vAlign w:val="top"/>
          </w:tcPr>
          <w:p w14:paraId="66ACE59D">
            <w:pPr>
              <w:rPr>
                <w:rFonts w:ascii="Arial"/>
                <w:color w:val="auto"/>
                <w:sz w:val="21"/>
                <w:highlight w:val="none"/>
              </w:rPr>
            </w:pPr>
          </w:p>
        </w:tc>
        <w:tc>
          <w:tcPr>
            <w:tcW w:w="4742" w:type="dxa"/>
            <w:noWrap w:val="0"/>
            <w:vAlign w:val="top"/>
          </w:tcPr>
          <w:p w14:paraId="789EB714">
            <w:pPr>
              <w:rPr>
                <w:rFonts w:ascii="Arial"/>
                <w:color w:val="auto"/>
                <w:sz w:val="21"/>
                <w:highlight w:val="none"/>
              </w:rPr>
            </w:pPr>
          </w:p>
        </w:tc>
        <w:tc>
          <w:tcPr>
            <w:tcW w:w="969" w:type="dxa"/>
            <w:noWrap w:val="0"/>
            <w:vAlign w:val="top"/>
          </w:tcPr>
          <w:p w14:paraId="65001B3B">
            <w:pPr>
              <w:rPr>
                <w:rFonts w:ascii="Arial"/>
                <w:color w:val="auto"/>
                <w:sz w:val="21"/>
                <w:highlight w:val="none"/>
              </w:rPr>
            </w:pPr>
          </w:p>
        </w:tc>
        <w:tc>
          <w:tcPr>
            <w:tcW w:w="969" w:type="dxa"/>
            <w:noWrap w:val="0"/>
            <w:vAlign w:val="top"/>
          </w:tcPr>
          <w:p w14:paraId="5A9426CE">
            <w:pPr>
              <w:rPr>
                <w:rFonts w:ascii="Arial"/>
                <w:color w:val="auto"/>
                <w:sz w:val="21"/>
                <w:highlight w:val="none"/>
              </w:rPr>
            </w:pPr>
          </w:p>
        </w:tc>
        <w:tc>
          <w:tcPr>
            <w:tcW w:w="1521" w:type="dxa"/>
            <w:tcBorders>
              <w:right w:val="single" w:color="000000" w:sz="6" w:space="0"/>
            </w:tcBorders>
            <w:noWrap w:val="0"/>
            <w:vAlign w:val="top"/>
          </w:tcPr>
          <w:p w14:paraId="1F233218">
            <w:pPr>
              <w:rPr>
                <w:rFonts w:ascii="Arial"/>
                <w:color w:val="auto"/>
                <w:sz w:val="21"/>
                <w:highlight w:val="none"/>
              </w:rPr>
            </w:pPr>
          </w:p>
        </w:tc>
      </w:tr>
      <w:tr w14:paraId="7AB84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noWrap w:val="0"/>
            <w:vAlign w:val="top"/>
          </w:tcPr>
          <w:p w14:paraId="2ABA600F">
            <w:pPr>
              <w:rPr>
                <w:rFonts w:ascii="Arial"/>
                <w:color w:val="auto"/>
                <w:sz w:val="21"/>
                <w:highlight w:val="none"/>
              </w:rPr>
            </w:pPr>
          </w:p>
        </w:tc>
        <w:tc>
          <w:tcPr>
            <w:tcW w:w="4742" w:type="dxa"/>
            <w:noWrap w:val="0"/>
            <w:vAlign w:val="top"/>
          </w:tcPr>
          <w:p w14:paraId="15539ED5">
            <w:pPr>
              <w:rPr>
                <w:rFonts w:ascii="Arial"/>
                <w:color w:val="auto"/>
                <w:sz w:val="21"/>
                <w:highlight w:val="none"/>
              </w:rPr>
            </w:pPr>
          </w:p>
        </w:tc>
        <w:tc>
          <w:tcPr>
            <w:tcW w:w="969" w:type="dxa"/>
            <w:noWrap w:val="0"/>
            <w:vAlign w:val="top"/>
          </w:tcPr>
          <w:p w14:paraId="62CE58BC">
            <w:pPr>
              <w:rPr>
                <w:rFonts w:ascii="Arial"/>
                <w:color w:val="auto"/>
                <w:sz w:val="21"/>
                <w:highlight w:val="none"/>
              </w:rPr>
            </w:pPr>
          </w:p>
        </w:tc>
        <w:tc>
          <w:tcPr>
            <w:tcW w:w="969" w:type="dxa"/>
            <w:noWrap w:val="0"/>
            <w:vAlign w:val="top"/>
          </w:tcPr>
          <w:p w14:paraId="40147B1D">
            <w:pPr>
              <w:rPr>
                <w:rFonts w:ascii="Arial"/>
                <w:color w:val="auto"/>
                <w:sz w:val="21"/>
                <w:highlight w:val="none"/>
              </w:rPr>
            </w:pPr>
          </w:p>
        </w:tc>
        <w:tc>
          <w:tcPr>
            <w:tcW w:w="1521" w:type="dxa"/>
            <w:tcBorders>
              <w:right w:val="single" w:color="000000" w:sz="6" w:space="0"/>
            </w:tcBorders>
            <w:noWrap w:val="0"/>
            <w:vAlign w:val="top"/>
          </w:tcPr>
          <w:p w14:paraId="0C50AAC3">
            <w:pPr>
              <w:rPr>
                <w:rFonts w:ascii="Arial"/>
                <w:color w:val="auto"/>
                <w:sz w:val="21"/>
                <w:highlight w:val="none"/>
              </w:rPr>
            </w:pPr>
          </w:p>
        </w:tc>
      </w:tr>
      <w:tr w14:paraId="53044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611" w:type="dxa"/>
            <w:tcBorders>
              <w:left w:val="single" w:color="000000" w:sz="6" w:space="0"/>
              <w:bottom w:val="single" w:color="000000" w:sz="6" w:space="0"/>
            </w:tcBorders>
            <w:noWrap w:val="0"/>
            <w:vAlign w:val="top"/>
          </w:tcPr>
          <w:p w14:paraId="4A60501F">
            <w:pPr>
              <w:rPr>
                <w:rFonts w:ascii="Arial"/>
                <w:color w:val="auto"/>
                <w:sz w:val="21"/>
                <w:highlight w:val="none"/>
              </w:rPr>
            </w:pPr>
          </w:p>
        </w:tc>
        <w:tc>
          <w:tcPr>
            <w:tcW w:w="4742" w:type="dxa"/>
            <w:tcBorders>
              <w:bottom w:val="single" w:color="000000" w:sz="6" w:space="0"/>
            </w:tcBorders>
            <w:noWrap w:val="0"/>
            <w:vAlign w:val="top"/>
          </w:tcPr>
          <w:p w14:paraId="6A233357">
            <w:pPr>
              <w:rPr>
                <w:rFonts w:ascii="Arial"/>
                <w:color w:val="auto"/>
                <w:sz w:val="21"/>
                <w:highlight w:val="none"/>
              </w:rPr>
            </w:pPr>
          </w:p>
        </w:tc>
        <w:tc>
          <w:tcPr>
            <w:tcW w:w="969" w:type="dxa"/>
            <w:tcBorders>
              <w:bottom w:val="single" w:color="000000" w:sz="6" w:space="0"/>
            </w:tcBorders>
            <w:noWrap w:val="0"/>
            <w:vAlign w:val="top"/>
          </w:tcPr>
          <w:p w14:paraId="79A3D4A0">
            <w:pPr>
              <w:rPr>
                <w:rFonts w:ascii="Arial"/>
                <w:color w:val="auto"/>
                <w:sz w:val="21"/>
                <w:highlight w:val="none"/>
              </w:rPr>
            </w:pPr>
          </w:p>
        </w:tc>
        <w:tc>
          <w:tcPr>
            <w:tcW w:w="969" w:type="dxa"/>
            <w:tcBorders>
              <w:bottom w:val="single" w:color="000000" w:sz="6" w:space="0"/>
            </w:tcBorders>
            <w:noWrap w:val="0"/>
            <w:vAlign w:val="top"/>
          </w:tcPr>
          <w:p w14:paraId="42A9E927">
            <w:pPr>
              <w:rPr>
                <w:rFonts w:ascii="Arial"/>
                <w:color w:val="auto"/>
                <w:sz w:val="21"/>
                <w:highlight w:val="none"/>
              </w:rPr>
            </w:pPr>
          </w:p>
        </w:tc>
        <w:tc>
          <w:tcPr>
            <w:tcW w:w="1521" w:type="dxa"/>
            <w:tcBorders>
              <w:bottom w:val="single" w:color="000000" w:sz="6" w:space="0"/>
              <w:right w:val="single" w:color="000000" w:sz="6" w:space="0"/>
            </w:tcBorders>
            <w:noWrap w:val="0"/>
            <w:vAlign w:val="top"/>
          </w:tcPr>
          <w:p w14:paraId="617B1632">
            <w:pPr>
              <w:rPr>
                <w:rFonts w:ascii="Arial"/>
                <w:color w:val="auto"/>
                <w:sz w:val="21"/>
                <w:highlight w:val="none"/>
              </w:rPr>
            </w:pPr>
          </w:p>
        </w:tc>
      </w:tr>
    </w:tbl>
    <w:p w14:paraId="72D285E8">
      <w:pPr>
        <w:rPr>
          <w:color w:val="auto"/>
          <w:highlight w:val="none"/>
        </w:rPr>
      </w:pPr>
    </w:p>
    <w:p w14:paraId="5BDF2A49">
      <w:pPr>
        <w:pStyle w:val="8"/>
        <w:rPr>
          <w:color w:val="auto"/>
          <w:highlight w:val="none"/>
        </w:rPr>
      </w:pPr>
    </w:p>
    <w:p w14:paraId="1E474A74">
      <w:pPr>
        <w:rPr>
          <w:color w:val="auto"/>
          <w:highlight w:val="none"/>
        </w:rPr>
        <w:sectPr>
          <w:footerReference r:id="rId134" w:type="default"/>
          <w:pgSz w:w="11905" w:h="16840"/>
          <w:pgMar w:top="400" w:right="1508" w:bottom="1255" w:left="1568" w:header="0" w:footer="1093" w:gutter="0"/>
          <w:pgNumType w:fmt="decimal"/>
          <w:cols w:space="720" w:num="1"/>
        </w:sectPr>
      </w:pPr>
    </w:p>
    <w:p w14:paraId="6C9CA8E2">
      <w:pPr>
        <w:pStyle w:val="8"/>
        <w:spacing w:line="247" w:lineRule="auto"/>
        <w:rPr>
          <w:color w:val="auto"/>
          <w:highlight w:val="none"/>
        </w:rPr>
      </w:pPr>
    </w:p>
    <w:p w14:paraId="134E1B45">
      <w:pPr>
        <w:pStyle w:val="8"/>
        <w:spacing w:line="247" w:lineRule="auto"/>
        <w:rPr>
          <w:color w:val="auto"/>
          <w:highlight w:val="none"/>
        </w:rPr>
      </w:pPr>
    </w:p>
    <w:p w14:paraId="16069CFE">
      <w:pPr>
        <w:pStyle w:val="8"/>
        <w:spacing w:line="247" w:lineRule="auto"/>
        <w:rPr>
          <w:color w:val="auto"/>
          <w:highlight w:val="none"/>
        </w:rPr>
      </w:pPr>
    </w:p>
    <w:p w14:paraId="362A2808">
      <w:pPr>
        <w:pStyle w:val="8"/>
        <w:spacing w:line="248" w:lineRule="auto"/>
        <w:rPr>
          <w:color w:val="auto"/>
          <w:highlight w:val="none"/>
        </w:rPr>
      </w:pPr>
    </w:p>
    <w:p w14:paraId="342749D2">
      <w:pPr>
        <w:spacing w:before="88" w:line="226" w:lineRule="auto"/>
        <w:ind w:left="3082"/>
        <w:outlineLvl w:val="0"/>
        <w:rPr>
          <w:rFonts w:ascii="宋体" w:hAnsi="宋体" w:eastAsia="宋体" w:cs="宋体"/>
          <w:color w:val="auto"/>
          <w:sz w:val="27"/>
          <w:szCs w:val="27"/>
          <w:highlight w:val="none"/>
        </w:rPr>
      </w:pPr>
      <w:bookmarkStart w:id="229" w:name="bookmark608"/>
      <w:bookmarkEnd w:id="229"/>
      <w:bookmarkStart w:id="230" w:name="bookmark362"/>
      <w:bookmarkEnd w:id="230"/>
      <w:bookmarkStart w:id="231" w:name="_Toc29758"/>
      <w:r>
        <w:rPr>
          <w:rFonts w:ascii="宋体" w:hAnsi="宋体" w:eastAsia="宋体" w:cs="宋体"/>
          <w:b/>
          <w:bCs/>
          <w:color w:val="auto"/>
          <w:spacing w:val="6"/>
          <w:sz w:val="27"/>
          <w:szCs w:val="27"/>
          <w:highlight w:val="none"/>
        </w:rPr>
        <w:t>十、原件的复制件</w:t>
      </w:r>
      <w:bookmarkEnd w:id="231"/>
    </w:p>
    <w:p w14:paraId="3FF0020F">
      <w:pPr>
        <w:pStyle w:val="8"/>
        <w:spacing w:line="329" w:lineRule="auto"/>
        <w:rPr>
          <w:color w:val="auto"/>
          <w:highlight w:val="none"/>
        </w:rPr>
      </w:pPr>
    </w:p>
    <w:p w14:paraId="0B38697D">
      <w:pPr>
        <w:pStyle w:val="8"/>
        <w:spacing w:line="330" w:lineRule="auto"/>
        <w:rPr>
          <w:color w:val="auto"/>
          <w:highlight w:val="none"/>
        </w:rPr>
      </w:pPr>
    </w:p>
    <w:p w14:paraId="50EBE637">
      <w:pPr>
        <w:spacing w:before="78" w:line="219" w:lineRule="auto"/>
        <w:ind w:left="297"/>
        <w:rPr>
          <w:rFonts w:ascii="宋体" w:hAnsi="宋体" w:eastAsia="宋体" w:cs="宋体"/>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 需要备查的原件清单详见投标人须知前</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款规定。</w:t>
      </w:r>
    </w:p>
    <w:p w14:paraId="74E6A0D5">
      <w:pPr>
        <w:spacing w:before="181" w:line="220" w:lineRule="auto"/>
        <w:jc w:val="right"/>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）投标人须将上述原件的复制件及其它认为必须的复制件装订入投标文件中。</w:t>
      </w:r>
    </w:p>
    <w:p w14:paraId="0D4CC37A">
      <w:pPr>
        <w:spacing w:line="220" w:lineRule="auto"/>
        <w:rPr>
          <w:rFonts w:ascii="宋体" w:hAnsi="宋体" w:eastAsia="宋体" w:cs="宋体"/>
          <w:color w:val="auto"/>
          <w:sz w:val="24"/>
          <w:szCs w:val="24"/>
          <w:highlight w:val="none"/>
        </w:rPr>
        <w:sectPr>
          <w:footerReference r:id="rId135" w:type="default"/>
          <w:pgSz w:w="11905" w:h="16840"/>
          <w:pgMar w:top="400" w:right="1324" w:bottom="1255" w:left="1785" w:header="0" w:footer="1093" w:gutter="0"/>
          <w:pgNumType w:fmt="decimal"/>
          <w:cols w:space="720" w:num="1"/>
        </w:sectPr>
      </w:pPr>
    </w:p>
    <w:p w14:paraId="5F972599">
      <w:pPr>
        <w:pStyle w:val="8"/>
        <w:spacing w:line="247" w:lineRule="auto"/>
        <w:rPr>
          <w:color w:val="auto"/>
          <w:highlight w:val="none"/>
        </w:rPr>
      </w:pPr>
    </w:p>
    <w:p w14:paraId="106F897A">
      <w:pPr>
        <w:pStyle w:val="8"/>
        <w:spacing w:line="247" w:lineRule="auto"/>
        <w:rPr>
          <w:color w:val="auto"/>
          <w:highlight w:val="none"/>
        </w:rPr>
      </w:pPr>
    </w:p>
    <w:p w14:paraId="32535887">
      <w:pPr>
        <w:pStyle w:val="8"/>
        <w:spacing w:line="247" w:lineRule="auto"/>
        <w:rPr>
          <w:color w:val="auto"/>
          <w:highlight w:val="none"/>
        </w:rPr>
      </w:pPr>
    </w:p>
    <w:p w14:paraId="57D4FA7F">
      <w:pPr>
        <w:pStyle w:val="8"/>
        <w:spacing w:line="248" w:lineRule="auto"/>
        <w:rPr>
          <w:color w:val="auto"/>
          <w:highlight w:val="none"/>
        </w:rPr>
      </w:pPr>
    </w:p>
    <w:p w14:paraId="38B6496E">
      <w:pPr>
        <w:spacing w:before="88" w:line="225" w:lineRule="auto"/>
        <w:ind w:left="3223"/>
        <w:outlineLvl w:val="0"/>
        <w:rPr>
          <w:rFonts w:ascii="宋体" w:hAnsi="宋体" w:eastAsia="宋体" w:cs="宋体"/>
          <w:color w:val="auto"/>
          <w:sz w:val="27"/>
          <w:szCs w:val="27"/>
          <w:highlight w:val="none"/>
        </w:rPr>
      </w:pPr>
      <w:bookmarkStart w:id="232" w:name="bookmark363"/>
      <w:bookmarkEnd w:id="232"/>
      <w:bookmarkStart w:id="233" w:name="_Toc14821"/>
      <w:r>
        <w:rPr>
          <w:rFonts w:ascii="宋体" w:hAnsi="宋体" w:eastAsia="宋体" w:cs="宋体"/>
          <w:b/>
          <w:bCs/>
          <w:color w:val="auto"/>
          <w:spacing w:val="4"/>
          <w:sz w:val="27"/>
          <w:szCs w:val="27"/>
          <w:highlight w:val="none"/>
        </w:rPr>
        <w:t>十一、其他材料</w:t>
      </w:r>
      <w:bookmarkEnd w:id="233"/>
    </w:p>
    <w:p w14:paraId="1C651D48">
      <w:pPr>
        <w:pStyle w:val="8"/>
        <w:spacing w:line="330" w:lineRule="auto"/>
        <w:rPr>
          <w:color w:val="auto"/>
          <w:highlight w:val="none"/>
        </w:rPr>
      </w:pPr>
    </w:p>
    <w:p w14:paraId="3BD3FC1A">
      <w:pPr>
        <w:pStyle w:val="8"/>
        <w:spacing w:line="330" w:lineRule="auto"/>
        <w:rPr>
          <w:color w:val="auto"/>
          <w:highlight w:val="none"/>
        </w:rPr>
      </w:pPr>
    </w:p>
    <w:p w14:paraId="04449E49">
      <w:pPr>
        <w:spacing w:before="78" w:line="219" w:lineRule="auto"/>
        <w:ind w:left="2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）投标承诺书</w:t>
      </w:r>
    </w:p>
    <w:p w14:paraId="2CB910D0">
      <w:pPr>
        <w:spacing w:before="181" w:line="220" w:lineRule="auto"/>
        <w:ind w:left="28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）中小企业声明函（如有）</w:t>
      </w:r>
    </w:p>
    <w:p w14:paraId="35D02B1C">
      <w:pPr>
        <w:spacing w:before="181" w:line="219" w:lineRule="auto"/>
        <w:ind w:left="2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）其他材料</w:t>
      </w:r>
    </w:p>
    <w:p w14:paraId="68E5DBBF">
      <w:pPr>
        <w:spacing w:line="219" w:lineRule="auto"/>
        <w:rPr>
          <w:rFonts w:ascii="宋体" w:hAnsi="宋体" w:eastAsia="宋体" w:cs="宋体"/>
          <w:color w:val="auto"/>
          <w:sz w:val="24"/>
          <w:szCs w:val="24"/>
          <w:highlight w:val="none"/>
        </w:rPr>
        <w:sectPr>
          <w:footerReference r:id="rId136" w:type="default"/>
          <w:pgSz w:w="11905" w:h="16840"/>
          <w:pgMar w:top="400" w:right="1529" w:bottom="1255" w:left="1785" w:header="0" w:footer="1093" w:gutter="0"/>
          <w:pgNumType w:fmt="decimal"/>
          <w:cols w:space="720" w:num="1"/>
        </w:sectPr>
      </w:pPr>
    </w:p>
    <w:p w14:paraId="60CC9A7C">
      <w:pPr>
        <w:pStyle w:val="8"/>
        <w:spacing w:line="318" w:lineRule="auto"/>
        <w:rPr>
          <w:color w:val="auto"/>
          <w:highlight w:val="none"/>
        </w:rPr>
      </w:pPr>
    </w:p>
    <w:p w14:paraId="22C599C4">
      <w:pPr>
        <w:pStyle w:val="8"/>
        <w:spacing w:line="319" w:lineRule="auto"/>
        <w:rPr>
          <w:color w:val="auto"/>
          <w:highlight w:val="none"/>
        </w:rPr>
      </w:pPr>
    </w:p>
    <w:p w14:paraId="4712037A">
      <w:pPr>
        <w:pStyle w:val="8"/>
        <w:spacing w:line="319" w:lineRule="auto"/>
        <w:rPr>
          <w:color w:val="auto"/>
          <w:highlight w:val="none"/>
        </w:rPr>
      </w:pPr>
    </w:p>
    <w:p w14:paraId="32D7130B">
      <w:pPr>
        <w:spacing w:before="143" w:line="219" w:lineRule="auto"/>
        <w:ind w:left="2877"/>
        <w:outlineLvl w:val="0"/>
        <w:rPr>
          <w:rFonts w:ascii="宋体" w:hAnsi="宋体" w:eastAsia="宋体" w:cs="宋体"/>
          <w:color w:val="auto"/>
          <w:sz w:val="44"/>
          <w:szCs w:val="44"/>
          <w:highlight w:val="none"/>
        </w:rPr>
      </w:pPr>
      <w:bookmarkStart w:id="234" w:name="_Toc21561"/>
      <w:r>
        <w:rPr>
          <w:rFonts w:ascii="宋体" w:hAnsi="宋体" w:eastAsia="宋体" w:cs="宋体"/>
          <w:b/>
          <w:bCs/>
          <w:color w:val="auto"/>
          <w:spacing w:val="-20"/>
          <w:sz w:val="44"/>
          <w:szCs w:val="44"/>
          <w:highlight w:val="none"/>
        </w:rPr>
        <w:t>投</w:t>
      </w:r>
      <w:r>
        <w:rPr>
          <w:rFonts w:ascii="宋体" w:hAnsi="宋体" w:eastAsia="宋体" w:cs="宋体"/>
          <w:color w:val="auto"/>
          <w:spacing w:val="22"/>
          <w:sz w:val="44"/>
          <w:szCs w:val="44"/>
          <w:highlight w:val="none"/>
        </w:rPr>
        <w:t xml:space="preserve"> </w:t>
      </w:r>
      <w:r>
        <w:rPr>
          <w:rFonts w:ascii="宋体" w:hAnsi="宋体" w:eastAsia="宋体" w:cs="宋体"/>
          <w:b/>
          <w:bCs/>
          <w:color w:val="auto"/>
          <w:spacing w:val="-20"/>
          <w:sz w:val="44"/>
          <w:szCs w:val="44"/>
          <w:highlight w:val="none"/>
        </w:rPr>
        <w:t>标</w:t>
      </w:r>
      <w:r>
        <w:rPr>
          <w:rFonts w:ascii="宋体" w:hAnsi="宋体" w:eastAsia="宋体" w:cs="宋体"/>
          <w:color w:val="auto"/>
          <w:spacing w:val="19"/>
          <w:sz w:val="44"/>
          <w:szCs w:val="44"/>
          <w:highlight w:val="none"/>
        </w:rPr>
        <w:t xml:space="preserve"> </w:t>
      </w:r>
      <w:r>
        <w:rPr>
          <w:rFonts w:ascii="宋体" w:hAnsi="宋体" w:eastAsia="宋体" w:cs="宋体"/>
          <w:b/>
          <w:bCs/>
          <w:color w:val="auto"/>
          <w:spacing w:val="-20"/>
          <w:sz w:val="44"/>
          <w:szCs w:val="44"/>
          <w:highlight w:val="none"/>
        </w:rPr>
        <w:t>承</w:t>
      </w:r>
      <w:r>
        <w:rPr>
          <w:rFonts w:ascii="宋体" w:hAnsi="宋体" w:eastAsia="宋体" w:cs="宋体"/>
          <w:color w:val="auto"/>
          <w:spacing w:val="20"/>
          <w:sz w:val="44"/>
          <w:szCs w:val="44"/>
          <w:highlight w:val="none"/>
        </w:rPr>
        <w:t xml:space="preserve"> </w:t>
      </w:r>
      <w:r>
        <w:rPr>
          <w:rFonts w:ascii="宋体" w:hAnsi="宋体" w:eastAsia="宋体" w:cs="宋体"/>
          <w:b/>
          <w:bCs/>
          <w:color w:val="auto"/>
          <w:spacing w:val="-20"/>
          <w:sz w:val="44"/>
          <w:szCs w:val="44"/>
          <w:highlight w:val="none"/>
        </w:rPr>
        <w:t>诺</w:t>
      </w:r>
      <w:r>
        <w:rPr>
          <w:rFonts w:ascii="宋体" w:hAnsi="宋体" w:eastAsia="宋体" w:cs="宋体"/>
          <w:color w:val="auto"/>
          <w:spacing w:val="28"/>
          <w:sz w:val="44"/>
          <w:szCs w:val="44"/>
          <w:highlight w:val="none"/>
        </w:rPr>
        <w:t xml:space="preserve"> </w:t>
      </w:r>
      <w:r>
        <w:rPr>
          <w:rFonts w:ascii="宋体" w:hAnsi="宋体" w:eastAsia="宋体" w:cs="宋体"/>
          <w:b/>
          <w:bCs/>
          <w:color w:val="auto"/>
          <w:spacing w:val="-20"/>
          <w:sz w:val="44"/>
          <w:szCs w:val="44"/>
          <w:highlight w:val="none"/>
        </w:rPr>
        <w:t>书</w:t>
      </w:r>
      <w:bookmarkEnd w:id="234"/>
    </w:p>
    <w:p w14:paraId="743ADF24">
      <w:pPr>
        <w:tabs>
          <w:tab w:val="left" w:pos="2767"/>
        </w:tabs>
        <w:spacing w:before="304" w:line="220" w:lineRule="auto"/>
        <w:ind w:left="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（招标人名称</w:t>
      </w:r>
      <w:r>
        <w:rPr>
          <w:rFonts w:ascii="宋体" w:hAnsi="宋体" w:eastAsia="宋体" w:cs="宋体"/>
          <w:color w:val="auto"/>
          <w:spacing w:val="-4"/>
          <w:sz w:val="24"/>
          <w:szCs w:val="24"/>
          <w:highlight w:val="none"/>
        </w:rPr>
        <w:t>）：</w:t>
      </w:r>
    </w:p>
    <w:p w14:paraId="07570B9A">
      <w:pPr>
        <w:spacing w:before="290" w:line="219" w:lineRule="auto"/>
        <w:ind w:left="50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本投标人</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（投标人名称）郑重承诺：</w:t>
      </w:r>
    </w:p>
    <w:p w14:paraId="31785E74">
      <w:pPr>
        <w:spacing w:before="155" w:line="219" w:lineRule="auto"/>
        <w:ind w:left="517"/>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、拟派本招标项目</w:t>
      </w:r>
      <w:r>
        <w:rPr>
          <w:rFonts w:ascii="宋体" w:hAnsi="宋体" w:eastAsia="宋体" w:cs="宋体"/>
          <w:color w:val="auto"/>
          <w:spacing w:val="-74"/>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（招标项目名称</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3"/>
          <w:sz w:val="24"/>
          <w:szCs w:val="24"/>
          <w:highlight w:val="none"/>
        </w:rPr>
        <w:t>标段名</w:t>
      </w:r>
    </w:p>
    <w:p w14:paraId="05F0E9D8">
      <w:pPr>
        <w:spacing w:before="153" w:line="315" w:lineRule="auto"/>
        <w:ind w:left="16" w:right="37" w:hanging="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称）的项目负责人</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（姓名</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建造师注册证书号</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在投</w:t>
      </w:r>
      <w:r>
        <w:rPr>
          <w:rFonts w:ascii="宋体" w:hAnsi="宋体" w:eastAsia="宋体" w:cs="宋体"/>
          <w:color w:val="auto"/>
          <w:sz w:val="24"/>
          <w:szCs w:val="24"/>
          <w:highlight w:val="none"/>
        </w:rPr>
        <w:t>标截止时间无在其他任何在建合同工程上担任项目负责</w:t>
      </w:r>
      <w:r>
        <w:rPr>
          <w:rFonts w:ascii="宋体" w:hAnsi="宋体" w:eastAsia="宋体" w:cs="宋体"/>
          <w:color w:val="auto"/>
          <w:spacing w:val="-1"/>
          <w:sz w:val="24"/>
          <w:szCs w:val="24"/>
          <w:highlight w:val="none"/>
        </w:rPr>
        <w:t>人（包括工程总承包项目中</w:t>
      </w:r>
      <w:r>
        <w:rPr>
          <w:rFonts w:ascii="宋体" w:hAnsi="宋体" w:eastAsia="宋体" w:cs="宋体"/>
          <w:color w:val="auto"/>
          <w:sz w:val="24"/>
          <w:szCs w:val="24"/>
          <w:highlight w:val="none"/>
        </w:rPr>
        <w:t>的施工负责人）的情形。在建合同工程的开始时间为合</w:t>
      </w:r>
      <w:r>
        <w:rPr>
          <w:rFonts w:ascii="宋体" w:hAnsi="宋体" w:eastAsia="宋体" w:cs="宋体"/>
          <w:color w:val="auto"/>
          <w:spacing w:val="-1"/>
          <w:sz w:val="24"/>
          <w:szCs w:val="24"/>
          <w:highlight w:val="none"/>
        </w:rPr>
        <w:t>同工程中标通知书发出之日（不通过招标方式的，开始时间为合同签订之日</w:t>
      </w:r>
      <w:r>
        <w:rPr>
          <w:rFonts w:ascii="宋体" w:hAnsi="宋体" w:eastAsia="宋体" w:cs="宋体"/>
          <w:color w:val="auto"/>
          <w:spacing w:val="5"/>
          <w:sz w:val="24"/>
          <w:szCs w:val="24"/>
          <w:highlight w:val="none"/>
        </w:rPr>
        <w:t>），</w:t>
      </w:r>
      <w:r>
        <w:rPr>
          <w:rFonts w:ascii="宋体" w:hAnsi="宋体" w:eastAsia="宋体" w:cs="宋体"/>
          <w:color w:val="auto"/>
          <w:spacing w:val="-1"/>
          <w:sz w:val="24"/>
          <w:szCs w:val="24"/>
          <w:highlight w:val="none"/>
        </w:rPr>
        <w:t>结束时间为该合同通过验收或</w:t>
      </w:r>
      <w:r>
        <w:rPr>
          <w:rFonts w:ascii="宋体" w:hAnsi="宋体" w:eastAsia="宋体" w:cs="宋体"/>
          <w:color w:val="auto"/>
          <w:spacing w:val="-6"/>
          <w:sz w:val="24"/>
          <w:szCs w:val="24"/>
          <w:highlight w:val="none"/>
        </w:rPr>
        <w:t>合同解除之日。</w:t>
      </w:r>
    </w:p>
    <w:p w14:paraId="05A02929">
      <w:pPr>
        <w:spacing w:before="157" w:line="298" w:lineRule="auto"/>
        <w:ind w:left="18" w:right="40" w:firstLine="476"/>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、投标人及法定代表人（身份证号码</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1"/>
          <w:sz w:val="24"/>
          <w:szCs w:val="24"/>
          <w:highlight w:val="none"/>
        </w:rPr>
        <w:t>、拟派本招标项</w:t>
      </w:r>
      <w:r>
        <w:rPr>
          <w:rFonts w:ascii="宋体" w:hAnsi="宋体" w:eastAsia="宋体" w:cs="宋体"/>
          <w:color w:val="auto"/>
          <w:spacing w:val="-4"/>
          <w:sz w:val="24"/>
          <w:szCs w:val="24"/>
          <w:highlight w:val="none"/>
        </w:rPr>
        <w:t>目项目负责人（身份证号码</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
          <w:sz w:val="24"/>
          <w:szCs w:val="24"/>
          <w:highlight w:val="none"/>
        </w:rPr>
        <w:t>）</w:t>
      </w:r>
      <w:r>
        <w:rPr>
          <w:rFonts w:ascii="宋体" w:hAnsi="宋体" w:eastAsia="宋体" w:cs="宋体"/>
          <w:color w:val="auto"/>
          <w:spacing w:val="-4"/>
          <w:sz w:val="24"/>
          <w:szCs w:val="24"/>
          <w:highlight w:val="none"/>
        </w:rPr>
        <w:t>自</w:t>
      </w:r>
      <w:r>
        <w:rPr>
          <w:rFonts w:ascii="宋体" w:hAnsi="宋体" w:eastAsia="宋体" w:cs="宋体"/>
          <w:color w:val="auto"/>
          <w:spacing w:val="-79"/>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4"/>
          <w:sz w:val="24"/>
          <w:szCs w:val="24"/>
          <w:highlight w:val="none"/>
        </w:rPr>
        <w:t>年</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4"/>
          <w:sz w:val="24"/>
          <w:szCs w:val="24"/>
          <w:highlight w:val="none"/>
        </w:rPr>
        <w:t>月</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4"/>
          <w:sz w:val="24"/>
          <w:szCs w:val="24"/>
          <w:highlight w:val="none"/>
        </w:rPr>
        <w:t>日以来</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至投标截止时间，无行贿犯罪记录（以中国裁判文书网</w:t>
      </w:r>
    </w:p>
    <w:p w14:paraId="7D98F8FC">
      <w:pPr>
        <w:spacing w:before="156" w:line="212" w:lineRule="auto"/>
        <w:ind w:left="2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1"/>
          <w:sz w:val="24"/>
          <w:szCs w:val="24"/>
          <w:highlight w:val="none"/>
        </w:rPr>
        <w:t>http://wenshu.court.gov.c</w:t>
      </w:r>
      <w:r>
        <w:rPr>
          <w:rFonts w:ascii="Times New Roman" w:hAnsi="Times New Roman" w:eastAsia="Times New Roman" w:cs="Times New Roman"/>
          <w:color w:val="auto"/>
          <w:spacing w:val="-2"/>
          <w:sz w:val="24"/>
          <w:szCs w:val="24"/>
          <w:highlight w:val="none"/>
        </w:rPr>
        <w:t>n/</w:t>
      </w:r>
      <w:r>
        <w:rPr>
          <w:rFonts w:ascii="Times New Roman" w:hAnsi="Times New Roman" w:eastAsia="Times New Roman" w:cs="Times New Roman"/>
          <w:color w:val="auto"/>
          <w:spacing w:val="-2"/>
          <w:sz w:val="24"/>
          <w:szCs w:val="24"/>
          <w:highlight w:val="none"/>
        </w:rPr>
        <w:fldChar w:fldCharType="end"/>
      </w:r>
      <w:r>
        <w:rPr>
          <w:rFonts w:ascii="宋体" w:hAnsi="宋体" w:eastAsia="宋体" w:cs="宋体"/>
          <w:color w:val="auto"/>
          <w:spacing w:val="-2"/>
          <w:sz w:val="24"/>
          <w:szCs w:val="24"/>
          <w:highlight w:val="none"/>
        </w:rPr>
        <w:t>）查询结果为准）。</w:t>
      </w:r>
    </w:p>
    <w:p w14:paraId="08E51A43">
      <w:pPr>
        <w:spacing w:before="165" w:line="275" w:lineRule="auto"/>
        <w:ind w:right="286" w:firstLine="499"/>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、投标人及其法定代表人、拟派项目负责人未被列入失信被执行人名单（以</w:t>
      </w:r>
      <w:r>
        <w:rPr>
          <w:rFonts w:ascii="宋体" w:hAnsi="宋体" w:eastAsia="宋体" w:cs="宋体"/>
          <w:color w:val="auto"/>
          <w:spacing w:val="1"/>
          <w:sz w:val="24"/>
          <w:szCs w:val="24"/>
          <w:highlight w:val="none"/>
        </w:rPr>
        <w:t xml:space="preserve"> </w:t>
      </w:r>
      <w:r>
        <w:rPr>
          <w:rFonts w:ascii="宋体" w:hAnsi="宋体" w:eastAsia="宋体" w:cs="宋体"/>
          <w:color w:val="auto"/>
          <w:spacing w:val="-1"/>
          <w:sz w:val="24"/>
          <w:szCs w:val="24"/>
          <w:highlight w:val="none"/>
        </w:rPr>
        <w:t>“信用中国”网站（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Times New Roman" w:hAnsi="Times New Roman" w:eastAsia="Times New Roman" w:cs="Times New Roman"/>
          <w:color w:val="auto"/>
          <w:spacing w:val="-1"/>
          <w:sz w:val="24"/>
          <w:szCs w:val="24"/>
          <w:highlight w:val="none"/>
        </w:rPr>
        <w:t>www.creditchina.gov.cn</w:t>
      </w:r>
      <w:r>
        <w:rPr>
          <w:rFonts w:ascii="Times New Roman" w:hAnsi="Times New Roman" w:eastAsia="Times New Roman" w:cs="Times New Roman"/>
          <w:color w:val="auto"/>
          <w:spacing w:val="-1"/>
          <w:sz w:val="24"/>
          <w:szCs w:val="24"/>
          <w:highlight w:val="none"/>
        </w:rPr>
        <w:fldChar w:fldCharType="end"/>
      </w:r>
      <w:r>
        <w:rPr>
          <w:rFonts w:ascii="宋体" w:hAnsi="宋体" w:eastAsia="宋体" w:cs="宋体"/>
          <w:color w:val="auto"/>
          <w:spacing w:val="-1"/>
          <w:sz w:val="24"/>
          <w:szCs w:val="24"/>
          <w:highlight w:val="none"/>
        </w:rPr>
        <w:t>）查询为准）。</w:t>
      </w:r>
    </w:p>
    <w:p w14:paraId="0C79E9FF">
      <w:pPr>
        <w:spacing w:before="164" w:line="279" w:lineRule="auto"/>
        <w:ind w:left="20" w:right="35" w:firstLine="473"/>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4</w:t>
      </w:r>
      <w:r>
        <w:rPr>
          <w:rFonts w:ascii="宋体" w:hAnsi="宋体" w:eastAsia="宋体" w:cs="宋体"/>
          <w:color w:val="auto"/>
          <w:sz w:val="24"/>
          <w:szCs w:val="24"/>
          <w:highlight w:val="none"/>
        </w:rPr>
        <w:t>、投标人资质条件在“浙江省建筑市场监</w:t>
      </w:r>
      <w:r>
        <w:rPr>
          <w:rFonts w:ascii="宋体" w:hAnsi="宋体" w:eastAsia="宋体" w:cs="宋体"/>
          <w:color w:val="auto"/>
          <w:spacing w:val="-1"/>
          <w:sz w:val="24"/>
          <w:szCs w:val="24"/>
          <w:highlight w:val="none"/>
        </w:rPr>
        <w:t>管公共服务系统”上动态核查结果处</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于“合格”状态。</w:t>
      </w:r>
    </w:p>
    <w:p w14:paraId="4AD5ADAE">
      <w:pPr>
        <w:spacing w:before="155" w:line="279" w:lineRule="auto"/>
        <w:ind w:left="20" w:right="35" w:firstLine="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5</w:t>
      </w:r>
      <w:r>
        <w:rPr>
          <w:rFonts w:ascii="宋体" w:hAnsi="宋体" w:eastAsia="宋体" w:cs="宋体"/>
          <w:color w:val="auto"/>
          <w:spacing w:val="-1"/>
          <w:sz w:val="24"/>
          <w:szCs w:val="24"/>
          <w:highlight w:val="none"/>
        </w:rPr>
        <w:t>、投标人、投标人的“三类人员”、拟派项目组主要人员未被列入全国水利建</w:t>
      </w:r>
      <w:r>
        <w:rPr>
          <w:rFonts w:ascii="宋体" w:hAnsi="宋体" w:eastAsia="宋体" w:cs="宋体"/>
          <w:color w:val="auto"/>
          <w:spacing w:val="12"/>
          <w:sz w:val="24"/>
          <w:szCs w:val="24"/>
          <w:highlight w:val="none"/>
        </w:rPr>
        <w:t xml:space="preserve"> </w:t>
      </w:r>
      <w:r>
        <w:rPr>
          <w:rFonts w:ascii="宋体" w:hAnsi="宋体" w:eastAsia="宋体" w:cs="宋体"/>
          <w:color w:val="auto"/>
          <w:spacing w:val="-4"/>
          <w:sz w:val="24"/>
          <w:szCs w:val="24"/>
          <w:highlight w:val="none"/>
        </w:rPr>
        <w:t>设市场信用平台“黑名单”。</w:t>
      </w:r>
    </w:p>
    <w:p w14:paraId="7E2A2818">
      <w:pPr>
        <w:spacing w:before="154" w:line="219" w:lineRule="auto"/>
        <w:ind w:left="500"/>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、投标人及拟派项目负责人未被行政主管部门限制参加投标。</w:t>
      </w:r>
    </w:p>
    <w:p w14:paraId="6992180D">
      <w:pPr>
        <w:spacing w:before="154" w:line="299" w:lineRule="auto"/>
        <w:ind w:left="17" w:right="41" w:firstLine="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7</w:t>
      </w:r>
      <w:r>
        <w:rPr>
          <w:rFonts w:ascii="宋体" w:hAnsi="宋体" w:eastAsia="宋体" w:cs="宋体"/>
          <w:color w:val="auto"/>
          <w:spacing w:val="-1"/>
          <w:sz w:val="24"/>
          <w:szCs w:val="24"/>
          <w:highlight w:val="none"/>
        </w:rPr>
        <w:t>、投标文件无虚假、伪造的内容。若投标文件中存在虚假、伪造的内容，同意</w:t>
      </w:r>
      <w:r>
        <w:rPr>
          <w:rFonts w:ascii="宋体" w:hAnsi="宋体" w:eastAsia="宋体" w:cs="宋体"/>
          <w:color w:val="auto"/>
          <w:spacing w:val="9"/>
          <w:sz w:val="24"/>
          <w:szCs w:val="24"/>
          <w:highlight w:val="none"/>
        </w:rPr>
        <w:t xml:space="preserve"> </w:t>
      </w:r>
      <w:r>
        <w:rPr>
          <w:rFonts w:ascii="宋体" w:hAnsi="宋体" w:eastAsia="宋体" w:cs="宋体"/>
          <w:color w:val="auto"/>
          <w:sz w:val="24"/>
          <w:szCs w:val="24"/>
          <w:highlight w:val="none"/>
        </w:rPr>
        <w:t>作无效投标处理，投标保证金并不予退还；若中标之后</w:t>
      </w:r>
      <w:r>
        <w:rPr>
          <w:rFonts w:ascii="宋体" w:hAnsi="宋体" w:eastAsia="宋体" w:cs="宋体"/>
          <w:color w:val="auto"/>
          <w:spacing w:val="-1"/>
          <w:sz w:val="24"/>
          <w:szCs w:val="24"/>
          <w:highlight w:val="none"/>
        </w:rPr>
        <w:t>被查实弄虚作假，同意取消</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中标资格，投标保证金并不予退还。</w:t>
      </w:r>
    </w:p>
    <w:p w14:paraId="7E98C90C">
      <w:pPr>
        <w:spacing w:before="156" w:line="212" w:lineRule="auto"/>
        <w:ind w:left="504"/>
        <w:rPr>
          <w:rFonts w:ascii="宋体" w:hAnsi="宋体" w:eastAsia="宋体" w:cs="宋体"/>
          <w:color w:val="auto"/>
          <w:sz w:val="25"/>
          <w:szCs w:val="25"/>
          <w:highlight w:val="none"/>
        </w:rPr>
      </w:pPr>
      <w:r>
        <w:rPr>
          <w:rFonts w:ascii="Times New Roman" w:hAnsi="Times New Roman" w:eastAsia="Times New Roman" w:cs="Times New Roman"/>
          <w:color w:val="auto"/>
          <w:spacing w:val="-14"/>
          <w:sz w:val="24"/>
          <w:szCs w:val="24"/>
          <w:highlight w:val="none"/>
        </w:rPr>
        <w:t>8</w:t>
      </w:r>
      <w:r>
        <w:rPr>
          <w:rFonts w:ascii="宋体" w:hAnsi="宋体" w:eastAsia="宋体" w:cs="宋体"/>
          <w:color w:val="auto"/>
          <w:spacing w:val="-14"/>
          <w:sz w:val="24"/>
          <w:szCs w:val="24"/>
          <w:highlight w:val="none"/>
        </w:rPr>
        <w:t>、其他</w:t>
      </w:r>
      <w:r>
        <w:rPr>
          <w:rFonts w:ascii="宋体" w:hAnsi="宋体" w:eastAsia="宋体" w:cs="宋体"/>
          <w:color w:val="auto"/>
          <w:spacing w:val="-8"/>
          <w:sz w:val="24"/>
          <w:szCs w:val="24"/>
          <w:highlight w:val="none"/>
        </w:rPr>
        <w:t>：</w:t>
      </w:r>
      <w:r>
        <w:rPr>
          <w:rFonts w:ascii="宋体" w:hAnsi="宋体" w:eastAsia="宋体" w:cs="宋体"/>
          <w:color w:val="auto"/>
          <w:spacing w:val="23"/>
          <w:sz w:val="25"/>
          <w:szCs w:val="25"/>
          <w:highlight w:val="none"/>
          <w:u w:val="single" w:color="auto"/>
        </w:rPr>
        <w:t xml:space="preserve">   </w:t>
      </w:r>
      <w:r>
        <w:rPr>
          <w:rFonts w:ascii="宋体" w:hAnsi="宋体" w:eastAsia="宋体" w:cs="宋体"/>
          <w:i/>
          <w:iCs/>
          <w:color w:val="auto"/>
          <w:spacing w:val="-8"/>
          <w:sz w:val="25"/>
          <w:szCs w:val="25"/>
          <w:highlight w:val="none"/>
          <w:u w:val="single" w:color="auto"/>
        </w:rPr>
        <w:t>（</w:t>
      </w:r>
      <w:r>
        <w:rPr>
          <w:rFonts w:ascii="宋体" w:hAnsi="宋体" w:eastAsia="宋体" w:cs="宋体"/>
          <w:i/>
          <w:iCs/>
          <w:color w:val="auto"/>
          <w:spacing w:val="-14"/>
          <w:sz w:val="25"/>
          <w:szCs w:val="25"/>
          <w:highlight w:val="none"/>
          <w:u w:val="single" w:color="auto"/>
        </w:rPr>
        <w:t>招标人可根据实际情况增加相应的条款）</w:t>
      </w:r>
      <w:r>
        <w:rPr>
          <w:rFonts w:ascii="宋体" w:hAnsi="宋体" w:eastAsia="宋体" w:cs="宋体"/>
          <w:color w:val="auto"/>
          <w:sz w:val="25"/>
          <w:szCs w:val="25"/>
          <w:highlight w:val="none"/>
          <w:u w:val="single" w:color="auto"/>
        </w:rPr>
        <w:t xml:space="preserve">   </w:t>
      </w:r>
    </w:p>
    <w:p w14:paraId="2CA9458A">
      <w:pPr>
        <w:spacing w:before="153" w:line="310" w:lineRule="auto"/>
        <w:ind w:left="17" w:right="145" w:firstLine="508"/>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以上情况如有不实，愿意被取消中标资格并上报行政主管部门，由行</w:t>
      </w:r>
      <w:r>
        <w:rPr>
          <w:rFonts w:ascii="宋体" w:hAnsi="宋体" w:eastAsia="宋体" w:cs="宋体"/>
          <w:color w:val="auto"/>
          <w:spacing w:val="-2"/>
          <w:sz w:val="24"/>
          <w:szCs w:val="24"/>
          <w:highlight w:val="none"/>
        </w:rPr>
        <w:t>政主管部</w:t>
      </w:r>
      <w:r>
        <w:rPr>
          <w:rFonts w:ascii="宋体" w:hAnsi="宋体" w:eastAsia="宋体" w:cs="宋体"/>
          <w:color w:val="auto"/>
          <w:sz w:val="24"/>
          <w:szCs w:val="24"/>
          <w:highlight w:val="none"/>
        </w:rPr>
        <w:t xml:space="preserve"> 门列入不良行为记录；招标人可不退还投标保证金。给</w:t>
      </w:r>
      <w:r>
        <w:rPr>
          <w:rFonts w:ascii="宋体" w:hAnsi="宋体" w:eastAsia="宋体" w:cs="宋体"/>
          <w:color w:val="auto"/>
          <w:spacing w:val="-1"/>
          <w:sz w:val="24"/>
          <w:szCs w:val="24"/>
          <w:highlight w:val="none"/>
        </w:rPr>
        <w:t>招标人造成损失的，愿意依</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法承担赔偿责任。</w:t>
      </w:r>
    </w:p>
    <w:p w14:paraId="387F147E">
      <w:pPr>
        <w:spacing w:before="1" w:line="218" w:lineRule="auto"/>
        <w:ind w:left="45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附：法定代表人及拟派项目负责人身份证复制件</w:t>
      </w:r>
    </w:p>
    <w:p w14:paraId="118CBCD0">
      <w:pPr>
        <w:spacing w:before="182" w:line="219" w:lineRule="auto"/>
        <w:ind w:left="42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投标人</w:t>
      </w:r>
      <w:r>
        <w:rPr>
          <w:rFonts w:ascii="宋体" w:hAnsi="宋体" w:eastAsia="宋体" w:cs="宋体"/>
          <w:color w:val="auto"/>
          <w:spacing w:val="2"/>
          <w:sz w:val="24"/>
          <w:szCs w:val="24"/>
          <w:highlight w:val="none"/>
        </w:rPr>
        <w:t>：</w:t>
      </w:r>
      <w:r>
        <w:rPr>
          <w:rFonts w:ascii="宋体" w:hAnsi="宋体" w:eastAsia="宋体" w:cs="宋体"/>
          <w:color w:val="auto"/>
          <w:spacing w:val="15"/>
          <w:sz w:val="24"/>
          <w:szCs w:val="24"/>
          <w:highlight w:val="none"/>
          <w:u w:val="single" w:color="auto"/>
        </w:rPr>
        <w:t xml:space="preserve">        </w:t>
      </w:r>
      <w:r>
        <w:rPr>
          <w:rFonts w:ascii="宋体" w:hAnsi="宋体" w:eastAsia="宋体" w:cs="宋体"/>
          <w:color w:val="auto"/>
          <w:spacing w:val="2"/>
          <w:sz w:val="24"/>
          <w:szCs w:val="24"/>
          <w:highlight w:val="none"/>
          <w:u w:val="single" w:color="auto"/>
        </w:rPr>
        <w:t>（</w:t>
      </w:r>
      <w:r>
        <w:rPr>
          <w:rFonts w:ascii="宋体" w:hAnsi="宋体" w:eastAsia="宋体" w:cs="宋体"/>
          <w:color w:val="auto"/>
          <w:spacing w:val="-2"/>
          <w:sz w:val="24"/>
          <w:szCs w:val="24"/>
          <w:highlight w:val="none"/>
          <w:u w:val="single" w:color="auto"/>
        </w:rPr>
        <w:t>盖单位公章）</w:t>
      </w:r>
      <w:r>
        <w:rPr>
          <w:rFonts w:ascii="宋体" w:hAnsi="宋体" w:eastAsia="宋体" w:cs="宋体"/>
          <w:color w:val="auto"/>
          <w:sz w:val="24"/>
          <w:szCs w:val="24"/>
          <w:highlight w:val="none"/>
          <w:u w:val="single" w:color="auto"/>
        </w:rPr>
        <w:t xml:space="preserve">       </w:t>
      </w:r>
    </w:p>
    <w:p w14:paraId="6CCD7D8C">
      <w:pPr>
        <w:tabs>
          <w:tab w:val="left" w:pos="7115"/>
        </w:tabs>
        <w:spacing w:before="182" w:line="220" w:lineRule="auto"/>
        <w:ind w:left="6515"/>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26"/>
          <w:sz w:val="24"/>
          <w:szCs w:val="24"/>
          <w:highlight w:val="none"/>
        </w:rPr>
        <w:t>日</w:t>
      </w:r>
    </w:p>
    <w:p w14:paraId="0C57C6E5">
      <w:pPr>
        <w:spacing w:line="220" w:lineRule="auto"/>
        <w:rPr>
          <w:rFonts w:ascii="宋体" w:hAnsi="宋体" w:eastAsia="宋体" w:cs="宋体"/>
          <w:color w:val="auto"/>
          <w:sz w:val="24"/>
          <w:szCs w:val="24"/>
          <w:highlight w:val="none"/>
        </w:rPr>
        <w:sectPr>
          <w:footerReference r:id="rId137" w:type="default"/>
          <w:pgSz w:w="11905" w:h="16840"/>
          <w:pgMar w:top="400" w:right="1529" w:bottom="1255" w:left="1580" w:header="0" w:footer="1093" w:gutter="0"/>
          <w:pgNumType w:fmt="decimal"/>
          <w:cols w:space="720" w:num="1"/>
        </w:sectPr>
      </w:pPr>
    </w:p>
    <w:p w14:paraId="0571C29E">
      <w:pPr>
        <w:pStyle w:val="8"/>
        <w:spacing w:line="318" w:lineRule="auto"/>
        <w:rPr>
          <w:color w:val="auto"/>
          <w:highlight w:val="none"/>
        </w:rPr>
      </w:pPr>
    </w:p>
    <w:p w14:paraId="23B46665">
      <w:pPr>
        <w:pStyle w:val="8"/>
        <w:spacing w:line="319" w:lineRule="auto"/>
        <w:rPr>
          <w:color w:val="auto"/>
          <w:highlight w:val="none"/>
        </w:rPr>
      </w:pPr>
    </w:p>
    <w:p w14:paraId="77013DD1">
      <w:pPr>
        <w:pStyle w:val="8"/>
        <w:spacing w:line="319" w:lineRule="auto"/>
        <w:rPr>
          <w:color w:val="auto"/>
          <w:highlight w:val="none"/>
        </w:rPr>
      </w:pPr>
    </w:p>
    <w:p w14:paraId="63E454B6">
      <w:pPr>
        <w:spacing w:before="143" w:line="220" w:lineRule="auto"/>
        <w:ind w:left="2014"/>
        <w:outlineLvl w:val="0"/>
        <w:rPr>
          <w:rFonts w:ascii="宋体" w:hAnsi="宋体" w:eastAsia="宋体" w:cs="宋体"/>
          <w:strike/>
          <w:dstrike w:val="0"/>
          <w:color w:val="auto"/>
          <w:sz w:val="44"/>
          <w:szCs w:val="44"/>
          <w:highlight w:val="none"/>
        </w:rPr>
      </w:pPr>
      <w:bookmarkStart w:id="235" w:name="_Toc4751"/>
      <w:r>
        <w:rPr>
          <w:rFonts w:ascii="宋体" w:hAnsi="宋体" w:eastAsia="宋体" w:cs="宋体"/>
          <w:b/>
          <w:bCs/>
          <w:strike/>
          <w:dstrike w:val="0"/>
          <w:color w:val="auto"/>
          <w:spacing w:val="-11"/>
          <w:sz w:val="44"/>
          <w:szCs w:val="44"/>
          <w:highlight w:val="none"/>
        </w:rPr>
        <w:t>中小企业声明函（如有）</w:t>
      </w:r>
      <w:bookmarkEnd w:id="235"/>
    </w:p>
    <w:p w14:paraId="215DB994">
      <w:pPr>
        <w:pStyle w:val="8"/>
        <w:spacing w:line="344" w:lineRule="auto"/>
        <w:rPr>
          <w:strike/>
          <w:dstrike w:val="0"/>
          <w:color w:val="auto"/>
          <w:highlight w:val="none"/>
        </w:rPr>
      </w:pPr>
    </w:p>
    <w:p w14:paraId="6BA93F0B">
      <w:pPr>
        <w:pStyle w:val="8"/>
        <w:spacing w:line="344" w:lineRule="auto"/>
        <w:rPr>
          <w:strike/>
          <w:dstrike w:val="0"/>
          <w:color w:val="auto"/>
          <w:highlight w:val="none"/>
        </w:rPr>
      </w:pPr>
    </w:p>
    <w:p w14:paraId="47FA3922">
      <w:pPr>
        <w:spacing w:before="78" w:line="360" w:lineRule="auto"/>
        <w:ind w:right="413" w:firstLine="641"/>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本公司（联合体）郑重声明，根据《政府采购促进中小企业发展管理办法》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（财库﹝</w:t>
      </w:r>
      <w:r>
        <w:rPr>
          <w:rFonts w:ascii="Times New Roman" w:hAnsi="Times New Roman" w:eastAsia="Times New Roman" w:cs="Times New Roman"/>
          <w:strike/>
          <w:dstrike w:val="0"/>
          <w:color w:val="auto"/>
          <w:spacing w:val="-8"/>
          <w:sz w:val="24"/>
          <w:szCs w:val="24"/>
          <w:highlight w:val="none"/>
        </w:rPr>
        <w:t>2020</w:t>
      </w:r>
      <w:r>
        <w:rPr>
          <w:rFonts w:ascii="宋体" w:hAnsi="宋体" w:eastAsia="宋体" w:cs="宋体"/>
          <w:strike/>
          <w:dstrike w:val="0"/>
          <w:color w:val="auto"/>
          <w:spacing w:val="-8"/>
          <w:sz w:val="24"/>
          <w:szCs w:val="24"/>
          <w:highlight w:val="none"/>
        </w:rPr>
        <w:t>﹞</w:t>
      </w:r>
      <w:r>
        <w:rPr>
          <w:rFonts w:ascii="Times New Roman" w:hAnsi="Times New Roman" w:eastAsia="Times New Roman" w:cs="Times New Roman"/>
          <w:strike/>
          <w:dstrike w:val="0"/>
          <w:color w:val="auto"/>
          <w:spacing w:val="-8"/>
          <w:sz w:val="24"/>
          <w:szCs w:val="24"/>
          <w:highlight w:val="none"/>
        </w:rPr>
        <w:t xml:space="preserve">46  </w:t>
      </w:r>
      <w:r>
        <w:rPr>
          <w:rFonts w:ascii="宋体" w:hAnsi="宋体" w:eastAsia="宋体" w:cs="宋体"/>
          <w:strike/>
          <w:dstrike w:val="0"/>
          <w:color w:val="auto"/>
          <w:spacing w:val="-8"/>
          <w:sz w:val="24"/>
          <w:szCs w:val="24"/>
          <w:highlight w:val="none"/>
        </w:rPr>
        <w:t>号）的规定，本公司（联合体）参加</w:t>
      </w:r>
      <w:r>
        <w:rPr>
          <w:rFonts w:ascii="宋体" w:hAnsi="宋体" w:eastAsia="宋体" w:cs="宋体"/>
          <w:strike/>
          <w:dstrike w:val="0"/>
          <w:color w:val="auto"/>
          <w:spacing w:val="-8"/>
          <w:sz w:val="24"/>
          <w:szCs w:val="24"/>
          <w:highlight w:val="none"/>
          <w:u w:val="single" w:color="auto"/>
        </w:rPr>
        <w:t xml:space="preserve">                    </w:t>
      </w:r>
      <w:r>
        <w:rPr>
          <w:rFonts w:ascii="宋体" w:hAnsi="宋体" w:eastAsia="宋体" w:cs="宋体"/>
          <w:strike/>
          <w:dstrike w:val="0"/>
          <w:color w:val="auto"/>
          <w:spacing w:val="-8"/>
          <w:sz w:val="24"/>
          <w:szCs w:val="24"/>
          <w:highlight w:val="none"/>
        </w:rPr>
        <w:t>（单</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4"/>
          <w:sz w:val="24"/>
          <w:szCs w:val="24"/>
          <w:highlight w:val="none"/>
        </w:rPr>
        <w:t xml:space="preserve">位名称）的 </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4"/>
          <w:sz w:val="24"/>
          <w:szCs w:val="24"/>
          <w:highlight w:val="none"/>
        </w:rPr>
        <w:t>（招标项目名称</w:t>
      </w:r>
      <w:r>
        <w:rPr>
          <w:rFonts w:ascii="宋体" w:hAnsi="宋体" w:eastAsia="宋体" w:cs="宋体"/>
          <w:strike/>
          <w:dstrike w:val="0"/>
          <w:color w:val="auto"/>
          <w:spacing w:val="-6"/>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6"/>
          <w:sz w:val="24"/>
          <w:szCs w:val="24"/>
          <w:highlight w:val="none"/>
        </w:rPr>
        <w:t>（</w:t>
      </w:r>
      <w:r>
        <w:rPr>
          <w:rFonts w:ascii="宋体" w:hAnsi="宋体" w:eastAsia="宋体" w:cs="宋体"/>
          <w:strike/>
          <w:dstrike w:val="0"/>
          <w:color w:val="auto"/>
          <w:spacing w:val="-4"/>
          <w:sz w:val="24"/>
          <w:szCs w:val="24"/>
          <w:highlight w:val="none"/>
        </w:rPr>
        <w:t>标段名称）投标，</w:t>
      </w:r>
      <w:r>
        <w:rPr>
          <w:rFonts w:ascii="宋体" w:hAnsi="宋体" w:eastAsia="宋体" w:cs="宋体"/>
          <w:strike/>
          <w:dstrike w:val="0"/>
          <w:color w:val="auto"/>
          <w:spacing w:val="-5"/>
          <w:sz w:val="24"/>
          <w:szCs w:val="24"/>
          <w:highlight w:val="none"/>
        </w:rPr>
        <w:t>工程的施工</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单位全部为符合政策要求的中小企业）。相关企业（含联合体中的中小企业、签订</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pacing w:val="-4"/>
          <w:sz w:val="24"/>
          <w:szCs w:val="24"/>
          <w:highlight w:val="none"/>
        </w:rPr>
        <w:t>分包意向协议的中小企业）的具体情况如下：</w:t>
      </w:r>
    </w:p>
    <w:p w14:paraId="66C7EA0A">
      <w:pPr>
        <w:spacing w:before="116" w:line="275" w:lineRule="auto"/>
        <w:ind w:left="6" w:right="259" w:firstLine="48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2"/>
          <w:sz w:val="24"/>
          <w:szCs w:val="24"/>
          <w:highlight w:val="none"/>
        </w:rPr>
        <w:t>1.</w:t>
      </w:r>
      <w:r>
        <w:rPr>
          <w:rFonts w:ascii="Times New Roman" w:hAnsi="Times New Roman" w:eastAsia="Times New Roman" w:cs="Times New Roman"/>
          <w:strike/>
          <w:dstrike w:val="0"/>
          <w:color w:val="auto"/>
          <w:spacing w:val="59"/>
          <w:sz w:val="24"/>
          <w:szCs w:val="24"/>
          <w:highlight w:val="none"/>
        </w:rPr>
        <w:t xml:space="preserve"> </w:t>
      </w:r>
      <w:r>
        <w:rPr>
          <w:rFonts w:ascii="Times New Roman" w:hAnsi="Times New Roman" w:eastAsia="Times New Roman" w:cs="Times New Roman"/>
          <w:strike/>
          <w:dstrike w:val="0"/>
          <w:color w:val="auto"/>
          <w:spacing w:val="-2"/>
          <w:sz w:val="24"/>
          <w:szCs w:val="24"/>
          <w:highlight w:val="none"/>
          <w:u w:val="single" w:color="auto"/>
        </w:rPr>
        <w:t xml:space="preserve">              </w:t>
      </w:r>
      <w:r>
        <w:rPr>
          <w:rFonts w:ascii="宋体" w:hAnsi="宋体" w:eastAsia="宋体" w:cs="宋体"/>
          <w:strike/>
          <w:dstrike w:val="0"/>
          <w:color w:val="auto"/>
          <w:spacing w:val="-2"/>
          <w:sz w:val="24"/>
          <w:szCs w:val="24"/>
          <w:highlight w:val="none"/>
        </w:rPr>
        <w:t>（标段名称</w:t>
      </w:r>
      <w:r>
        <w:rPr>
          <w:rFonts w:ascii="宋体" w:hAnsi="宋体" w:eastAsia="宋体" w:cs="宋体"/>
          <w:strike/>
          <w:dstrike w:val="0"/>
          <w:color w:val="auto"/>
          <w:spacing w:val="3"/>
          <w:sz w:val="24"/>
          <w:szCs w:val="24"/>
          <w:highlight w:val="none"/>
        </w:rPr>
        <w:t>），</w:t>
      </w:r>
      <w:r>
        <w:rPr>
          <w:rFonts w:ascii="宋体" w:hAnsi="宋体" w:eastAsia="宋体" w:cs="宋体"/>
          <w:strike/>
          <w:dstrike w:val="0"/>
          <w:color w:val="auto"/>
          <w:spacing w:val="-2"/>
          <w:sz w:val="24"/>
          <w:szCs w:val="24"/>
          <w:highlight w:val="none"/>
        </w:rPr>
        <w:t>属于</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2"/>
          <w:sz w:val="24"/>
          <w:szCs w:val="24"/>
          <w:highlight w:val="none"/>
        </w:rPr>
        <w:t>（招标文件中明确的所属行业）承建</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 xml:space="preserve">（承接）企业为 </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4"/>
          <w:sz w:val="24"/>
          <w:szCs w:val="24"/>
          <w:highlight w:val="none"/>
        </w:rPr>
        <w:t>（企业名称</w:t>
      </w:r>
      <w:r>
        <w:rPr>
          <w:rFonts w:ascii="宋体" w:hAnsi="宋体" w:eastAsia="宋体" w:cs="宋体"/>
          <w:strike/>
          <w:dstrike w:val="0"/>
          <w:color w:val="auto"/>
          <w:sz w:val="24"/>
          <w:szCs w:val="24"/>
          <w:highlight w:val="none"/>
        </w:rPr>
        <w:t>），</w:t>
      </w:r>
      <w:r>
        <w:rPr>
          <w:rFonts w:ascii="宋体" w:hAnsi="宋体" w:eastAsia="宋体" w:cs="宋体"/>
          <w:strike/>
          <w:dstrike w:val="0"/>
          <w:color w:val="auto"/>
          <w:spacing w:val="-4"/>
          <w:sz w:val="24"/>
          <w:szCs w:val="24"/>
          <w:highlight w:val="none"/>
        </w:rPr>
        <w:t>从业人员</w:t>
      </w:r>
      <w:r>
        <w:rPr>
          <w:rFonts w:ascii="宋体" w:hAnsi="宋体" w:eastAsia="宋体" w:cs="宋体"/>
          <w:strike/>
          <w:dstrike w:val="0"/>
          <w:color w:val="auto"/>
          <w:spacing w:val="-117"/>
          <w:sz w:val="24"/>
          <w:szCs w:val="24"/>
          <w:highlight w:val="none"/>
        </w:rPr>
        <w:t xml:space="preserve"> </w:t>
      </w:r>
      <w:r>
        <w:rPr>
          <w:rFonts w:ascii="宋体" w:hAnsi="宋体" w:eastAsia="宋体" w:cs="宋体"/>
          <w:strike/>
          <w:dstrike w:val="0"/>
          <w:color w:val="auto"/>
          <w:spacing w:val="17"/>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4"/>
          <w:sz w:val="24"/>
          <w:szCs w:val="24"/>
          <w:highlight w:val="none"/>
        </w:rPr>
        <w:t>人，营业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 xml:space="preserve">收入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1"/>
          <w:sz w:val="24"/>
          <w:szCs w:val="24"/>
          <w:highlight w:val="none"/>
        </w:rPr>
        <w:t>万元，资产总额为</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3"/>
          <w:sz w:val="24"/>
          <w:szCs w:val="24"/>
          <w:highlight w:val="none"/>
        </w:rPr>
        <w:t xml:space="preserve"> </w:t>
      </w:r>
      <w:r>
        <w:rPr>
          <w:rFonts w:ascii="宋体" w:hAnsi="宋体" w:eastAsia="宋体" w:cs="宋体"/>
          <w:strike/>
          <w:dstrike w:val="0"/>
          <w:color w:val="auto"/>
          <w:spacing w:val="-1"/>
          <w:sz w:val="24"/>
          <w:szCs w:val="24"/>
          <w:highlight w:val="none"/>
        </w:rPr>
        <w:t xml:space="preserve">万元，属于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2"/>
          <w:sz w:val="24"/>
          <w:szCs w:val="24"/>
          <w:highlight w:val="none"/>
        </w:rPr>
        <w:t>（中型企业、小</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型企业、微型企业</w:t>
      </w:r>
      <w:r>
        <w:rPr>
          <w:rFonts w:ascii="宋体" w:hAnsi="宋体" w:eastAsia="宋体" w:cs="宋体"/>
          <w:strike/>
          <w:dstrike w:val="0"/>
          <w:color w:val="auto"/>
          <w:spacing w:val="-1"/>
          <w:sz w:val="24"/>
          <w:szCs w:val="24"/>
          <w:highlight w:val="none"/>
        </w:rPr>
        <w:t>）；</w:t>
      </w:r>
    </w:p>
    <w:p w14:paraId="5068F3EE">
      <w:pPr>
        <w:spacing w:before="96" w:line="276" w:lineRule="auto"/>
        <w:ind w:left="6" w:right="259" w:firstLine="470"/>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2.  </w:t>
      </w:r>
      <w:r>
        <w:rPr>
          <w:rFonts w:ascii="Times New Roman" w:hAnsi="Times New Roman" w:eastAsia="Times New Roman" w:cs="Times New Roman"/>
          <w:strike/>
          <w:dstrike w:val="0"/>
          <w:color w:val="auto"/>
          <w:spacing w:val="-1"/>
          <w:sz w:val="24"/>
          <w:szCs w:val="24"/>
          <w:highlight w:val="none"/>
          <w:u w:val="single" w:color="auto"/>
        </w:rPr>
        <w:t xml:space="preserve">              </w:t>
      </w:r>
      <w:r>
        <w:rPr>
          <w:rFonts w:ascii="宋体" w:hAnsi="宋体" w:eastAsia="宋体" w:cs="宋体"/>
          <w:strike/>
          <w:dstrike w:val="0"/>
          <w:color w:val="auto"/>
          <w:spacing w:val="-1"/>
          <w:sz w:val="24"/>
          <w:szCs w:val="24"/>
          <w:highlight w:val="none"/>
        </w:rPr>
        <w:t>（标段名称），属于</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2"/>
          <w:sz w:val="24"/>
          <w:szCs w:val="24"/>
          <w:highlight w:val="none"/>
        </w:rPr>
        <w:t>（招标文件中明确的所属行业）承建</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 xml:space="preserve">（承接）企业为 </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4"/>
          <w:sz w:val="24"/>
          <w:szCs w:val="24"/>
          <w:highlight w:val="none"/>
        </w:rPr>
        <w:t>（企业名称</w:t>
      </w:r>
      <w:r>
        <w:rPr>
          <w:rFonts w:ascii="宋体" w:hAnsi="宋体" w:eastAsia="宋体" w:cs="宋体"/>
          <w:strike/>
          <w:dstrike w:val="0"/>
          <w:color w:val="auto"/>
          <w:sz w:val="24"/>
          <w:szCs w:val="24"/>
          <w:highlight w:val="none"/>
        </w:rPr>
        <w:t>），</w:t>
      </w:r>
      <w:r>
        <w:rPr>
          <w:rFonts w:ascii="宋体" w:hAnsi="宋体" w:eastAsia="宋体" w:cs="宋体"/>
          <w:strike/>
          <w:dstrike w:val="0"/>
          <w:color w:val="auto"/>
          <w:spacing w:val="-4"/>
          <w:sz w:val="24"/>
          <w:szCs w:val="24"/>
          <w:highlight w:val="none"/>
        </w:rPr>
        <w:t>从业人员</w:t>
      </w:r>
      <w:r>
        <w:rPr>
          <w:rFonts w:ascii="宋体" w:hAnsi="宋体" w:eastAsia="宋体" w:cs="宋体"/>
          <w:strike/>
          <w:dstrike w:val="0"/>
          <w:color w:val="auto"/>
          <w:spacing w:val="-117"/>
          <w:sz w:val="24"/>
          <w:szCs w:val="24"/>
          <w:highlight w:val="none"/>
        </w:rPr>
        <w:t xml:space="preserve"> </w:t>
      </w:r>
      <w:r>
        <w:rPr>
          <w:rFonts w:ascii="宋体" w:hAnsi="宋体" w:eastAsia="宋体" w:cs="宋体"/>
          <w:strike/>
          <w:dstrike w:val="0"/>
          <w:color w:val="auto"/>
          <w:spacing w:val="17"/>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4"/>
          <w:sz w:val="24"/>
          <w:szCs w:val="24"/>
          <w:highlight w:val="none"/>
        </w:rPr>
        <w:t>人，营业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 xml:space="preserve">收入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1"/>
          <w:sz w:val="24"/>
          <w:szCs w:val="24"/>
          <w:highlight w:val="none"/>
        </w:rPr>
        <w:t>万元，资产总额为</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3"/>
          <w:sz w:val="24"/>
          <w:szCs w:val="24"/>
          <w:highlight w:val="none"/>
        </w:rPr>
        <w:t xml:space="preserve"> </w:t>
      </w:r>
      <w:r>
        <w:rPr>
          <w:rFonts w:ascii="宋体" w:hAnsi="宋体" w:eastAsia="宋体" w:cs="宋体"/>
          <w:strike/>
          <w:dstrike w:val="0"/>
          <w:color w:val="auto"/>
          <w:spacing w:val="-1"/>
          <w:sz w:val="24"/>
          <w:szCs w:val="24"/>
          <w:highlight w:val="none"/>
        </w:rPr>
        <w:t xml:space="preserve">万元，属于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2"/>
          <w:sz w:val="24"/>
          <w:szCs w:val="24"/>
          <w:highlight w:val="none"/>
        </w:rPr>
        <w:t>（中型企业、小</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型企业、微型企业</w:t>
      </w:r>
      <w:r>
        <w:rPr>
          <w:rFonts w:ascii="宋体" w:hAnsi="宋体" w:eastAsia="宋体" w:cs="宋体"/>
          <w:strike/>
          <w:dstrike w:val="0"/>
          <w:color w:val="auto"/>
          <w:spacing w:val="-1"/>
          <w:sz w:val="24"/>
          <w:szCs w:val="24"/>
          <w:highlight w:val="none"/>
        </w:rPr>
        <w:t>）；</w:t>
      </w:r>
    </w:p>
    <w:p w14:paraId="3EC1F173">
      <w:pPr>
        <w:spacing w:before="97" w:line="378" w:lineRule="exact"/>
        <w:ind w:left="49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position w:val="3"/>
          <w:sz w:val="24"/>
          <w:szCs w:val="24"/>
          <w:highlight w:val="none"/>
        </w:rPr>
        <w:t>……</w:t>
      </w:r>
    </w:p>
    <w:p w14:paraId="6257D166">
      <w:pPr>
        <w:pStyle w:val="8"/>
        <w:spacing w:line="312" w:lineRule="auto"/>
        <w:rPr>
          <w:strike/>
          <w:dstrike w:val="0"/>
          <w:color w:val="auto"/>
          <w:highlight w:val="none"/>
        </w:rPr>
      </w:pPr>
    </w:p>
    <w:p w14:paraId="50AD3EBD">
      <w:pPr>
        <w:pStyle w:val="8"/>
        <w:spacing w:line="312" w:lineRule="auto"/>
        <w:rPr>
          <w:strike/>
          <w:dstrike w:val="0"/>
          <w:color w:val="auto"/>
          <w:highlight w:val="none"/>
        </w:rPr>
      </w:pPr>
    </w:p>
    <w:p w14:paraId="06149899">
      <w:pPr>
        <w:pStyle w:val="8"/>
        <w:spacing w:line="312" w:lineRule="auto"/>
        <w:rPr>
          <w:strike/>
          <w:dstrike w:val="0"/>
          <w:color w:val="auto"/>
          <w:highlight w:val="none"/>
        </w:rPr>
      </w:pPr>
    </w:p>
    <w:p w14:paraId="3B119E67">
      <w:pPr>
        <w:spacing w:before="78" w:line="360" w:lineRule="auto"/>
        <w:ind w:right="259" w:firstLine="50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以上企业，不属于大企业的分支机构，不存在</w:t>
      </w:r>
      <w:r>
        <w:rPr>
          <w:rFonts w:ascii="宋体" w:hAnsi="宋体" w:eastAsia="宋体" w:cs="宋体"/>
          <w:strike/>
          <w:dstrike w:val="0"/>
          <w:color w:val="auto"/>
          <w:spacing w:val="-5"/>
          <w:sz w:val="24"/>
          <w:szCs w:val="24"/>
          <w:highlight w:val="none"/>
        </w:rPr>
        <w:t>控股股东为大企业的情形，也不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存在与大企业的负责人为同一人的情形。</w:t>
      </w:r>
    </w:p>
    <w:p w14:paraId="705AF0F4">
      <w:pPr>
        <w:spacing w:before="1" w:line="218" w:lineRule="auto"/>
        <w:ind w:left="48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本企业对上述声明内容的真实性负责。如有</w:t>
      </w:r>
      <w:r>
        <w:rPr>
          <w:rFonts w:ascii="宋体" w:hAnsi="宋体" w:eastAsia="宋体" w:cs="宋体"/>
          <w:strike/>
          <w:dstrike w:val="0"/>
          <w:color w:val="auto"/>
          <w:spacing w:val="-2"/>
          <w:sz w:val="24"/>
          <w:szCs w:val="24"/>
          <w:highlight w:val="none"/>
        </w:rPr>
        <w:t>虚假，将依法承担相应责任。</w:t>
      </w:r>
    </w:p>
    <w:p w14:paraId="227570FA">
      <w:pPr>
        <w:pStyle w:val="8"/>
        <w:spacing w:line="317" w:lineRule="auto"/>
        <w:rPr>
          <w:strike/>
          <w:dstrike w:val="0"/>
          <w:color w:val="auto"/>
          <w:highlight w:val="none"/>
        </w:rPr>
      </w:pPr>
    </w:p>
    <w:p w14:paraId="1EDDB885">
      <w:pPr>
        <w:pStyle w:val="8"/>
        <w:spacing w:line="317" w:lineRule="auto"/>
        <w:rPr>
          <w:strike/>
          <w:dstrike w:val="0"/>
          <w:color w:val="auto"/>
          <w:highlight w:val="none"/>
        </w:rPr>
      </w:pPr>
    </w:p>
    <w:p w14:paraId="4B2A5F58">
      <w:pPr>
        <w:spacing w:before="78" w:line="219" w:lineRule="auto"/>
        <w:ind w:left="432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投标人</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5"/>
          <w:sz w:val="24"/>
          <w:szCs w:val="24"/>
          <w:highlight w:val="none"/>
          <w:u w:val="single" w:color="auto"/>
        </w:rPr>
        <w:t xml:space="preserve">        </w:t>
      </w:r>
      <w:r>
        <w:rPr>
          <w:rFonts w:ascii="宋体" w:hAnsi="宋体" w:eastAsia="宋体" w:cs="宋体"/>
          <w:strike/>
          <w:dstrike w:val="0"/>
          <w:color w:val="auto"/>
          <w:spacing w:val="2"/>
          <w:sz w:val="24"/>
          <w:szCs w:val="24"/>
          <w:highlight w:val="none"/>
          <w:u w:val="single" w:color="auto"/>
        </w:rPr>
        <w:t>（</w:t>
      </w:r>
      <w:r>
        <w:rPr>
          <w:rFonts w:ascii="宋体" w:hAnsi="宋体" w:eastAsia="宋体" w:cs="宋体"/>
          <w:strike/>
          <w:dstrike w:val="0"/>
          <w:color w:val="auto"/>
          <w:spacing w:val="-2"/>
          <w:sz w:val="24"/>
          <w:szCs w:val="24"/>
          <w:highlight w:val="none"/>
          <w:u w:val="single" w:color="auto"/>
        </w:rPr>
        <w:t>盖单位公章）</w:t>
      </w:r>
      <w:r>
        <w:rPr>
          <w:rFonts w:ascii="宋体" w:hAnsi="宋体" w:eastAsia="宋体" w:cs="宋体"/>
          <w:strike/>
          <w:dstrike w:val="0"/>
          <w:color w:val="auto"/>
          <w:sz w:val="24"/>
          <w:szCs w:val="24"/>
          <w:highlight w:val="none"/>
          <w:u w:val="single" w:color="auto"/>
        </w:rPr>
        <w:t xml:space="preserve">       </w:t>
      </w:r>
    </w:p>
    <w:p w14:paraId="13F35EA9">
      <w:pPr>
        <w:tabs>
          <w:tab w:val="left" w:pos="7099"/>
        </w:tabs>
        <w:spacing w:before="181" w:line="220" w:lineRule="auto"/>
        <w:ind w:left="6499"/>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26"/>
          <w:sz w:val="24"/>
          <w:szCs w:val="24"/>
          <w:highlight w:val="none"/>
        </w:rPr>
        <w:t>年</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26"/>
          <w:sz w:val="24"/>
          <w:szCs w:val="24"/>
          <w:highlight w:val="none"/>
        </w:rPr>
        <w:t>月</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26"/>
          <w:sz w:val="24"/>
          <w:szCs w:val="24"/>
          <w:highlight w:val="none"/>
        </w:rPr>
        <w:t>日</w:t>
      </w:r>
    </w:p>
    <w:p w14:paraId="6A71E3C7">
      <w:pPr>
        <w:pStyle w:val="8"/>
        <w:spacing w:line="249" w:lineRule="auto"/>
        <w:rPr>
          <w:strike/>
          <w:dstrike w:val="0"/>
          <w:color w:val="auto"/>
          <w:highlight w:val="none"/>
        </w:rPr>
      </w:pPr>
    </w:p>
    <w:p w14:paraId="316C86F1">
      <w:pPr>
        <w:pStyle w:val="8"/>
        <w:spacing w:line="250" w:lineRule="auto"/>
        <w:rPr>
          <w:strike/>
          <w:dstrike w:val="0"/>
          <w:color w:val="auto"/>
          <w:highlight w:val="none"/>
        </w:rPr>
      </w:pPr>
    </w:p>
    <w:p w14:paraId="601F8B1F">
      <w:pPr>
        <w:pStyle w:val="8"/>
        <w:spacing w:line="250" w:lineRule="auto"/>
        <w:rPr>
          <w:strike/>
          <w:dstrike w:val="0"/>
          <w:color w:val="auto"/>
          <w:highlight w:val="none"/>
        </w:rPr>
      </w:pPr>
    </w:p>
    <w:p w14:paraId="6FE3504A">
      <w:pPr>
        <w:pStyle w:val="8"/>
        <w:spacing w:line="250" w:lineRule="auto"/>
        <w:rPr>
          <w:strike/>
          <w:dstrike w:val="0"/>
          <w:color w:val="auto"/>
          <w:highlight w:val="none"/>
        </w:rPr>
      </w:pPr>
    </w:p>
    <w:p w14:paraId="217C44F3">
      <w:pPr>
        <w:pStyle w:val="8"/>
        <w:spacing w:line="250" w:lineRule="auto"/>
        <w:rPr>
          <w:strike/>
          <w:dstrike w:val="0"/>
          <w:color w:val="auto"/>
          <w:highlight w:val="none"/>
        </w:rPr>
      </w:pPr>
    </w:p>
    <w:p w14:paraId="596FF179">
      <w:pPr>
        <w:pStyle w:val="8"/>
        <w:spacing w:line="250" w:lineRule="auto"/>
        <w:rPr>
          <w:strike/>
          <w:dstrike w:val="0"/>
          <w:color w:val="auto"/>
          <w:highlight w:val="none"/>
        </w:rPr>
      </w:pPr>
    </w:p>
    <w:p w14:paraId="5C74BB29">
      <w:pPr>
        <w:pStyle w:val="8"/>
        <w:spacing w:line="250" w:lineRule="auto"/>
        <w:rPr>
          <w:strike/>
          <w:dstrike w:val="0"/>
          <w:color w:val="auto"/>
          <w:highlight w:val="none"/>
        </w:rPr>
      </w:pPr>
    </w:p>
    <w:p w14:paraId="5D863CB0">
      <w:pPr>
        <w:spacing w:before="78" w:line="361" w:lineRule="auto"/>
        <w:ind w:left="3" w:right="147" w:hanging="3"/>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注：从业人员、营业收入、资产总额填报上一年度数据，</w:t>
      </w:r>
      <w:r>
        <w:rPr>
          <w:rFonts w:ascii="宋体" w:hAnsi="宋体" w:eastAsia="宋体" w:cs="宋体"/>
          <w:strike/>
          <w:dstrike w:val="0"/>
          <w:color w:val="auto"/>
          <w:spacing w:val="-1"/>
          <w:sz w:val="24"/>
          <w:szCs w:val="24"/>
          <w:highlight w:val="none"/>
        </w:rPr>
        <w:t>无上一年度数据的新成立</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6"/>
          <w:sz w:val="24"/>
          <w:szCs w:val="24"/>
          <w:highlight w:val="none"/>
        </w:rPr>
        <w:t>企业可不填报。</w:t>
      </w:r>
    </w:p>
    <w:sectPr>
      <w:footerReference r:id="rId138" w:type="default"/>
      <w:pgSz w:w="11905" w:h="16840"/>
      <w:pgMar w:top="400" w:right="1529" w:bottom="1255" w:left="1596" w:header="0" w:footer="109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07F4A">
    <w:pPr>
      <w:spacing w:line="173" w:lineRule="auto"/>
      <w:jc w:val="right"/>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5E533">
    <w:pPr>
      <w:spacing w:line="176" w:lineRule="auto"/>
      <w:jc w:val="right"/>
      <w:rPr>
        <w:rFonts w:ascii="Times New Roman" w:hAnsi="Times New Roman" w:eastAsia="Times New Roman"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092F6">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E293C0">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70E293C0">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4003C">
    <w:pPr>
      <w:spacing w:line="176" w:lineRule="auto"/>
      <w:ind w:left="856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F8081C">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32F8081C">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94365">
    <w:pPr>
      <w:spacing w:line="176" w:lineRule="auto"/>
      <w:ind w:left="86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D6B415">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6DD6B415">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52A88">
    <w:pPr>
      <w:pStyle w:val="10"/>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9DD9E">
                          <w:pPr>
                            <w:pStyle w:val="1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7989DD9E">
                    <w:pPr>
                      <w:pStyle w:val="1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29DC5">
    <w:pPr>
      <w:spacing w:line="176" w:lineRule="auto"/>
      <w:ind w:left="86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61C450">
                          <w:pPr>
                            <w:pStyle w:val="1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4761C450">
                    <w:pPr>
                      <w:pStyle w:val="10"/>
                    </w:pPr>
                    <w:r>
                      <w:fldChar w:fldCharType="begin"/>
                    </w:r>
                    <w:r>
                      <w:instrText xml:space="preserve"> PAGE  \* MERGEFORMAT </w:instrText>
                    </w:r>
                    <w:r>
                      <w:fldChar w:fldCharType="separate"/>
                    </w:r>
                    <w:r>
                      <w:t>20</w:t>
                    </w:r>
                    <w:r>
                      <w:fldChar w:fldCharType="end"/>
                    </w:r>
                  </w:p>
                </w:txbxContent>
              </v:textbox>
            </v:shape>
          </w:pict>
        </mc:Fallback>
      </mc:AlternateContent>
    </w:r>
    <w:r>
      <w:rPr>
        <w:rFonts w:ascii="Times New Roman" w:hAnsi="Times New Roman" w:eastAsia="Times New Roman" w:cs="Times New Roman"/>
        <w:spacing w:val="-2"/>
        <w:sz w:val="18"/>
        <w:szCs w:val="18"/>
      </w:rPr>
      <w:t>35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92D5A">
    <w:pPr>
      <w:spacing w:line="176" w:lineRule="auto"/>
      <w:ind w:left="86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DC90CF">
                          <w:pPr>
                            <w:pStyle w:val="1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51DC90CF">
                    <w:pPr>
                      <w:pStyle w:val="1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D1EF5">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D8789D">
                          <w:pPr>
                            <w:pStyle w:val="1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76D8789D">
                    <w:pPr>
                      <w:pStyle w:val="10"/>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49276">
    <w:pPr>
      <w:spacing w:line="176" w:lineRule="auto"/>
      <w:ind w:left="860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6022E">
                          <w:pPr>
                            <w:pStyle w:val="10"/>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58F6022E">
                    <w:pPr>
                      <w:pStyle w:val="10"/>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E8D55">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681569">
                          <w:pPr>
                            <w:pStyle w:val="1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5A681569">
                    <w:pPr>
                      <w:pStyle w:val="1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110D0">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B77696">
                          <w:pPr>
                            <w:pStyle w:val="1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0CB77696">
                    <w:pPr>
                      <w:pStyle w:val="1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7A5E1">
    <w:pPr>
      <w:spacing w:line="176" w:lineRule="auto"/>
      <w:ind w:left="861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C3D1F">
                          <w:pPr>
                            <w:pStyle w:val="1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14:paraId="102C3D1F">
                    <w:pPr>
                      <w:pStyle w:val="1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07122">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4D2951">
                          <w:pPr>
                            <w:pStyle w:val="1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374D2951">
                    <w:pPr>
                      <w:pStyle w:val="10"/>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53C5F">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5F6DED">
                          <w:pPr>
                            <w:pStyle w:val="1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14:paraId="3B5F6DED">
                    <w:pPr>
                      <w:pStyle w:val="1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FFC3F">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F0A549">
                          <w:pPr>
                            <w:pStyle w:val="1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6BF0A549">
                    <w:pPr>
                      <w:pStyle w:val="1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C4CA3">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E20431">
                          <w:pPr>
                            <w:pStyle w:val="1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5BE20431">
                    <w:pPr>
                      <w:pStyle w:val="1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7BD52">
    <w:pPr>
      <w:spacing w:line="173"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BE2EB">
                          <w:pPr>
                            <w:pStyle w:val="1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11ABE2EB">
                    <w:pPr>
                      <w:pStyle w:val="1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FDD22">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FCECD">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22CFCECD">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CB996">
    <w:pPr>
      <w:spacing w:line="173"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C74D99">
                          <w:pPr>
                            <w:pStyle w:val="1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46C74D99">
                    <w:pPr>
                      <w:pStyle w:val="10"/>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BE29C">
    <w:pPr>
      <w:spacing w:line="176" w:lineRule="auto"/>
      <w:ind w:left="86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78203F">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0D78203F">
                    <w:pPr>
                      <w:pStyle w:val="1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C0F0C">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B80567">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77B80567">
                    <w:pPr>
                      <w:pStyle w:val="1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59689">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FE2BDA">
                          <w:pPr>
                            <w:pStyle w:val="1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48FE2BDA">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AAD3E">
    <w:pPr>
      <w:spacing w:line="176" w:lineRule="auto"/>
      <w:ind w:left="860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8DE95">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3278DE95">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76D87">
    <w:pPr>
      <w:spacing w:line="176" w:lineRule="auto"/>
      <w:ind w:left="860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B8D6B">
                          <w:pPr>
                            <w:pStyle w:val="1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52AB8D6B">
                    <w:pPr>
                      <w:pStyle w:val="1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B2801">
    <w:pPr>
      <w:spacing w:line="176" w:lineRule="auto"/>
      <w:ind w:left="861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D668B2">
                          <w:pPr>
                            <w:pStyle w:val="1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49D668B2">
                    <w:pPr>
                      <w:pStyle w:val="1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0BE38">
    <w:pPr>
      <w:spacing w:line="176" w:lineRule="auto"/>
      <w:ind w:left="861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352A87">
                          <w:pPr>
                            <w:pStyle w:val="1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MCLg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1T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zAi4NAIAAGUEAAAOAAAAAAAAAAEAIAAAAB8BAABkcnMvZTJvRG9jLnhtbFBL&#10;BQYAAAAABgAGAFkBAADFBQAAAAA=&#10;">
              <v:fill on="f" focussize="0,0"/>
              <v:stroke on="f" weight="0.5pt"/>
              <v:imagedata o:title=""/>
              <o:lock v:ext="edit" aspectratio="f"/>
              <v:textbox inset="0mm,0mm,0mm,0mm" style="mso-fit-shape-to-text:t;">
                <w:txbxContent>
                  <w:p w14:paraId="25352A87">
                    <w:pPr>
                      <w:pStyle w:val="1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27011">
    <w:pPr>
      <w:spacing w:line="176" w:lineRule="auto"/>
      <w:ind w:left="860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06C170">
                          <w:pPr>
                            <w:pStyle w:val="10"/>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14:paraId="5406C170">
                    <w:pPr>
                      <w:pStyle w:val="1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53629">
    <w:pPr>
      <w:spacing w:line="176" w:lineRule="auto"/>
      <w:ind w:left="860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BF669">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0A5BF669">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3FC39">
    <w:pPr>
      <w:spacing w:line="176" w:lineRule="auto"/>
      <w:ind w:left="860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D726B">
                          <w:pPr>
                            <w:pStyle w:val="1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608D726B">
                    <w:pPr>
                      <w:pStyle w:val="1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DDED9">
    <w:pPr>
      <w:spacing w:line="176" w:lineRule="auto"/>
      <w:ind w:left="860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7744C6">
                          <w:pPr>
                            <w:pStyle w:val="1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14:paraId="377744C6">
                    <w:pPr>
                      <w:pStyle w:val="1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739C4">
    <w:pPr>
      <w:spacing w:line="176" w:lineRule="auto"/>
      <w:ind w:left="861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4F60AE">
                          <w:pPr>
                            <w:pStyle w:val="1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yGFI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AE8M0Sn768f30&#10;8+H06xtJh5CocWGGyHuH2Ni+sy3Ch/OAw8S8rbxOX3Ai8APseBFYtJHwdGk6mU5zuDh8wwb42eN1&#10;50N8L6wmySioRwU7YdlhE2IfOoSkbMaupVJdFZUhTUGvXr/N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yGFIzAgAAZQQAAA4AAAAAAAAAAQAgAAAAHwEAAGRycy9lMm9Eb2MueG1sUEsF&#10;BgAAAAAGAAYAWQEAAMQFAAAAAA==&#10;">
              <v:fill on="f" focussize="0,0"/>
              <v:stroke on="f" weight="0.5pt"/>
              <v:imagedata o:title=""/>
              <o:lock v:ext="edit" aspectratio="f"/>
              <v:textbox inset="0mm,0mm,0mm,0mm" style="mso-fit-shape-to-text:t;">
                <w:txbxContent>
                  <w:p w14:paraId="154F60AE">
                    <w:pPr>
                      <w:pStyle w:val="1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10870">
    <w:pPr>
      <w:spacing w:line="176" w:lineRule="auto"/>
      <w:ind w:left="86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931561">
                          <w:pPr>
                            <w:pStyle w:val="10"/>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14:paraId="68931561">
                    <w:pPr>
                      <w:pStyle w:val="10"/>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CD087">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8" name="文本框 1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8C35C5">
                          <w:pPr>
                            <w:pStyle w:val="10"/>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iN7cz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SiN7czAgAAZQQAAA4AAAAAAAAAAQAgAAAAHwEAAGRycy9lMm9Eb2MueG1sUEsF&#10;BgAAAAAGAAYAWQEAAMQFAAAAAA==&#10;">
              <v:fill on="f" focussize="0,0"/>
              <v:stroke on="f" weight="0.5pt"/>
              <v:imagedata o:title=""/>
              <o:lock v:ext="edit" aspectratio="f"/>
              <v:textbox inset="0mm,0mm,0mm,0mm" style="mso-fit-shape-to-text:t;">
                <w:txbxContent>
                  <w:p w14:paraId="298C35C5">
                    <w:pPr>
                      <w:pStyle w:val="10"/>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B2668">
    <w:pPr>
      <w:spacing w:line="176" w:lineRule="auto"/>
      <w:ind w:left="86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9" name="文本框 1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4F395">
                          <w:pPr>
                            <w:pStyle w:val="1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8eqSs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HqkrNAIAAGUEAAAOAAAAAAAAAAEAIAAAAB8BAABkcnMvZTJvRG9jLnhtbFBL&#10;BQYAAAAABgAGAFkBAADFBQAAAAA=&#10;">
              <v:fill on="f" focussize="0,0"/>
              <v:stroke on="f" weight="0.5pt"/>
              <v:imagedata o:title=""/>
              <o:lock v:ext="edit" aspectratio="f"/>
              <v:textbox inset="0mm,0mm,0mm,0mm" style="mso-fit-shape-to-text:t;">
                <w:txbxContent>
                  <w:p w14:paraId="7E24F395">
                    <w:pPr>
                      <w:pStyle w:val="1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5887F">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0" name="文本框 1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92239">
                          <w:pPr>
                            <w:pStyle w:val="1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4kTwy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ziRPDICAABlBAAADgAAAAAAAAABACAAAAAfAQAAZHJzL2Uyb0RvYy54bWxQSwUG&#10;AAAAAAYABgBZAQAAwwUAAAAA&#10;">
              <v:fill on="f" focussize="0,0"/>
              <v:stroke on="f" weight="0.5pt"/>
              <v:imagedata o:title=""/>
              <o:lock v:ext="edit" aspectratio="f"/>
              <v:textbox inset="0mm,0mm,0mm,0mm" style="mso-fit-shape-to-text:t;">
                <w:txbxContent>
                  <w:p w14:paraId="0AD92239">
                    <w:pPr>
                      <w:pStyle w:val="1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F8438">
    <w:pPr>
      <w:spacing w:line="176" w:lineRule="auto"/>
      <w:ind w:left="86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1" name="文本框 1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5A7206">
                          <w:pPr>
                            <w:pStyle w:val="1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IQPoDICAABlBAAADgAAAAAAAAABACAAAAAfAQAAZHJzL2Uyb0RvYy54bWxQSwUG&#10;AAAAAAYABgBZAQAAwwUAAAAA&#10;">
              <v:fill on="f" focussize="0,0"/>
              <v:stroke on="f" weight="0.5pt"/>
              <v:imagedata o:title=""/>
              <o:lock v:ext="edit" aspectratio="f"/>
              <v:textbox inset="0mm,0mm,0mm,0mm" style="mso-fit-shape-to-text:t;">
                <w:txbxContent>
                  <w:p w14:paraId="465A7206">
                    <w:pPr>
                      <w:pStyle w:val="1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478B1">
    <w:pPr>
      <w:spacing w:line="173" w:lineRule="auto"/>
      <w:ind w:left="861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2" name="文本框 1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398271">
                          <w:pPr>
                            <w:pStyle w:val="1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G3d4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K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hG3d4zAgAAZQQAAA4AAAAAAAAAAQAgAAAAHwEAAGRycy9lMm9Eb2MueG1sUEsF&#10;BgAAAAAGAAYAWQEAAMQFAAAAAA==&#10;">
              <v:fill on="f" focussize="0,0"/>
              <v:stroke on="f" weight="0.5pt"/>
              <v:imagedata o:title=""/>
              <o:lock v:ext="edit" aspectratio="f"/>
              <v:textbox inset="0mm,0mm,0mm,0mm" style="mso-fit-shape-to-text:t;">
                <w:txbxContent>
                  <w:p w14:paraId="05398271">
                    <w:pPr>
                      <w:pStyle w:val="1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46C34">
    <w:pPr>
      <w:spacing w:line="176" w:lineRule="auto"/>
      <w:ind w:left="864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BDA054">
                          <w:pPr>
                            <w:pStyle w:val="1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6Q0I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P6Q0IzAgAAZQQAAA4AAAAAAAAAAQAgAAAAHwEAAGRycy9lMm9Eb2MueG1sUEsF&#10;BgAAAAAGAAYAWQEAAMQFAAAAAA==&#10;">
              <v:fill on="f" focussize="0,0"/>
              <v:stroke on="f" weight="0.5pt"/>
              <v:imagedata o:title=""/>
              <o:lock v:ext="edit" aspectratio="f"/>
              <v:textbox inset="0mm,0mm,0mm,0mm" style="mso-fit-shape-to-text:t;">
                <w:txbxContent>
                  <w:p w14:paraId="5BBDA054">
                    <w:pPr>
                      <w:pStyle w:val="1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D3997">
    <w:pPr>
      <w:spacing w:line="173" w:lineRule="auto"/>
      <w:ind w:left="864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4" name="文本框 1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F40E76">
                          <w:pPr>
                            <w:pStyle w:val="10"/>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DeCMz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o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DDeCMzAgAAZQQAAA4AAAAAAAAAAQAgAAAAHwEAAGRycy9lMm9Eb2MueG1sUEsF&#10;BgAAAAAGAAYAWQEAAMQFAAAAAA==&#10;">
              <v:fill on="f" focussize="0,0"/>
              <v:stroke on="f" weight="0.5pt"/>
              <v:imagedata o:title=""/>
              <o:lock v:ext="edit" aspectratio="f"/>
              <v:textbox inset="0mm,0mm,0mm,0mm" style="mso-fit-shape-to-text:t;">
                <w:txbxContent>
                  <w:p w14:paraId="57F40E76">
                    <w:pPr>
                      <w:pStyle w:val="1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C5FDB">
    <w:pPr>
      <w:pStyle w:val="10"/>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21BAE">
                          <w:pPr>
                            <w:pStyle w:val="1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5r8zAgAAZQ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0hhLNFEp++fH9&#10;8vP35dc3Eg8hUW39HJE7i9jQvDMNwodzj8PIvCmcil9wIvBD4PNVYNEEwuOl2WQ2S+Hi8A0b4CdP&#10;163z4b0wikQjow4VbIVlp60PXegQErNps6mkbKsoNakzOn17k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t/5r8zAgAAZQQAAA4AAAAAAAAAAQAgAAAAHwEAAGRycy9lMm9Eb2MueG1sUEsF&#10;BgAAAAAGAAYAWQEAAMQFAAAAAA==&#10;">
              <v:fill on="f" focussize="0,0"/>
              <v:stroke on="f" weight="0.5pt"/>
              <v:imagedata o:title=""/>
              <o:lock v:ext="edit" aspectratio="f"/>
              <v:textbox inset="0mm,0mm,0mm,0mm" style="mso-fit-shape-to-text:t;">
                <w:txbxContent>
                  <w:p w14:paraId="48D21BAE">
                    <w:pPr>
                      <w:pStyle w:val="1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FB4B5">
    <w:pPr>
      <w:pStyle w:val="10"/>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6" name="文本框 1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4F7E76">
                          <w:pPr>
                            <w:pStyle w:val="1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e9NME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m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e9NMEzAgAAZQQAAA4AAAAAAAAAAQAgAAAAHwEAAGRycy9lMm9Eb2MueG1sUEsF&#10;BgAAAAAGAAYAWQEAAMQFAAAAAA==&#10;">
              <v:fill on="f" focussize="0,0"/>
              <v:stroke on="f" weight="0.5pt"/>
              <v:imagedata o:title=""/>
              <o:lock v:ext="edit" aspectratio="f"/>
              <v:textbox inset="0mm,0mm,0mm,0mm" style="mso-fit-shape-to-text:t;">
                <w:txbxContent>
                  <w:p w14:paraId="194F7E76">
                    <w:pPr>
                      <w:pStyle w:val="1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F4A0F">
    <w:pPr>
      <w:pStyle w:val="10"/>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7" name="文本框 1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BC5821">
                          <w:pPr>
                            <w:pStyle w:val="1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Bql0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wBql0zAgAAZQQAAA4AAAAAAAAAAQAgAAAAHwEAAGRycy9lMm9Eb2MueG1sUEsF&#10;BgAAAAAGAAYAWQEAAMQFAAAAAA==&#10;">
              <v:fill on="f" focussize="0,0"/>
              <v:stroke on="f" weight="0.5pt"/>
              <v:imagedata o:title=""/>
              <o:lock v:ext="edit" aspectratio="f"/>
              <v:textbox inset="0mm,0mm,0mm,0mm" style="mso-fit-shape-to-text:t;">
                <w:txbxContent>
                  <w:p w14:paraId="0BBC5821">
                    <w:pPr>
                      <w:pStyle w:val="1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4DFBA">
    <w:pPr>
      <w:pStyle w:val="10"/>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8" name="文本框 1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91D237">
                          <w:pPr>
                            <w:pStyle w:val="10"/>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HOQgMy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c5CAzICAABlBAAADgAAAAAAAAABACAAAAAfAQAAZHJzL2Uyb0RvYy54bWxQSwUG&#10;AAAAAAYABgBZAQAAwwUAAAAA&#10;">
              <v:fill on="f" focussize="0,0"/>
              <v:stroke on="f" weight="0.5pt"/>
              <v:imagedata o:title=""/>
              <o:lock v:ext="edit" aspectratio="f"/>
              <v:textbox inset="0mm,0mm,0mm,0mm" style="mso-fit-shape-to-text:t;">
                <w:txbxContent>
                  <w:p w14:paraId="2491D237">
                    <w:pPr>
                      <w:pStyle w:val="10"/>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E68A4">
    <w:pPr>
      <w:pStyle w:val="10"/>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9" name="文本框 1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A95F6">
                          <w:pPr>
                            <w:pStyle w:val="10"/>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3J8zAgAAZ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pi+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py3J8zAgAAZQQAAA4AAAAAAAAAAQAgAAAAHwEAAGRycy9lMm9Eb2MueG1sUEsF&#10;BgAAAAAGAAYAWQEAAMQFAAAAAA==&#10;">
              <v:fill on="f" focussize="0,0"/>
              <v:stroke on="f" weight="0.5pt"/>
              <v:imagedata o:title=""/>
              <o:lock v:ext="edit" aspectratio="f"/>
              <v:textbox inset="0mm,0mm,0mm,0mm" style="mso-fit-shape-to-text:t;">
                <w:txbxContent>
                  <w:p w14:paraId="34FA95F6">
                    <w:pPr>
                      <w:pStyle w:val="10"/>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9F6CC">
    <w:pPr>
      <w:pStyle w:val="10"/>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 name="文本框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60C863">
                          <w:pPr>
                            <w:pStyle w:val="10"/>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ebeY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MebeYzAgAAZQQAAA4AAAAAAAAAAQAgAAAAHwEAAGRycy9lMm9Eb2MueG1sUEsF&#10;BgAAAAAGAAYAWQEAAMQFAAAAAA==&#10;">
              <v:fill on="f" focussize="0,0"/>
              <v:stroke on="f" weight="0.5pt"/>
              <v:imagedata o:title=""/>
              <o:lock v:ext="edit" aspectratio="f"/>
              <v:textbox inset="0mm,0mm,0mm,0mm" style="mso-fit-shape-to-text:t;">
                <w:txbxContent>
                  <w:p w14:paraId="6560C863">
                    <w:pPr>
                      <w:pStyle w:val="10"/>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B32DD">
    <w:pPr>
      <w:spacing w:line="176" w:lineRule="auto"/>
      <w:ind w:right="8"/>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1" name="文本框 1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67E974">
                          <w:pPr>
                            <w:pStyle w:val="10"/>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i83ozAgAAZQ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ii83ozAgAAZQQAAA4AAAAAAAAAAQAgAAAAHwEAAGRycy9lMm9Eb2MueG1sUEsF&#10;BgAAAAAGAAYAWQEAAMQFAAAAAA==&#10;">
              <v:fill on="f" focussize="0,0"/>
              <v:stroke on="f" weight="0.5pt"/>
              <v:imagedata o:title=""/>
              <o:lock v:ext="edit" aspectratio="f"/>
              <v:textbox inset="0mm,0mm,0mm,0mm" style="mso-fit-shape-to-text:t;">
                <w:txbxContent>
                  <w:p w14:paraId="5F67E974">
                    <w:pPr>
                      <w:pStyle w:val="10"/>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762A1">
    <w:pPr>
      <w:pStyle w:val="10"/>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8C79D">
                          <w:pPr>
                            <w:pStyle w:val="10"/>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RgIQ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YCEENAIAAGUEAAAOAAAAAAAAAAEAIAAAAB8BAABkcnMvZTJvRG9jLnhtbFBL&#10;BQYAAAAABgAGAFkBAADFBQAAAAA=&#10;">
              <v:fill on="f" focussize="0,0"/>
              <v:stroke on="f" weight="0.5pt"/>
              <v:imagedata o:title=""/>
              <o:lock v:ext="edit" aspectratio="f"/>
              <v:textbox inset="0mm,0mm,0mm,0mm" style="mso-fit-shape-to-text:t;">
                <w:txbxContent>
                  <w:p w14:paraId="15C8C79D">
                    <w:pPr>
                      <w:pStyle w:val="10"/>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05F7E">
    <w:pPr>
      <w:pStyle w:val="10"/>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B1631">
                          <w:pPr>
                            <w:pStyle w:val="1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16EB1631">
                    <w:pPr>
                      <w:pStyle w:val="10"/>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1FA25">
    <w:pPr>
      <w:pStyle w:val="10"/>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ACD9A">
                          <w:pPr>
                            <w:pStyle w:val="10"/>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3BFACD9A">
                    <w:pPr>
                      <w:pStyle w:val="10"/>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ECF8C">
    <w:pPr>
      <w:pStyle w:val="10"/>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389F6">
                          <w:pPr>
                            <w:pStyle w:val="10"/>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14:paraId="553389F6">
                    <w:pPr>
                      <w:pStyle w:val="10"/>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B7E63">
    <w:pPr>
      <w:pStyle w:val="10"/>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5822E2">
                          <w:pPr>
                            <w:pStyle w:val="10"/>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byBs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ubyBszAgAAZQQAAA4AAAAAAAAAAQAgAAAAHwEAAGRycy9lMm9Eb2MueG1sUEsF&#10;BgAAAAAGAAYAWQEAAMQFAAAAAA==&#10;">
              <v:fill on="f" focussize="0,0"/>
              <v:stroke on="f" weight="0.5pt"/>
              <v:imagedata o:title=""/>
              <o:lock v:ext="edit" aspectratio="f"/>
              <v:textbox inset="0mm,0mm,0mm,0mm" style="mso-fit-shape-to-text:t;">
                <w:txbxContent>
                  <w:p w14:paraId="545822E2">
                    <w:pPr>
                      <w:pStyle w:val="10"/>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95A0F">
    <w:pPr>
      <w:pStyle w:val="10"/>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9B53E4">
                          <w:pPr>
                            <w:pStyle w:val="10"/>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429B53E4">
                    <w:pPr>
                      <w:pStyle w:val="10"/>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63715">
    <w:pPr>
      <w:pStyle w:val="10"/>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8" name="文本框 1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5C80B">
                          <w:pPr>
                            <w:pStyle w:val="10"/>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3ovtk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i8IZplPz04/vp&#10;58Pp1zeSDiFR48IMkfcOsbF9Z1uED+cBh4l5W3mdvuBE4IfAx4vAoo2Ep0vTyXSaw8XhGzbAzx6v&#10;Ox/ie2E1SUZBPSrYCcsOmxD70CEkZTN2LZXqqqgMaQp69fpN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3ovtkzAgAAZQQAAA4AAAAAAAAAAQAgAAAAHwEAAGRycy9lMm9Eb2MueG1sUEsF&#10;BgAAAAAGAAYAWQEAAMQFAAAAAA==&#10;">
              <v:fill on="f" focussize="0,0"/>
              <v:stroke on="f" weight="0.5pt"/>
              <v:imagedata o:title=""/>
              <o:lock v:ext="edit" aspectratio="f"/>
              <v:textbox inset="0mm,0mm,0mm,0mm" style="mso-fit-shape-to-text:t;">
                <w:txbxContent>
                  <w:p w14:paraId="0015C80B">
                    <w:pPr>
                      <w:pStyle w:val="10"/>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BC31A">
    <w:pPr>
      <w:spacing w:line="176" w:lineRule="auto"/>
      <w:ind w:left="86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99BD4">
                          <w:pPr>
                            <w:pStyle w:val="10"/>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UIE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fUb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VCBFNAIAAGUEAAAOAAAAAAAAAAEAIAAAAB8BAABkcnMvZTJvRG9jLnhtbFBL&#10;BQYAAAAABgAGAFkBAADFBQAAAAA=&#10;">
              <v:fill on="f" focussize="0,0"/>
              <v:stroke on="f" weight="0.5pt"/>
              <v:imagedata o:title=""/>
              <o:lock v:ext="edit" aspectratio="f"/>
              <v:textbox inset="0mm,0mm,0mm,0mm" style="mso-fit-shape-to-text:t;">
                <w:txbxContent>
                  <w:p w14:paraId="7E399BD4">
                    <w:pPr>
                      <w:pStyle w:val="10"/>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69E9A">
    <w:pPr>
      <w:spacing w:line="176" w:lineRule="auto"/>
      <w:ind w:left="86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933AD9">
                          <w:pPr>
                            <w:pStyle w:val="10"/>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LXu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cte7jICAABlBAAADgAAAAAAAAABACAAAAAfAQAAZHJzL2Uyb0RvYy54bWxQSwUG&#10;AAAAAAYABgBZAQAAwwUAAAAA&#10;">
              <v:fill on="f" focussize="0,0"/>
              <v:stroke on="f" weight="0.5pt"/>
              <v:imagedata o:title=""/>
              <o:lock v:ext="edit" aspectratio="f"/>
              <v:textbox inset="0mm,0mm,0mm,0mm" style="mso-fit-shape-to-text:t;">
                <w:txbxContent>
                  <w:p w14:paraId="7F933AD9">
                    <w:pPr>
                      <w:pStyle w:val="10"/>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2849F">
    <w:pPr>
      <w:spacing w:line="176" w:lineRule="auto"/>
      <w:ind w:left="86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5D58F0">
                          <w:pPr>
                            <w:pStyle w:val="10"/>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wHI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0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nfAcjICAABlBAAADgAAAAAAAAABACAAAAAfAQAAZHJzL2Uyb0RvYy54bWxQSwUG&#10;AAAAAAYABgBZAQAAwwUAAAAA&#10;">
              <v:fill on="f" focussize="0,0"/>
              <v:stroke on="f" weight="0.5pt"/>
              <v:imagedata o:title=""/>
              <o:lock v:ext="edit" aspectratio="f"/>
              <v:textbox inset="0mm,0mm,0mm,0mm" style="mso-fit-shape-to-text:t;">
                <w:txbxContent>
                  <w:p w14:paraId="235D58F0">
                    <w:pPr>
                      <w:pStyle w:val="10"/>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ED4FA">
    <w:pPr>
      <w:pStyle w:val="10"/>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2" name="文本框 1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EFF9F5">
                          <w:pPr>
                            <w:pStyle w:val="10"/>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a1Egw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x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a1EgwzAgAAZQQAAA4AAAAAAAAAAQAgAAAAHwEAAGRycy9lMm9Eb2MueG1sUEsF&#10;BgAAAAAGAAYAWQEAAMQFAAAAAA==&#10;">
              <v:fill on="f" focussize="0,0"/>
              <v:stroke on="f" weight="0.5pt"/>
              <v:imagedata o:title=""/>
              <o:lock v:ext="edit" aspectratio="f"/>
              <v:textbox inset="0mm,0mm,0mm,0mm" style="mso-fit-shape-to-text:t;">
                <w:txbxContent>
                  <w:p w14:paraId="57EFF9F5">
                    <w:pPr>
                      <w:pStyle w:val="10"/>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52503">
    <w:pPr>
      <w:spacing w:line="176"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3" name="文本框 1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BE4B99">
                          <w:pPr>
                            <w:pStyle w:val="10"/>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0JjJA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0JjJAzAgAAZQQAAA4AAAAAAAAAAQAgAAAAHwEAAGRycy9lMm9Eb2MueG1sUEsF&#10;BgAAAAAGAAYAWQEAAMQFAAAAAA==&#10;">
              <v:fill on="f" focussize="0,0"/>
              <v:stroke on="f" weight="0.5pt"/>
              <v:imagedata o:title=""/>
              <o:lock v:ext="edit" aspectratio="f"/>
              <v:textbox inset="0mm,0mm,0mm,0mm" style="mso-fit-shape-to-text:t;">
                <w:txbxContent>
                  <w:p w14:paraId="00BE4B99">
                    <w:pPr>
                      <w:pStyle w:val="10"/>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A0C4C">
    <w:pPr>
      <w:pStyle w:val="10"/>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4" name="文本框 1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45A72">
                          <w:pPr>
                            <w:pStyle w:val="10"/>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wt/E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uMLfxNAIAAGUEAAAOAAAAAAAAAAEAIAAAAB8BAABkcnMvZTJvRG9jLnhtbFBL&#10;BQYAAAAABgAGAFkBAADFBQAAAAA=&#10;">
              <v:fill on="f" focussize="0,0"/>
              <v:stroke on="f" weight="0.5pt"/>
              <v:imagedata o:title=""/>
              <o:lock v:ext="edit" aspectratio="f"/>
              <v:textbox inset="0mm,0mm,0mm,0mm" style="mso-fit-shape-to-text:t;">
                <w:txbxContent>
                  <w:p w14:paraId="30745A72">
                    <w:pPr>
                      <w:pStyle w:val="10"/>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FDAB4">
    <w:pPr>
      <w:pStyle w:val="10"/>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5" name="文本框 1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872A3">
                          <w:pPr>
                            <w:pStyle w:val="10"/>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MKW0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MKW0zAgAAZQQAAA4AAAAAAAAAAQAgAAAAHwEAAGRycy9lMm9Eb2MueG1sUEsF&#10;BgAAAAAGAAYAWQEAAMQFAAAAAA==&#10;">
              <v:fill on="f" focussize="0,0"/>
              <v:stroke on="f" weight="0.5pt"/>
              <v:imagedata o:title=""/>
              <o:lock v:ext="edit" aspectratio="f"/>
              <v:textbox inset="0mm,0mm,0mm,0mm" style="mso-fit-shape-to-text:t;">
                <w:txbxContent>
                  <w:p w14:paraId="320872A3">
                    <w:pPr>
                      <w:pStyle w:val="10"/>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8CB20">
    <w:pPr>
      <w:pStyle w:val="10"/>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6" name="文本框 1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FF6FD2">
                          <w:pPr>
                            <w:pStyle w:val="10"/>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lO+xM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lO+xMzAgAAZQQAAA4AAAAAAAAAAQAgAAAAHwEAAGRycy9lMm9Eb2MueG1sUEsF&#10;BgAAAAAGAAYAWQEAAMQFAAAAAA==&#10;">
              <v:fill on="f" focussize="0,0"/>
              <v:stroke on="f" weight="0.5pt"/>
              <v:imagedata o:title=""/>
              <o:lock v:ext="edit" aspectratio="f"/>
              <v:textbox inset="0mm,0mm,0mm,0mm" style="mso-fit-shape-to-text:t;">
                <w:txbxContent>
                  <w:p w14:paraId="39FF6FD2">
                    <w:pPr>
                      <w:pStyle w:val="10"/>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1193A">
    <w:pPr>
      <w:pStyle w:val="10"/>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7" name="文本框 1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E307A0">
                          <w:pPr>
                            <w:pStyle w:val="10"/>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yZY8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S8mWPNAIAAGUEAAAOAAAAAAAAAAEAIAAAAB8BAABkcnMvZTJvRG9jLnhtbFBL&#10;BQYAAAAABgAGAFkBAADFBQAAAAA=&#10;">
              <v:fill on="f" focussize="0,0"/>
              <v:stroke on="f" weight="0.5pt"/>
              <v:imagedata o:title=""/>
              <o:lock v:ext="edit" aspectratio="f"/>
              <v:textbox inset="0mm,0mm,0mm,0mm" style="mso-fit-shape-to-text:t;">
                <w:txbxContent>
                  <w:p w14:paraId="56E307A0">
                    <w:pPr>
                      <w:pStyle w:val="10"/>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8455D">
    <w:pPr>
      <w:pStyle w:val="10"/>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8" name="文本框 1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54621">
                          <w:pPr>
                            <w:pStyle w:val="10"/>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89jd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3z2N0TICAABlBAAADgAAAAAAAAABACAAAAAfAQAAZHJzL2Uyb0RvYy54bWxQSwUG&#10;AAAAAAYABgBZAQAAwwUAAAAA&#10;">
              <v:fill on="f" focussize="0,0"/>
              <v:stroke on="f" weight="0.5pt"/>
              <v:imagedata o:title=""/>
              <o:lock v:ext="edit" aspectratio="f"/>
              <v:textbox inset="0mm,0mm,0mm,0mm" style="mso-fit-shape-to-text:t;">
                <w:txbxContent>
                  <w:p w14:paraId="23F54621">
                    <w:pPr>
                      <w:pStyle w:val="10"/>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C9E50">
    <w:pPr>
      <w:pStyle w:val="10"/>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9" name="文本框 1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956CD6">
                          <w:pPr>
                            <w:pStyle w:val="10"/>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SBE00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0gRNNNAIAAGUEAAAOAAAAAAAAAAEAIAAAAB8BAABkcnMvZTJvRG9jLnhtbFBL&#10;BQYAAAAABgAGAFkBAADFBQAAAAA=&#10;">
              <v:fill on="f" focussize="0,0"/>
              <v:stroke on="f" weight="0.5pt"/>
              <v:imagedata o:title=""/>
              <o:lock v:ext="edit" aspectratio="f"/>
              <v:textbox inset="0mm,0mm,0mm,0mm" style="mso-fit-shape-to-text:t;">
                <w:txbxContent>
                  <w:p w14:paraId="71956CD6">
                    <w:pPr>
                      <w:pStyle w:val="10"/>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46EEA">
    <w:pPr>
      <w:pStyle w:val="10"/>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0" name="文本框 1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FABDD">
                          <w:pPr>
                            <w:pStyle w:val="10"/>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tojQ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3tojQzAgAAZQQAAA4AAAAAAAAAAQAgAAAAHwEAAGRycy9lMm9Eb2MueG1sUEsF&#10;BgAAAAAGAAYAWQEAAMQFAAAAAA==&#10;">
              <v:fill on="f" focussize="0,0"/>
              <v:stroke on="f" weight="0.5pt"/>
              <v:imagedata o:title=""/>
              <o:lock v:ext="edit" aspectratio="f"/>
              <v:textbox inset="0mm,0mm,0mm,0mm" style="mso-fit-shape-to-text:t;">
                <w:txbxContent>
                  <w:p w14:paraId="156FABDD">
                    <w:pPr>
                      <w:pStyle w:val="10"/>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82364">
    <w:pPr>
      <w:pStyle w:val="10"/>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1" name="文本框 1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C11FC">
                          <w:pPr>
                            <w:pStyle w:val="10"/>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RPKgzAgAAZQ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ZRPKgzAgAAZQQAAA4AAAAAAAAAAQAgAAAAHwEAAGRycy9lMm9Eb2MueG1sUEsF&#10;BgAAAAAGAAYAWQEAAMQFAAAAAA==&#10;">
              <v:fill on="f" focussize="0,0"/>
              <v:stroke on="f" weight="0.5pt"/>
              <v:imagedata o:title=""/>
              <o:lock v:ext="edit" aspectratio="f"/>
              <v:textbox inset="0mm,0mm,0mm,0mm" style="mso-fit-shape-to-text:t;">
                <w:txbxContent>
                  <w:p w14:paraId="2C3C11FC">
                    <w:pPr>
                      <w:pStyle w:val="10"/>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79227">
    <w:pPr>
      <w:pStyle w:val="10"/>
    </w:pPr>
    <w:r>
      <w:rPr>
        <w:sz w:val="18"/>
      </w:rP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2" name="文本框 1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326813">
                          <w:pPr>
                            <w:pStyle w:val="10"/>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qT7t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6k+7WNAIAAGUEAAAOAAAAAAAAAAEAIAAAAB8BAABkcnMvZTJvRG9jLnhtbFBL&#10;BQYAAAAABgAGAFkBAADFBQAAAAA=&#10;">
              <v:fill on="f" focussize="0,0"/>
              <v:stroke on="f" weight="0.5pt"/>
              <v:imagedata o:title=""/>
              <o:lock v:ext="edit" aspectratio="f"/>
              <v:textbox inset="0mm,0mm,0mm,0mm" style="mso-fit-shape-to-text:t;">
                <w:txbxContent>
                  <w:p w14:paraId="67326813">
                    <w:pPr>
                      <w:pStyle w:val="10"/>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92DA4">
    <w:pPr>
      <w:pStyle w:val="10"/>
    </w:pPr>
    <w:r>
      <w:rPr>
        <w:sz w:val="18"/>
      </w:rPr>
      <mc:AlternateContent>
        <mc:Choice Requires="wps">
          <w:drawing>
            <wp:anchor distT="0" distB="0" distL="114300" distR="114300" simplePos="0" relativeHeight="251744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3" name="文本框 1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F2D85D">
                          <w:pPr>
                            <w:pStyle w:val="10"/>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42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vcEo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RL3BKNAIAAGUEAAAOAAAAAAAAAAEAIAAAAB8BAABkcnMvZTJvRG9jLnhtbFBL&#10;BQYAAAAABgAGAFkBAADFBQAAAAA=&#10;">
              <v:fill on="f" focussize="0,0"/>
              <v:stroke on="f" weight="0.5pt"/>
              <v:imagedata o:title=""/>
              <o:lock v:ext="edit" aspectratio="f"/>
              <v:textbox inset="0mm,0mm,0mm,0mm" style="mso-fit-shape-to-text:t;">
                <w:txbxContent>
                  <w:p w14:paraId="26F2D85D">
                    <w:pPr>
                      <w:pStyle w:val="10"/>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70FB1">
    <w:pPr>
      <w:pStyle w:val="10"/>
    </w:pPr>
    <w:r>
      <w:rPr>
        <w:sz w:val="18"/>
      </w:rP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4" name="文本框 1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384E9F">
                          <w:pPr>
                            <w:pStyle w:val="10"/>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52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IWSys0AgAAZQ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CFksrNAIAAGUEAAAOAAAAAAAAAAEAIAAAAB8BAABkcnMvZTJvRG9jLnhtbFBL&#10;BQYAAAAABgAGAFkBAADFBQAAAAA=&#10;">
              <v:fill on="f" focussize="0,0"/>
              <v:stroke on="f" weight="0.5pt"/>
              <v:imagedata o:title=""/>
              <o:lock v:ext="edit" aspectratio="f"/>
              <v:textbox inset="0mm,0mm,0mm,0mm" style="mso-fit-shape-to-text:t;">
                <w:txbxContent>
                  <w:p w14:paraId="51384E9F">
                    <w:pPr>
                      <w:pStyle w:val="10"/>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A413E">
    <w:pPr>
      <w:pStyle w:val="10"/>
    </w:pPr>
    <w:r>
      <w:rPr>
        <w:sz w:val="18"/>
      </w:rPr>
      <mc:AlternateContent>
        <mc:Choice Requires="wps">
          <w:drawing>
            <wp:anchor distT="0" distB="0" distL="114300" distR="114300" simplePos="0" relativeHeight="2517463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D40DF9">
                          <w:pPr>
                            <w:pStyle w:val="10"/>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63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mq1bc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pqtW3NAIAAGUEAAAOAAAAAAAAAAEAIAAAAB8BAABkcnMvZTJvRG9jLnhtbFBL&#10;BQYAAAAABgAGAFkBAADFBQAAAAA=&#10;">
              <v:fill on="f" focussize="0,0"/>
              <v:stroke on="f" weight="0.5pt"/>
              <v:imagedata o:title=""/>
              <o:lock v:ext="edit" aspectratio="f"/>
              <v:textbox inset="0mm,0mm,0mm,0mm" style="mso-fit-shape-to-text:t;">
                <w:txbxContent>
                  <w:p w14:paraId="3ED40DF9">
                    <w:pPr>
                      <w:pStyle w:val="10"/>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0752D">
    <w:pPr>
      <w:pStyle w:val="10"/>
    </w:pPr>
    <w:r>
      <w:rPr>
        <w:sz w:val="18"/>
      </w:rPr>
      <mc:AlternateContent>
        <mc:Choice Requires="wps">
          <w:drawing>
            <wp:anchor distT="0" distB="0" distL="114300" distR="114300" simplePos="0" relativeHeight="2517473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6" name="文本框 1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09D16">
                          <w:pPr>
                            <w:pStyle w:val="10"/>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73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oB8kzAgAAZ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VoB8kzAgAAZQQAAA4AAAAAAAAAAQAgAAAAHwEAAGRycy9lMm9Eb2MueG1sUEsF&#10;BgAAAAAGAAYAWQEAAMQFAAAAAA==&#10;">
              <v:fill on="f" focussize="0,0"/>
              <v:stroke on="f" weight="0.5pt"/>
              <v:imagedata o:title=""/>
              <o:lock v:ext="edit" aspectratio="f"/>
              <v:textbox inset="0mm,0mm,0mm,0mm" style="mso-fit-shape-to-text:t;">
                <w:txbxContent>
                  <w:p w14:paraId="79809D16">
                    <w:pPr>
                      <w:pStyle w:val="10"/>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90F20">
    <w:pPr>
      <w:pStyle w:val="10"/>
    </w:pPr>
    <w:r>
      <w:rPr>
        <w:sz w:val="18"/>
      </w:rPr>
      <mc:AlternateContent>
        <mc:Choice Requires="wps">
          <w:drawing>
            <wp:anchor distT="0" distB="0" distL="114300" distR="114300" simplePos="0" relativeHeight="2517483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7" name="文本框 1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5BB9F">
                          <w:pPr>
                            <w:pStyle w:val="10"/>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83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UmV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1r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1JlVNAIAAGUEAAAOAAAAAAAAAAEAIAAAAB8BAABkcnMvZTJvRG9jLnhtbFBL&#10;BQYAAAAABgAGAFkBAADFBQAAAAA=&#10;">
              <v:fill on="f" focussize="0,0"/>
              <v:stroke on="f" weight="0.5pt"/>
              <v:imagedata o:title=""/>
              <o:lock v:ext="edit" aspectratio="f"/>
              <v:textbox inset="0mm,0mm,0mm,0mm" style="mso-fit-shape-to-text:t;">
                <w:txbxContent>
                  <w:p w14:paraId="5CB5BB9F">
                    <w:pPr>
                      <w:pStyle w:val="10"/>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0EE81">
    <w:pPr>
      <w:pStyle w:val="10"/>
    </w:pPr>
    <w:r>
      <w:rPr>
        <w:sz w:val="18"/>
      </w:rPr>
      <mc:AlternateContent>
        <mc:Choice Requires="wps">
          <w:drawing>
            <wp:anchor distT="0" distB="0" distL="114300" distR="114300" simplePos="0" relativeHeight="2517493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8" name="文本框 1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EF65C8">
                          <w:pPr>
                            <w:pStyle w:val="10"/>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93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MbcQs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i8IZplPz04/vp&#10;58Pp1zeSDiFR48IMkfcOsbF9Z1uED+cBh4l5W3mdvuBE4IfAx4vAoo2Ep0vTyXSaw8XhGzbAzx6v&#10;Ox/ie2E1SUZBPSrYCcsOmxD70CEkZTN2LZXqqqgMaQp69fpN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MbcQszAgAAZQQAAA4AAAAAAAAAAQAgAAAAHwEAAGRycy9lMm9Eb2MueG1sUEsF&#10;BgAAAAAGAAYAWQEAAMQFAAAAAA==&#10;">
              <v:fill on="f" focussize="0,0"/>
              <v:stroke on="f" weight="0.5pt"/>
              <v:imagedata o:title=""/>
              <o:lock v:ext="edit" aspectratio="f"/>
              <v:textbox inset="0mm,0mm,0mm,0mm" style="mso-fit-shape-to-text:t;">
                <w:txbxContent>
                  <w:p w14:paraId="4CEF65C8">
                    <w:pPr>
                      <w:pStyle w:val="10"/>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4376A">
    <w:pPr>
      <w:pStyle w:val="10"/>
    </w:pPr>
    <w:r>
      <w:rPr>
        <w:sz w:val="18"/>
      </w:rPr>
      <mc:AlternateContent>
        <mc:Choice Requires="wps">
          <w:drawing>
            <wp:anchor distT="0" distB="0" distL="114300" distR="114300" simplePos="0" relativeHeight="2517504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9" name="文本框 1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411420">
                          <w:pPr>
                            <w:pStyle w:val="10"/>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04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n75c0AgAAZ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p++XNAIAAGUEAAAOAAAAAAAAAAEAIAAAAB8BAABkcnMvZTJvRG9jLnhtbFBL&#10;BQYAAAAABgAGAFkBAADFBQAAAAA=&#10;">
              <v:fill on="f" focussize="0,0"/>
              <v:stroke on="f" weight="0.5pt"/>
              <v:imagedata o:title=""/>
              <o:lock v:ext="edit" aspectratio="f"/>
              <v:textbox inset="0mm,0mm,0mm,0mm" style="mso-fit-shape-to-text:t;">
                <w:txbxContent>
                  <w:p w14:paraId="1D411420">
                    <w:pPr>
                      <w:pStyle w:val="10"/>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8E728">
    <w:pPr>
      <w:pStyle w:val="10"/>
    </w:pPr>
    <w:r>
      <w:rPr>
        <w:sz w:val="18"/>
      </w:rPr>
      <mc:AlternateContent>
        <mc:Choice Requires="wps">
          <w:drawing>
            <wp:anchor distT="0" distB="0" distL="114300" distR="114300" simplePos="0" relativeHeight="2517514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0" name="文本框 2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B40ACA">
                          <w:pPr>
                            <w:pStyle w:val="10"/>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14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UaUI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5RpQjICAABlBAAADgAAAAAAAAABACAAAAAfAQAAZHJzL2Uyb0RvYy54bWxQSwUG&#10;AAAAAAYABgBZAQAAwwUAAAAA&#10;">
              <v:fill on="f" focussize="0,0"/>
              <v:stroke on="f" weight="0.5pt"/>
              <v:imagedata o:title=""/>
              <o:lock v:ext="edit" aspectratio="f"/>
              <v:textbox inset="0mm,0mm,0mm,0mm" style="mso-fit-shape-to-text:t;">
                <w:txbxContent>
                  <w:p w14:paraId="12B40ACA">
                    <w:pPr>
                      <w:pStyle w:val="10"/>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A7241">
    <w:pPr>
      <w:pStyle w:val="10"/>
    </w:pPr>
    <w:r>
      <w:rPr>
        <w:sz w:val="18"/>
      </w:rPr>
      <mc:AlternateContent>
        <mc:Choice Requires="wps">
          <w:drawing>
            <wp:anchor distT="0" distB="0" distL="114300" distR="114300" simplePos="0" relativeHeight="2517524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1" name="文本框 2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9EF643">
                          <w:pPr>
                            <w:pStyle w:val="10"/>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24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Cj33jICAABlBAAADgAAAAAAAAABACAAAAAfAQAAZHJzL2Uyb0RvYy54bWxQSwUG&#10;AAAAAAYABgBZAQAAwwUAAAAA&#10;">
              <v:fill on="f" focussize="0,0"/>
              <v:stroke on="f" weight="0.5pt"/>
              <v:imagedata o:title=""/>
              <o:lock v:ext="edit" aspectratio="f"/>
              <v:textbox inset="0mm,0mm,0mm,0mm" style="mso-fit-shape-to-text:t;">
                <w:txbxContent>
                  <w:p w14:paraId="679EF643">
                    <w:pPr>
                      <w:pStyle w:val="10"/>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AF102">
    <w:pPr>
      <w:pStyle w:val="10"/>
    </w:pPr>
    <w:r>
      <w:rPr>
        <w:sz w:val="18"/>
      </w:rPr>
      <mc:AlternateContent>
        <mc:Choice Requires="wps">
          <w:drawing>
            <wp:anchor distT="0" distB="0" distL="114300" distR="114300" simplePos="0" relativeHeight="2517534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2" name="文本框 2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EF2BB">
                          <w:pPr>
                            <w:pStyle w:val="10"/>
                          </w:pPr>
                          <w:r>
                            <w:fldChar w:fldCharType="begin"/>
                          </w:r>
                          <w:r>
                            <w:instrText xml:space="preserve"> PAGE  \* MERGEFORMAT </w:instrText>
                          </w:r>
                          <w:r>
                            <w:fldChar w:fldCharType="separate"/>
                          </w:r>
                          <w:r>
                            <w:t>119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34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zqJaA0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6iWgNAIAAGUEAAAOAAAAAAAAAAEAIAAAAB8BAABkcnMvZTJvRG9jLnhtbFBL&#10;BQYAAAAABgAGAFkBAADFBQAAAAA=&#10;">
              <v:fill on="f" focussize="0,0"/>
              <v:stroke on="f" weight="0.5pt"/>
              <v:imagedata o:title=""/>
              <o:lock v:ext="edit" aspectratio="f"/>
              <v:textbox inset="0mm,0mm,0mm,0mm" style="mso-fit-shape-to-text:t;">
                <w:txbxContent>
                  <w:p w14:paraId="1A1EF2BB">
                    <w:pPr>
                      <w:pStyle w:val="10"/>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36FD9">
    <w:pPr>
      <w:pStyle w:val="10"/>
    </w:pPr>
    <w:r>
      <w:rPr>
        <w:sz w:val="18"/>
      </w:rPr>
      <mc:AlternateContent>
        <mc:Choice Requires="wps">
          <w:drawing>
            <wp:anchor distT="0" distB="0" distL="114300" distR="114300" simplePos="0" relativeHeight="2517544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3" name="文本框 2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5428D">
                          <w:pPr>
                            <w:pStyle w:val="10"/>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44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Wuzw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Vrs8NAIAAGUEAAAOAAAAAAAAAAEAIAAAAB8BAABkcnMvZTJvRG9jLnhtbFBL&#10;BQYAAAAABgAGAFkBAADFBQAAAAA=&#10;">
              <v:fill on="f" focussize="0,0"/>
              <v:stroke on="f" weight="0.5pt"/>
              <v:imagedata o:title=""/>
              <o:lock v:ext="edit" aspectratio="f"/>
              <v:textbox inset="0mm,0mm,0mm,0mm" style="mso-fit-shape-to-text:t;">
                <w:txbxContent>
                  <w:p w14:paraId="2485428D">
                    <w:pPr>
                      <w:pStyle w:val="10"/>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294FE">
    <w:pPr>
      <w:pStyle w:val="10"/>
    </w:pPr>
    <w:r>
      <w:rPr>
        <w:sz w:val="18"/>
      </w:rPr>
      <mc:AlternateContent>
        <mc:Choice Requires="wps">
          <w:drawing>
            <wp:anchor distT="0" distB="0" distL="114300" distR="114300" simplePos="0" relativeHeight="2517555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5B5EE1">
                          <w:pPr>
                            <w:pStyle w:val="10"/>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55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RvgF0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0b4BdNAIAAGUEAAAOAAAAAAAAAAEAIAAAAB8BAABkcnMvZTJvRG9jLnhtbFBL&#10;BQYAAAAABgAGAFkBAADFBQAAAAA=&#10;">
              <v:fill on="f" focussize="0,0"/>
              <v:stroke on="f" weight="0.5pt"/>
              <v:imagedata o:title=""/>
              <o:lock v:ext="edit" aspectratio="f"/>
              <v:textbox inset="0mm,0mm,0mm,0mm" style="mso-fit-shape-to-text:t;">
                <w:txbxContent>
                  <w:p w14:paraId="335B5EE1">
                    <w:pPr>
                      <w:pStyle w:val="10"/>
                    </w:pPr>
                    <w:r>
                      <w:fldChar w:fldCharType="begin"/>
                    </w:r>
                    <w:r>
                      <w:instrText xml:space="preserve"> PAGE  \* MERGEFORMAT </w:instrText>
                    </w:r>
                    <w:r>
                      <w:fldChar w:fldCharType="separate"/>
                    </w:r>
                    <w:r>
                      <w:t>121</w:t>
                    </w:r>
                    <w:r>
                      <w:fldChar w:fldCharType="end"/>
                    </w:r>
                  </w:p>
                </w:txbxContent>
              </v:textbox>
            </v:shape>
          </w:pict>
        </mc:Fallback>
      </mc:AlternateConten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D9018">
    <w:pPr>
      <w:pStyle w:val="10"/>
    </w:pPr>
    <w:r>
      <w:rPr>
        <w:sz w:val="18"/>
      </w:rPr>
      <mc:AlternateContent>
        <mc:Choice Requires="wps">
          <w:drawing>
            <wp:anchor distT="0" distB="0" distL="114300" distR="114300" simplePos="0" relativeHeight="2517565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5" name="文本框 2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C0CF8">
                          <w:pPr>
                            <w:pStyle w:val="10"/>
                          </w:pPr>
                          <w:r>
                            <w:fldChar w:fldCharType="begin"/>
                          </w:r>
                          <w:r>
                            <w:instrText xml:space="preserve"> PAGE  \* MERGEFORMAT </w:instrText>
                          </w:r>
                          <w:r>
                            <w:fldChar w:fldCharType="separate"/>
                          </w:r>
                          <w:r>
                            <w:t>122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65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f0x7BNAIAAGUEAAAOAAAAAAAAAAEAIAAAAB8BAABkcnMvZTJvRG9jLnhtbFBL&#10;BQYAAAAABgAGAFkBAADFBQAAAAA=&#10;">
              <v:fill on="f" focussize="0,0"/>
              <v:stroke on="f" weight="0.5pt"/>
              <v:imagedata o:title=""/>
              <o:lock v:ext="edit" aspectratio="f"/>
              <v:textbox inset="0mm,0mm,0mm,0mm" style="mso-fit-shape-to-text:t;">
                <w:txbxContent>
                  <w:p w14:paraId="056C0CF8">
                    <w:pPr>
                      <w:pStyle w:val="10"/>
                    </w:pPr>
                    <w:r>
                      <w:fldChar w:fldCharType="begin"/>
                    </w:r>
                    <w:r>
                      <w:instrText xml:space="preserve"> PAGE  \* MERGEFORMAT </w:instrText>
                    </w:r>
                    <w:r>
                      <w:fldChar w:fldCharType="separate"/>
                    </w:r>
                    <w:r>
                      <w:t>122</w:t>
                    </w:r>
                    <w:r>
                      <w:fldChar w:fldCharType="end"/>
                    </w:r>
                  </w:p>
                </w:txbxContent>
              </v:textbox>
            </v:shape>
          </w:pict>
        </mc:Fallback>
      </mc:AlternateConten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12B6B">
    <w:pPr>
      <w:pStyle w:val="10"/>
    </w:pPr>
    <w:r>
      <w:rPr>
        <w:sz w:val="18"/>
      </w:rPr>
      <mc:AlternateContent>
        <mc:Choice Requires="wps">
          <w:drawing>
            <wp:anchor distT="0" distB="0" distL="114300" distR="114300" simplePos="0" relativeHeight="2517575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6" name="文本框 2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7868F">
                          <w:pPr>
                            <w:pStyle w:val="10"/>
                          </w:pPr>
                          <w:r>
                            <w:fldChar w:fldCharType="begin"/>
                          </w:r>
                          <w:r>
                            <w:instrText xml:space="preserve"> PAGE  \* MERGEFORMAT </w:instrText>
                          </w:r>
                          <w:r>
                            <w:fldChar w:fldCharType="separate"/>
                          </w:r>
                          <w:r>
                            <w:t>123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75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RzL80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jEcy/NAIAAGUEAAAOAAAAAAAAAAEAIAAAAB8BAABkcnMvZTJvRG9jLnhtbFBL&#10;BQYAAAAABgAGAFkBAADFBQAAAAA=&#10;">
              <v:fill on="f" focussize="0,0"/>
              <v:stroke on="f" weight="0.5pt"/>
              <v:imagedata o:title=""/>
              <o:lock v:ext="edit" aspectratio="f"/>
              <v:textbox inset="0mm,0mm,0mm,0mm" style="mso-fit-shape-to-text:t;">
                <w:txbxContent>
                  <w:p w14:paraId="2367868F">
                    <w:pPr>
                      <w:pStyle w:val="10"/>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D5585">
    <w:pPr>
      <w:pStyle w:val="10"/>
    </w:pPr>
    <w:r>
      <w:rPr>
        <w:sz w:val="18"/>
      </w:rPr>
      <mc:AlternateContent>
        <mc:Choice Requires="wps">
          <w:drawing>
            <wp:anchor distT="0" distB="0" distL="114300" distR="114300" simplePos="0" relativeHeight="2517585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7" name="文本框 2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3FB9C0">
                          <w:pPr>
                            <w:pStyle w:val="10"/>
                          </w:pPr>
                          <w:r>
                            <w:fldChar w:fldCharType="begin"/>
                          </w:r>
                          <w:r>
                            <w:instrText xml:space="preserve"> PAGE  \* MERGEFORMAT </w:instrText>
                          </w:r>
                          <w:r>
                            <w:fldChar w:fldCharType="separate"/>
                          </w:r>
                          <w:r>
                            <w:t>124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85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UiM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IrVIjNAIAAGUEAAAOAAAAAAAAAAEAIAAAAB8BAABkcnMvZTJvRG9jLnhtbFBL&#10;BQYAAAAABgAGAFkBAADFBQAAAAA=&#10;">
              <v:fill on="f" focussize="0,0"/>
              <v:stroke on="f" weight="0.5pt"/>
              <v:imagedata o:title=""/>
              <o:lock v:ext="edit" aspectratio="f"/>
              <v:textbox inset="0mm,0mm,0mm,0mm" style="mso-fit-shape-to-text:t;">
                <w:txbxContent>
                  <w:p w14:paraId="1D3FB9C0">
                    <w:pPr>
                      <w:pStyle w:val="10"/>
                    </w:pPr>
                    <w:r>
                      <w:fldChar w:fldCharType="begin"/>
                    </w:r>
                    <w:r>
                      <w:instrText xml:space="preserve"> PAGE  \* MERGEFORMAT </w:instrText>
                    </w:r>
                    <w:r>
                      <w:fldChar w:fldCharType="separate"/>
                    </w:r>
                    <w:r>
                      <w:t>124</w:t>
                    </w:r>
                    <w:r>
                      <w:fldChar w:fldCharType="end"/>
                    </w:r>
                  </w:p>
                </w:txbxContent>
              </v:textbox>
            </v:shape>
          </w:pict>
        </mc:Fallback>
      </mc:AlternateConten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03ABB">
    <w:pPr>
      <w:pStyle w:val="10"/>
    </w:pPr>
    <w:r>
      <w:rPr>
        <w:sz w:val="18"/>
      </w:rPr>
      <mc:AlternateContent>
        <mc:Choice Requires="wps">
          <w:drawing>
            <wp:anchor distT="0" distB="0" distL="114300" distR="114300" simplePos="0" relativeHeight="2517596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8" name="文本框 2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3A796">
                          <w:pPr>
                            <w:pStyle w:val="10"/>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596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iun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Viun0zAgAAZQQAAA4AAAAAAAAAAQAgAAAAHwEAAGRycy9lMm9Eb2MueG1sUEsF&#10;BgAAAAAGAAYAWQEAAMQFAAAAAA==&#10;">
              <v:fill on="f" focussize="0,0"/>
              <v:stroke on="f" weight="0.5pt"/>
              <v:imagedata o:title=""/>
              <o:lock v:ext="edit" aspectratio="f"/>
              <v:textbox inset="0mm,0mm,0mm,0mm" style="mso-fit-shape-to-text:t;">
                <w:txbxContent>
                  <w:p w14:paraId="4BB3A796">
                    <w:pPr>
                      <w:pStyle w:val="10"/>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BB63B">
    <w:pPr>
      <w:pStyle w:val="10"/>
    </w:pPr>
    <w:r>
      <w:rPr>
        <w:sz w:val="18"/>
      </w:rPr>
      <mc:AlternateContent>
        <mc:Choice Requires="wps">
          <w:drawing>
            <wp:anchor distT="0" distB="0" distL="114300" distR="114300" simplePos="0" relativeHeight="2517606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9" name="文本框 2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A3E3E">
                          <w:pPr>
                            <w:pStyle w:val="10"/>
                          </w:pPr>
                          <w:r>
                            <w:fldChar w:fldCharType="begin"/>
                          </w:r>
                          <w:r>
                            <w:instrText xml:space="preserve"> PAGE  \* MERGEFORMAT </w:instrText>
                          </w:r>
                          <w:r>
                            <w:fldChar w:fldCharType="separate"/>
                          </w:r>
                          <w:r>
                            <w:t>126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06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7eJOE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u3iThNAIAAGUEAAAOAAAAAAAAAAEAIAAAAB8BAABkcnMvZTJvRG9jLnhtbFBL&#10;BQYAAAAABgAGAFkBAADFBQAAAAA=&#10;">
              <v:fill on="f" focussize="0,0"/>
              <v:stroke on="f" weight="0.5pt"/>
              <v:imagedata o:title=""/>
              <o:lock v:ext="edit" aspectratio="f"/>
              <v:textbox inset="0mm,0mm,0mm,0mm" style="mso-fit-shape-to-text:t;">
                <w:txbxContent>
                  <w:p w14:paraId="57BA3E3E">
                    <w:pPr>
                      <w:pStyle w:val="10"/>
                    </w:pPr>
                    <w:r>
                      <w:fldChar w:fldCharType="begin"/>
                    </w:r>
                    <w:r>
                      <w:instrText xml:space="preserve"> PAGE  \* MERGEFORMAT </w:instrText>
                    </w:r>
                    <w:r>
                      <w:fldChar w:fldCharType="separate"/>
                    </w:r>
                    <w:r>
                      <w:t>126</w:t>
                    </w:r>
                    <w:r>
                      <w:fldChar w:fldCharType="end"/>
                    </w:r>
                  </w:p>
                </w:txbxContent>
              </v:textbox>
            </v:shape>
          </w:pict>
        </mc:Fallback>
      </mc:AlternateConten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2806A">
    <w:pPr>
      <w:pStyle w:val="10"/>
    </w:pPr>
    <w:r>
      <w:rPr>
        <w:sz w:val="18"/>
      </w:rPr>
      <mc:AlternateContent>
        <mc:Choice Requires="wps">
          <w:drawing>
            <wp:anchor distT="0" distB="0" distL="114300" distR="114300" simplePos="0" relativeHeight="2517616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0" name="文本框 2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698DE3">
                          <w:pPr>
                            <w:pStyle w:val="10"/>
                          </w:pPr>
                          <w:r>
                            <w:fldChar w:fldCharType="begin"/>
                          </w:r>
                          <w:r>
                            <w:instrText xml:space="preserve"> PAGE  \* MERGEFORMAT </w:instrText>
                          </w:r>
                          <w:r>
                            <w:fldChar w:fldCharType="separate"/>
                          </w:r>
                          <w:r>
                            <w:t>127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16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ylZg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eylZgzAgAAZQQAAA4AAAAAAAAAAQAgAAAAHwEAAGRycy9lMm9Eb2MueG1sUEsF&#10;BgAAAAAGAAYAWQEAAMQFAAAAAA==&#10;">
              <v:fill on="f" focussize="0,0"/>
              <v:stroke on="f" weight="0.5pt"/>
              <v:imagedata o:title=""/>
              <o:lock v:ext="edit" aspectratio="f"/>
              <v:textbox inset="0mm,0mm,0mm,0mm" style="mso-fit-shape-to-text:t;">
                <w:txbxContent>
                  <w:p w14:paraId="0A698DE3">
                    <w:pPr>
                      <w:pStyle w:val="10"/>
                    </w:pPr>
                    <w:r>
                      <w:fldChar w:fldCharType="begin"/>
                    </w:r>
                    <w:r>
                      <w:instrText xml:space="preserve"> PAGE  \* MERGEFORMAT </w:instrText>
                    </w:r>
                    <w:r>
                      <w:fldChar w:fldCharType="separate"/>
                    </w:r>
                    <w:r>
                      <w:t>127</w:t>
                    </w:r>
                    <w:r>
                      <w:fldChar w:fldCharType="end"/>
                    </w:r>
                  </w:p>
                </w:txbxContent>
              </v:textbox>
            </v:shape>
          </w:pict>
        </mc:Fallback>
      </mc:AlternateConten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BB293">
    <w:pPr>
      <w:pStyle w:val="10"/>
    </w:pPr>
    <w:r>
      <w:rPr>
        <w:sz w:val="18"/>
      </w:rPr>
      <mc:AlternateContent>
        <mc:Choice Requires="wps">
          <w:drawing>
            <wp:anchor distT="0" distB="0" distL="114300" distR="114300" simplePos="0" relativeHeight="2517626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1" name="文本框 2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6CCAAF">
                          <w:pPr>
                            <w:pStyle w:val="10"/>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26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wOCwQz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wOCwQzAgAAZQQAAA4AAAAAAAAAAQAgAAAAHwEAAGRycy9lMm9Eb2MueG1sUEsF&#10;BgAAAAAGAAYAWQEAAMQFAAAAAA==&#10;">
              <v:fill on="f" focussize="0,0"/>
              <v:stroke on="f" weight="0.5pt"/>
              <v:imagedata o:title=""/>
              <o:lock v:ext="edit" aspectratio="f"/>
              <v:textbox inset="0mm,0mm,0mm,0mm" style="mso-fit-shape-to-text:t;">
                <w:txbxContent>
                  <w:p w14:paraId="146CCAAF">
                    <w:pPr>
                      <w:pStyle w:val="10"/>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8E057">
    <w:pPr>
      <w:pStyle w:val="10"/>
    </w:pPr>
    <w:r>
      <w:rPr>
        <w:sz w:val="18"/>
      </w:rPr>
      <mc:AlternateContent>
        <mc:Choice Requires="wps">
          <w:drawing>
            <wp:anchor distT="0" distB="0" distL="114300" distR="114300" simplePos="0" relativeHeight="2517637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2" name="文本框 2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BEC106">
                          <w:pPr>
                            <w:pStyle w:val="10"/>
                          </w:pPr>
                          <w:r>
                            <w:fldChar w:fldCharType="begin"/>
                          </w:r>
                          <w:r>
                            <w:instrText xml:space="preserve"> PAGE  \* MERGEFORMAT </w:instrText>
                          </w:r>
                          <w:r>
                            <w:fldChar w:fldCharType="separate"/>
                          </w:r>
                          <w:r>
                            <w:t>129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37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2Xo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DM2XozAgAAZQQAAA4AAAAAAAAAAQAgAAAAHwEAAGRycy9lMm9Eb2MueG1sUEsF&#10;BgAAAAAGAAYAWQEAAMQFAAAAAA==&#10;">
              <v:fill on="f" focussize="0,0"/>
              <v:stroke on="f" weight="0.5pt"/>
              <v:imagedata o:title=""/>
              <o:lock v:ext="edit" aspectratio="f"/>
              <v:textbox inset="0mm,0mm,0mm,0mm" style="mso-fit-shape-to-text:t;">
                <w:txbxContent>
                  <w:p w14:paraId="06BEC106">
                    <w:pPr>
                      <w:pStyle w:val="10"/>
                    </w:pPr>
                    <w:r>
                      <w:fldChar w:fldCharType="begin"/>
                    </w:r>
                    <w:r>
                      <w:instrText xml:space="preserve"> PAGE  \* MERGEFORMAT </w:instrText>
                    </w:r>
                    <w:r>
                      <w:fldChar w:fldCharType="separate"/>
                    </w:r>
                    <w:r>
                      <w:t>129</w:t>
                    </w:r>
                    <w:r>
                      <w:fldChar w:fldCharType="end"/>
                    </w:r>
                  </w:p>
                </w:txbxContent>
              </v:textbox>
            </v:shape>
          </w:pict>
        </mc:Fallback>
      </mc:AlternateConten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66037">
    <w:pPr>
      <w:pStyle w:val="10"/>
    </w:pPr>
    <w:r>
      <w:rPr>
        <w:sz w:val="18"/>
      </w:rPr>
      <mc:AlternateContent>
        <mc:Choice Requires="wps">
          <w:drawing>
            <wp:anchor distT="0" distB="0" distL="114300" distR="114300" simplePos="0" relativeHeight="2517647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3" name="文本框 2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81D253">
                          <w:pPr>
                            <w:pStyle w:val="10"/>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47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wR+Y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J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LcEfmNAIAAGUEAAAOAAAAAAAAAAEAIAAAAB8BAABkcnMvZTJvRG9jLnhtbFBL&#10;BQYAAAAABgAGAFkBAADFBQAAAAA=&#10;">
              <v:fill on="f" focussize="0,0"/>
              <v:stroke on="f" weight="0.5pt"/>
              <v:imagedata o:title=""/>
              <o:lock v:ext="edit" aspectratio="f"/>
              <v:textbox inset="0mm,0mm,0mm,0mm" style="mso-fit-shape-to-text:t;">
                <w:txbxContent>
                  <w:p w14:paraId="4781D253">
                    <w:pPr>
                      <w:pStyle w:val="10"/>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1600D">
    <w:pPr>
      <w:pStyle w:val="10"/>
    </w:pPr>
    <w:r>
      <w:rPr>
        <w:sz w:val="18"/>
      </w:rPr>
      <mc:AlternateContent>
        <mc:Choice Requires="wps">
          <w:drawing>
            <wp:anchor distT="0" distB="0" distL="114300" distR="114300" simplePos="0" relativeHeight="2517657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4" name="文本框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017A16">
                          <w:pPr>
                            <w:pStyle w:val="10"/>
                          </w:pPr>
                          <w:r>
                            <w:fldChar w:fldCharType="begin"/>
                          </w:r>
                          <w:r>
                            <w:instrText xml:space="preserve"> PAGE  \* MERGEFORMAT </w:instrText>
                          </w:r>
                          <w:r>
                            <w:fldChar w:fldCharType="separate"/>
                          </w:r>
                          <w:r>
                            <w:t>134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57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JfIc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Q4lhGiU//fh+&#10;+vlw+vWNpENI1LgwQ+S9Q2xs39kWjTOcBxwm5m3ldfqCE4EfAh8vAos2Ep4uTSfTaQ4Xh2/YAD97&#10;vO58iO+F1SQZBfWoYCcsO2xC7EOHkJTN2LVUqquiMqQp6NXrt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SXyHNAIAAGUEAAAOAAAAAAAAAAEAIAAAAB8BAABkcnMvZTJvRG9jLnhtbFBL&#10;BQYAAAAABgAGAFkBAADFBQAAAAA=&#10;">
              <v:fill on="f" focussize="0,0"/>
              <v:stroke on="f" weight="0.5pt"/>
              <v:imagedata o:title=""/>
              <o:lock v:ext="edit" aspectratio="f"/>
              <v:textbox inset="0mm,0mm,0mm,0mm" style="mso-fit-shape-to-text:t;">
                <w:txbxContent>
                  <w:p w14:paraId="45017A16">
                    <w:pPr>
                      <w:pStyle w:val="10"/>
                    </w:pPr>
                    <w:r>
                      <w:fldChar w:fldCharType="begin"/>
                    </w:r>
                    <w:r>
                      <w:instrText xml:space="preserve"> PAGE  \* MERGEFORMAT </w:instrText>
                    </w:r>
                    <w:r>
                      <w:fldChar w:fldCharType="separate"/>
                    </w:r>
                    <w:r>
                      <w:t>134</w:t>
                    </w:r>
                    <w:r>
                      <w:fldChar w:fldCharType="end"/>
                    </w:r>
                  </w:p>
                </w:txbxContent>
              </v:textbox>
            </v:shape>
          </w:pict>
        </mc:Fallback>
      </mc:AlternateConten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6F5EB">
    <w:pPr>
      <w:pStyle w:val="10"/>
    </w:pPr>
    <w:r>
      <w:rPr>
        <w:sz w:val="18"/>
      </w:rPr>
      <mc:AlternateContent>
        <mc:Choice Requires="wps">
          <w:drawing>
            <wp:anchor distT="0" distB="0" distL="114300" distR="114300" simplePos="0" relativeHeight="2517667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039B22">
                          <w:pPr>
                            <w:pStyle w:val="10"/>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67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14hs1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aCDdfW+6i6g&#10;9ywLW/1geUwThfR2dQgQM2kcBepU6XVD96Uq9ZMS2/vPfYp6+jssH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s/XiGzUCAABlBAAADgAAAAAAAAABACAAAAAfAQAAZHJzL2Uyb0RvYy54bWxQ&#10;SwUGAAAAAAYABgBZAQAAxgUAAAAA&#10;">
              <v:fill on="f" focussize="0,0"/>
              <v:stroke on="f" weight="0.5pt"/>
              <v:imagedata o:title=""/>
              <o:lock v:ext="edit" aspectratio="f"/>
              <v:textbox inset="0mm,0mm,0mm,0mm" style="mso-fit-shape-to-text:t;">
                <w:txbxContent>
                  <w:p w14:paraId="61039B22">
                    <w:pPr>
                      <w:pStyle w:val="10"/>
                    </w:pPr>
                    <w:r>
                      <w:fldChar w:fldCharType="begin"/>
                    </w:r>
                    <w:r>
                      <w:instrText xml:space="preserve"> PAGE  \* MERGEFORMAT </w:instrText>
                    </w:r>
                    <w:r>
                      <w:fldChar w:fldCharType="separate"/>
                    </w:r>
                    <w:r>
                      <w:t>135</w:t>
                    </w:r>
                    <w:r>
                      <w:fldChar w:fldCharType="end"/>
                    </w:r>
                  </w:p>
                </w:txbxContent>
              </v:textbox>
            </v:shape>
          </w:pict>
        </mc:Fallback>
      </mc:AlternateConten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CE4B">
    <w:pPr>
      <w:pStyle w:val="10"/>
    </w:pPr>
    <w:r>
      <w:rPr>
        <w:sz w:val="18"/>
      </w:rPr>
      <mc:AlternateContent>
        <mc:Choice Requires="wps">
          <w:drawing>
            <wp:anchor distT="0" distB="0" distL="114300" distR="114300" simplePos="0" relativeHeight="2517678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6" name="文本框 2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EF292F">
                          <w:pPr>
                            <w:pStyle w:val="10"/>
                          </w:pPr>
                          <w:r>
                            <w:fldChar w:fldCharType="begin"/>
                          </w:r>
                          <w:r>
                            <w:instrText xml:space="preserve"> PAGE  \* MERGEFORMAT </w:instrText>
                          </w:r>
                          <w:r>
                            <w:fldChar w:fldCharType="separate"/>
                          </w:r>
                          <w:r>
                            <w:t>136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78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83MGU0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PNzBlNAIAAGUEAAAOAAAAAAAAAAEAIAAAAB8BAABkcnMvZTJvRG9jLnhtbFBL&#10;BQYAAAAABgAGAFkBAADFBQAAAAA=&#10;">
              <v:fill on="f" focussize="0,0"/>
              <v:stroke on="f" weight="0.5pt"/>
              <v:imagedata o:title=""/>
              <o:lock v:ext="edit" aspectratio="f"/>
              <v:textbox inset="0mm,0mm,0mm,0mm" style="mso-fit-shape-to-text:t;">
                <w:txbxContent>
                  <w:p w14:paraId="10EF292F">
                    <w:pPr>
                      <w:pStyle w:val="10"/>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5851C">
    <w:pPr>
      <w:pStyle w:val="10"/>
    </w:pPr>
    <w:r>
      <w:rPr>
        <w:sz w:val="18"/>
      </w:rPr>
      <mc:AlternateContent>
        <mc:Choice Requires="wps">
          <w:drawing>
            <wp:anchor distT="0" distB="0" distL="114300" distR="114300" simplePos="0" relativeHeight="2517688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7" name="文本框 2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A8BA2">
                          <w:pPr>
                            <w:pStyle w:val="10"/>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88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Lrvk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ki675NAIAAGUEAAAOAAAAAAAAAAEAIAAAAB8BAABkcnMvZTJvRG9jLnhtbFBL&#10;BQYAAAAABgAGAFkBAADFBQAAAAA=&#10;">
              <v:fill on="f" focussize="0,0"/>
              <v:stroke on="f" weight="0.5pt"/>
              <v:imagedata o:title=""/>
              <o:lock v:ext="edit" aspectratio="f"/>
              <v:textbox inset="0mm,0mm,0mm,0mm" style="mso-fit-shape-to-text:t;">
                <w:txbxContent>
                  <w:p w14:paraId="1D7A8BA2">
                    <w:pPr>
                      <w:pStyle w:val="10"/>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F2EC1">
    <w:pPr>
      <w:pStyle w:val="10"/>
    </w:pPr>
    <w:r>
      <w:rPr>
        <w:sz w:val="18"/>
      </w:rPr>
      <mc:AlternateContent>
        <mc:Choice Requires="wps">
          <w:drawing>
            <wp:anchor distT="0" distB="0" distL="114300" distR="114300" simplePos="0" relativeHeight="2517698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8" name="文本框 2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91E232">
                          <w:pPr>
                            <w:pStyle w:val="10"/>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698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ERq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lERqczAgAAZQQAAA4AAAAAAAAAAQAgAAAAHwEAAGRycy9lMm9Eb2MueG1sUEsF&#10;BgAAAAAGAAYAWQEAAMQFAAAAAA==&#10;">
              <v:fill on="f" focussize="0,0"/>
              <v:stroke on="f" weight="0.5pt"/>
              <v:imagedata o:title=""/>
              <o:lock v:ext="edit" aspectratio="f"/>
              <v:textbox inset="0mm,0mm,0mm,0mm" style="mso-fit-shape-to-text:t;">
                <w:txbxContent>
                  <w:p w14:paraId="2691E232">
                    <w:pPr>
                      <w:pStyle w:val="10"/>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39CAF">
    <w:pPr>
      <w:pStyle w:val="10"/>
    </w:pPr>
    <w:r>
      <w:rPr>
        <w:sz w:val="18"/>
      </w:rPr>
      <mc:AlternateContent>
        <mc:Choice Requires="wps">
          <w:drawing>
            <wp:anchor distT="0" distB="0" distL="114300" distR="114300" simplePos="0" relativeHeight="2517708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9" name="文本框 2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5DC70">
                          <w:pPr>
                            <w:pStyle w:val="10"/>
                          </w:pPr>
                          <w:r>
                            <w:fldChar w:fldCharType="begin"/>
                          </w:r>
                          <w:r>
                            <w:instrText xml:space="preserve"> PAGE  \* MERGEFORMAT </w:instrText>
                          </w:r>
                          <w:r>
                            <w:fldChar w:fldCharType="separate"/>
                          </w:r>
                          <w:r>
                            <w:t>139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08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L42Ds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C+Ng7NAIAAGUEAAAOAAAAAAAAAAEAIAAAAB8BAABkcnMvZTJvRG9jLnhtbFBL&#10;BQYAAAAABgAGAFkBAADFBQAAAAA=&#10;">
              <v:fill on="f" focussize="0,0"/>
              <v:stroke on="f" weight="0.5pt"/>
              <v:imagedata o:title=""/>
              <o:lock v:ext="edit" aspectratio="f"/>
              <v:textbox inset="0mm,0mm,0mm,0mm" style="mso-fit-shape-to-text:t;">
                <w:txbxContent>
                  <w:p w14:paraId="2485DC70">
                    <w:pPr>
                      <w:pStyle w:val="10"/>
                    </w:pPr>
                    <w:r>
                      <w:fldChar w:fldCharType="begin"/>
                    </w:r>
                    <w:r>
                      <w:instrText xml:space="preserve"> PAGE  \* MERGEFORMAT </w:instrText>
                    </w:r>
                    <w:r>
                      <w:fldChar w:fldCharType="separate"/>
                    </w:r>
                    <w:r>
                      <w:t>139</w:t>
                    </w:r>
                    <w:r>
                      <w:fldChar w:fldCharType="end"/>
                    </w:r>
                  </w:p>
                </w:txbxContent>
              </v:textbox>
            </v:shape>
          </w:pict>
        </mc:Fallback>
      </mc:AlternateConten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CF551">
    <w:pPr>
      <w:pStyle w:val="10"/>
    </w:pPr>
    <w:r>
      <w:rPr>
        <w:sz w:val="18"/>
      </w:rPr>
      <mc:AlternateContent>
        <mc:Choice Requires="wps">
          <w:drawing>
            <wp:anchor distT="0" distB="0" distL="114300" distR="114300" simplePos="0" relativeHeight="2517719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0" name="文本框 2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B45C9">
                          <w:pPr>
                            <w:pStyle w:val="10"/>
                          </w:pPr>
                          <w:r>
                            <w:fldChar w:fldCharType="begin"/>
                          </w:r>
                          <w:r>
                            <w:instrText xml:space="preserve"> PAGE  \* MERGEFORMAT </w:instrText>
                          </w:r>
                          <w:r>
                            <w:fldChar w:fldCharType="separate"/>
                          </w:r>
                          <w:r>
                            <w:t>140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19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Le4Cw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Le4CwzAgAAZQQAAA4AAAAAAAAAAQAgAAAAHwEAAGRycy9lMm9Eb2MueG1sUEsF&#10;BgAAAAAGAAYAWQEAAMQFAAAAAA==&#10;">
              <v:fill on="f" focussize="0,0"/>
              <v:stroke on="f" weight="0.5pt"/>
              <v:imagedata o:title=""/>
              <o:lock v:ext="edit" aspectratio="f"/>
              <v:textbox inset="0mm,0mm,0mm,0mm" style="mso-fit-shape-to-text:t;">
                <w:txbxContent>
                  <w:p w14:paraId="331B45C9">
                    <w:pPr>
                      <w:pStyle w:val="10"/>
                    </w:pPr>
                    <w:r>
                      <w:fldChar w:fldCharType="begin"/>
                    </w:r>
                    <w:r>
                      <w:instrText xml:space="preserve"> PAGE  \* MERGEFORMAT </w:instrText>
                    </w:r>
                    <w:r>
                      <w:fldChar w:fldCharType="separate"/>
                    </w:r>
                    <w:r>
                      <w:t>140</w:t>
                    </w:r>
                    <w:r>
                      <w:fldChar w:fldCharType="end"/>
                    </w:r>
                  </w:p>
                </w:txbxContent>
              </v:textbox>
            </v:shape>
          </w:pict>
        </mc:Fallback>
      </mc:AlternateConten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93F29">
    <w:pPr>
      <w:pStyle w:val="10"/>
    </w:pPr>
    <w:r>
      <w:rPr>
        <w:sz w:val="18"/>
      </w:rPr>
      <mc:AlternateContent>
        <mc:Choice Requires="wps">
          <w:drawing>
            <wp:anchor distT="0" distB="0" distL="114300" distR="114300" simplePos="0" relativeHeight="2517729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1" name="文本框 2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A67886">
                          <w:pPr>
                            <w:pStyle w:val="10"/>
                          </w:pPr>
                          <w:r>
                            <w:fldChar w:fldCharType="begin"/>
                          </w:r>
                          <w:r>
                            <w:instrText xml:space="preserve"> PAGE  \* MERGEFORMAT </w:instrText>
                          </w:r>
                          <w:r>
                            <w:fldChar w:fldCharType="separate"/>
                          </w:r>
                          <w:r>
                            <w:t>141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29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lifrAz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lifrAzAgAAZQQAAA4AAAAAAAAAAQAgAAAAHwEAAGRycy9lMm9Eb2MueG1sUEsF&#10;BgAAAAAGAAYAWQEAAMQFAAAAAA==&#10;">
              <v:fill on="f" focussize="0,0"/>
              <v:stroke on="f" weight="0.5pt"/>
              <v:imagedata o:title=""/>
              <o:lock v:ext="edit" aspectratio="f"/>
              <v:textbox inset="0mm,0mm,0mm,0mm" style="mso-fit-shape-to-text:t;">
                <w:txbxContent>
                  <w:p w14:paraId="3DA67886">
                    <w:pPr>
                      <w:pStyle w:val="10"/>
                    </w:pPr>
                    <w:r>
                      <w:fldChar w:fldCharType="begin"/>
                    </w:r>
                    <w:r>
                      <w:instrText xml:space="preserve"> PAGE  \* MERGEFORMAT </w:instrText>
                    </w:r>
                    <w:r>
                      <w:fldChar w:fldCharType="separate"/>
                    </w:r>
                    <w:r>
                      <w:t>141</w:t>
                    </w:r>
                    <w:r>
                      <w:fldChar w:fldCharType="end"/>
                    </w:r>
                  </w:p>
                </w:txbxContent>
              </v:textbox>
            </v:shape>
          </w:pict>
        </mc:Fallback>
      </mc:AlternateConten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5640D">
    <w:pPr>
      <w:pStyle w:val="10"/>
    </w:pPr>
    <w:r>
      <w:rPr>
        <w:sz w:val="18"/>
      </w:rPr>
      <mc:AlternateContent>
        <mc:Choice Requires="wps">
          <w:drawing>
            <wp:anchor distT="0" distB="0" distL="114300" distR="114300" simplePos="0" relativeHeight="2517739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2313A3">
                          <w:pPr>
                            <w:pStyle w:val="10"/>
                          </w:pPr>
                          <w:r>
                            <w:fldChar w:fldCharType="begin"/>
                          </w:r>
                          <w:r>
                            <w:instrText xml:space="preserve"> PAGE  \* MERGEFORMAT </w:instrText>
                          </w:r>
                          <w:r>
                            <w:fldChar w:fldCharType="separate"/>
                          </w:r>
                          <w:r>
                            <w:t>142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39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oKzONAIAAGUEAAAOAAAAAAAAAAEAIAAAAB8BAABkcnMvZTJvRG9jLnhtbFBL&#10;BQYAAAAABgAGAFkBAADFBQAAAAA=&#10;">
              <v:fill on="f" focussize="0,0"/>
              <v:stroke on="f" weight="0.5pt"/>
              <v:imagedata o:title=""/>
              <o:lock v:ext="edit" aspectratio="f"/>
              <v:textbox inset="0mm,0mm,0mm,0mm" style="mso-fit-shape-to-text:t;">
                <w:txbxContent>
                  <w:p w14:paraId="7A2313A3">
                    <w:pPr>
                      <w:pStyle w:val="10"/>
                    </w:pPr>
                    <w:r>
                      <w:fldChar w:fldCharType="begin"/>
                    </w:r>
                    <w:r>
                      <w:instrText xml:space="preserve"> PAGE  \* MERGEFORMAT </w:instrText>
                    </w:r>
                    <w:r>
                      <w:fldChar w:fldCharType="separate"/>
                    </w:r>
                    <w:r>
                      <w:t>142</w:t>
                    </w:r>
                    <w:r>
                      <w:fldChar w:fldCharType="end"/>
                    </w:r>
                  </w:p>
                </w:txbxContent>
              </v:textbox>
            </v:shape>
          </w:pict>
        </mc:Fallback>
      </mc:AlternateConten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B53D0">
    <w:pPr>
      <w:pStyle w:val="10"/>
    </w:pPr>
    <w:r>
      <w:rPr>
        <w:sz w:val="18"/>
      </w:rPr>
      <mc:AlternateContent>
        <mc:Choice Requires="wps">
          <w:drawing>
            <wp:anchor distT="0" distB="0" distL="114300" distR="114300" simplePos="0" relativeHeight="2517749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13A8C">
                          <w:pPr>
                            <w:pStyle w:val="10"/>
                          </w:pPr>
                          <w:r>
                            <w:fldChar w:fldCharType="begin"/>
                          </w:r>
                          <w:r>
                            <w:instrText xml:space="preserve"> PAGE  \* MERGEFORMAT </w:instrText>
                          </w:r>
                          <w:r>
                            <w:fldChar w:fldCharType="separate"/>
                          </w:r>
                          <w:r>
                            <w:t>143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49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cMlI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HDJSNAIAAGUEAAAOAAAAAAAAAAEAIAAAAB8BAABkcnMvZTJvRG9jLnhtbFBL&#10;BQYAAAAABgAGAFkBAADFBQAAAAA=&#10;">
              <v:fill on="f" focussize="0,0"/>
              <v:stroke on="f" weight="0.5pt"/>
              <v:imagedata o:title=""/>
              <o:lock v:ext="edit" aspectratio="f"/>
              <v:textbox inset="0mm,0mm,0mm,0mm" style="mso-fit-shape-to-text:t;">
                <w:txbxContent>
                  <w:p w14:paraId="02313A8C">
                    <w:pPr>
                      <w:pStyle w:val="10"/>
                    </w:pPr>
                    <w:r>
                      <w:fldChar w:fldCharType="begin"/>
                    </w:r>
                    <w:r>
                      <w:instrText xml:space="preserve"> PAGE  \* MERGEFORMAT </w:instrText>
                    </w:r>
                    <w:r>
                      <w:fldChar w:fldCharType="separate"/>
                    </w:r>
                    <w:r>
                      <w:t>143</w:t>
                    </w:r>
                    <w:r>
                      <w:fldChar w:fldCharType="end"/>
                    </w:r>
                  </w:p>
                </w:txbxContent>
              </v:textbox>
            </v:shape>
          </w:pict>
        </mc:Fallback>
      </mc:AlternateConten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21402">
    <w:pPr>
      <w:pStyle w:val="10"/>
    </w:pPr>
    <w:r>
      <w:rPr>
        <w:sz w:val="18"/>
      </w:rPr>
      <mc:AlternateContent>
        <mc:Choice Requires="wps">
          <w:drawing>
            <wp:anchor distT="0" distB="0" distL="114300" distR="114300" simplePos="0" relativeHeight="2517760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4" name="文本框 2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6DF1B">
                          <w:pPr>
                            <w:pStyle w:val="10"/>
                          </w:pPr>
                          <w:r>
                            <w:fldChar w:fldCharType="begin"/>
                          </w:r>
                          <w:r>
                            <w:instrText xml:space="preserve"> PAGE  \* MERGEFORMAT </w:instrText>
                          </w:r>
                          <w:r>
                            <w:fldChar w:fldCharType="separate"/>
                          </w:r>
                          <w:r>
                            <w:t>144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60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lCTM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Q4lhGiU//fh+&#10;+vlw+vWNpENI1LgwQ+S9Q2xs39kWjTOcBxwm5m3ldfqCE4EfAh8vAos2Ep4uTSfTaQ4Xh2/YAD97&#10;vO58iO+F1SQZBfWoYCcsO2xC7EOHkJTN2LVUqquiMqQp6NXrt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tJQkzNAIAAGUEAAAOAAAAAAAAAAEAIAAAAB8BAABkcnMvZTJvRG9jLnhtbFBL&#10;BQYAAAAABgAGAFkBAADFBQAAAAA=&#10;">
              <v:fill on="f" focussize="0,0"/>
              <v:stroke on="f" weight="0.5pt"/>
              <v:imagedata o:title=""/>
              <o:lock v:ext="edit" aspectratio="f"/>
              <v:textbox inset="0mm,0mm,0mm,0mm" style="mso-fit-shape-to-text:t;">
                <w:txbxContent>
                  <w:p w14:paraId="72B6DF1B">
                    <w:pPr>
                      <w:pStyle w:val="10"/>
                    </w:pPr>
                    <w:r>
                      <w:fldChar w:fldCharType="begin"/>
                    </w:r>
                    <w:r>
                      <w:instrText xml:space="preserve"> PAGE  \* MERGEFORMAT </w:instrText>
                    </w:r>
                    <w:r>
                      <w:fldChar w:fldCharType="separate"/>
                    </w:r>
                    <w:r>
                      <w:t>144</w:t>
                    </w:r>
                    <w:r>
                      <w:fldChar w:fldCharType="end"/>
                    </w:r>
                  </w:p>
                </w:txbxContent>
              </v:textbox>
            </v:shape>
          </w:pict>
        </mc:Fallback>
      </mc:AlternateConten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AABF4">
    <w:pPr>
      <w:pStyle w:val="10"/>
    </w:pPr>
    <w:r>
      <w:rPr>
        <w:sz w:val="18"/>
      </w:rPr>
      <mc:AlternateContent>
        <mc:Choice Requires="wps">
          <w:drawing>
            <wp:anchor distT="0" distB="0" distL="114300" distR="114300" simplePos="0" relativeHeight="2517770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758A8">
                          <w:pPr>
                            <w:pStyle w:val="10"/>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70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Zl680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6/vRq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GmZevNAIAAGUEAAAOAAAAAAAAAAEAIAAAAB8BAABkcnMvZTJvRG9jLnhtbFBL&#10;BQYAAAAABgAGAFkBAADFBQAAAAA=&#10;">
              <v:fill on="f" focussize="0,0"/>
              <v:stroke on="f" weight="0.5pt"/>
              <v:imagedata o:title=""/>
              <o:lock v:ext="edit" aspectratio="f"/>
              <v:textbox inset="0mm,0mm,0mm,0mm" style="mso-fit-shape-to-text:t;">
                <w:txbxContent>
                  <w:p w14:paraId="4BD758A8">
                    <w:pPr>
                      <w:pStyle w:val="10"/>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BD662">
    <w:pPr>
      <w:pStyle w:val="10"/>
    </w:pPr>
    <w:r>
      <w:rPr>
        <w:sz w:val="18"/>
      </w:rPr>
      <mc:AlternateContent>
        <mc:Choice Requires="wps">
          <w:drawing>
            <wp:anchor distT="0" distB="0" distL="114300" distR="114300" simplePos="0" relativeHeight="2517780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7E261">
                          <w:pPr>
                            <w:pStyle w:val="10"/>
                          </w:pPr>
                          <w:r>
                            <w:fldChar w:fldCharType="begin"/>
                          </w:r>
                          <w:r>
                            <w:instrText xml:space="preserve"> PAGE  \* MERGEFORMAT </w:instrText>
                          </w:r>
                          <w:r>
                            <w:fldChar w:fldCharType="separate"/>
                          </w:r>
                          <w:r>
                            <w:t>146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80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bRdE0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f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Ufr6kPVXUDv&#10;WRZ2+sHymCYK6e36GCBm0jgK1KnS64buS1XqJyW295/7FPX4d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6W0XRNAIAAGUEAAAOAAAAAAAAAAEAIAAAAB8BAABkcnMvZTJvRG9jLnhtbFBL&#10;BQYAAAAABgAGAFkBAADFBQAAAAA=&#10;">
              <v:fill on="f" focussize="0,0"/>
              <v:stroke on="f" weight="0.5pt"/>
              <v:imagedata o:title=""/>
              <o:lock v:ext="edit" aspectratio="f"/>
              <v:textbox inset="0mm,0mm,0mm,0mm" style="mso-fit-shape-to-text:t;">
                <w:txbxContent>
                  <w:p w14:paraId="58E7E261">
                    <w:pPr>
                      <w:pStyle w:val="10"/>
                    </w:pPr>
                    <w:r>
                      <w:fldChar w:fldCharType="begin"/>
                    </w:r>
                    <w:r>
                      <w:instrText xml:space="preserve"> PAGE  \* MERGEFORMAT </w:instrText>
                    </w:r>
                    <w:r>
                      <w:fldChar w:fldCharType="separate"/>
                    </w:r>
                    <w:r>
                      <w:t>146</w:t>
                    </w:r>
                    <w:r>
                      <w:fldChar w:fldCharType="end"/>
                    </w:r>
                  </w:p>
                </w:txbxContent>
              </v:textbox>
            </v:shape>
          </w:pict>
        </mc:Fallback>
      </mc:AlternateConten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C7435">
    <w:pPr>
      <w:pStyle w:val="10"/>
    </w:pPr>
    <w:r>
      <w:rPr>
        <w:sz w:val="18"/>
      </w:rPr>
      <mc:AlternateContent>
        <mc:Choice Requires="wps">
          <w:drawing>
            <wp:anchor distT="0" distB="0" distL="114300" distR="114300" simplePos="0" relativeHeight="2517790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134B83">
                          <w:pPr>
                            <w:pStyle w:val="10"/>
                          </w:pPr>
                          <w:r>
                            <w:fldChar w:fldCharType="begin"/>
                          </w:r>
                          <w:r>
                            <w:instrText xml:space="preserve"> PAGE  \* MERGEFORMAT </w:instrText>
                          </w:r>
                          <w:r>
                            <w:fldChar w:fldCharType="separate"/>
                          </w:r>
                          <w:r>
                            <w:t>147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790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n200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R59tNNAIAAGUEAAAOAAAAAAAAAAEAIAAAAB8BAABkcnMvZTJvRG9jLnhtbFBL&#10;BQYAAAAABgAGAFkBAADFBQAAAAA=&#10;">
              <v:fill on="f" focussize="0,0"/>
              <v:stroke on="f" weight="0.5pt"/>
              <v:imagedata o:title=""/>
              <o:lock v:ext="edit" aspectratio="f"/>
              <v:textbox inset="0mm,0mm,0mm,0mm" style="mso-fit-shape-to-text:t;">
                <w:txbxContent>
                  <w:p w14:paraId="26134B83">
                    <w:pPr>
                      <w:pStyle w:val="10"/>
                    </w:pPr>
                    <w:r>
                      <w:fldChar w:fldCharType="begin"/>
                    </w:r>
                    <w:r>
                      <w:instrText xml:space="preserve"> PAGE  \* MERGEFORMAT </w:instrText>
                    </w:r>
                    <w:r>
                      <w:fldChar w:fldCharType="separate"/>
                    </w:r>
                    <w:r>
                      <w:t>147</w:t>
                    </w:r>
                    <w:r>
                      <w:fldChar w:fldCharType="end"/>
                    </w:r>
                  </w:p>
                </w:txbxContent>
              </v:textbox>
            </v:shape>
          </w:pict>
        </mc:Fallback>
      </mc:AlternateConten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DFCA8">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9804175">
                          <w:pPr>
                            <w:pStyle w:val="10"/>
                          </w:pPr>
                          <w:r>
                            <w:fldChar w:fldCharType="begin"/>
                          </w:r>
                          <w:r>
                            <w:instrText xml:space="preserve"> PAGE  \* MERGEFORMAT </w:instrText>
                          </w:r>
                          <w:r>
                            <w:fldChar w:fldCharType="separate"/>
                          </w:r>
                          <w:r>
                            <w:t>161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2i1I46AgAAc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CtotSOOgIAAHMEAAAOAAAAAAAAAAEAIAAAAB8BAABkcnMvZTJvRG9j&#10;LnhtbFBLBQYAAAAABgAGAFkBAADLBQAAAAA=&#10;">
              <v:fill on="f" focussize="0,0"/>
              <v:stroke on="f" weight="0.5pt"/>
              <v:imagedata o:title=""/>
              <o:lock v:ext="edit" aspectratio="f"/>
              <v:textbox inset="0mm,0mm,0mm,0mm" style="mso-fit-shape-to-text:t;">
                <w:txbxContent>
                  <w:p w14:paraId="69804175">
                    <w:pPr>
                      <w:pStyle w:val="10"/>
                    </w:pPr>
                    <w:r>
                      <w:fldChar w:fldCharType="begin"/>
                    </w:r>
                    <w:r>
                      <w:instrText xml:space="preserve"> PAGE  \* MERGEFORMAT </w:instrText>
                    </w:r>
                    <w:r>
                      <w:fldChar w:fldCharType="separate"/>
                    </w:r>
                    <w:r>
                      <w:t>161</w:t>
                    </w:r>
                    <w:r>
                      <w:fldChar w:fldCharType="end"/>
                    </w:r>
                  </w:p>
                </w:txbxContent>
              </v:textbox>
            </v:shape>
          </w:pict>
        </mc:Fallback>
      </mc:AlternateConten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ACE5B">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2D590D7">
                          <w:pPr>
                            <w:pStyle w:val="10"/>
                          </w:pPr>
                          <w:r>
                            <w:fldChar w:fldCharType="begin"/>
                          </w:r>
                          <w:r>
                            <w:instrText xml:space="preserve"> PAGE  \* MERGEFORMAT </w:instrText>
                          </w:r>
                          <w:r>
                            <w:fldChar w:fldCharType="separate"/>
                          </w:r>
                          <w:r>
                            <w:t>179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TZ86AgAAc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Pyk2fOgIAAHMEAAAOAAAAAAAAAAEAIAAAAB8BAABkcnMvZTJvRG9j&#10;LnhtbFBLBQYAAAAABgAGAFkBAADLBQAAAAA=&#10;">
              <v:fill on="f" focussize="0,0"/>
              <v:stroke on="f" weight="0.5pt"/>
              <v:imagedata o:title=""/>
              <o:lock v:ext="edit" aspectratio="f"/>
              <v:textbox inset="0mm,0mm,0mm,0mm" style="mso-fit-shape-to-text:t;">
                <w:txbxContent>
                  <w:p w14:paraId="32D590D7">
                    <w:pPr>
                      <w:pStyle w:val="10"/>
                    </w:pPr>
                    <w:r>
                      <w:fldChar w:fldCharType="begin"/>
                    </w:r>
                    <w:r>
                      <w:instrText xml:space="preserve"> PAGE  \* MERGEFORMAT </w:instrText>
                    </w:r>
                    <w:r>
                      <w:fldChar w:fldCharType="separate"/>
                    </w:r>
                    <w:r>
                      <w:t>179</w:t>
                    </w:r>
                    <w:r>
                      <w:fldChar w:fldCharType="end"/>
                    </w:r>
                  </w:p>
                </w:txbxContent>
              </v:textbox>
            </v:shape>
          </w:pict>
        </mc:Fallback>
      </mc:AlternateConten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1FED6">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1E33889">
                          <w:pPr>
                            <w:pStyle w:val="10"/>
                          </w:pPr>
                          <w:r>
                            <w:fldChar w:fldCharType="begin"/>
                          </w:r>
                          <w:r>
                            <w:instrText xml:space="preserve"> PAGE  \* MERGEFORMAT </w:instrText>
                          </w:r>
                          <w:r>
                            <w:fldChar w:fldCharType="separate"/>
                          </w:r>
                          <w:r>
                            <w:t>180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94jc6AgAAcw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ZPeI3OgIAAHMEAAAOAAAAAAAAAAEAIAAAAB8BAABkcnMvZTJvRG9j&#10;LnhtbFBLBQYAAAAABgAGAFkBAADLBQAAAAA=&#10;">
              <v:fill on="f" focussize="0,0"/>
              <v:stroke on="f" weight="0.5pt"/>
              <v:imagedata o:title=""/>
              <o:lock v:ext="edit" aspectratio="f"/>
              <v:textbox inset="0mm,0mm,0mm,0mm" style="mso-fit-shape-to-text:t;">
                <w:txbxContent>
                  <w:p w14:paraId="11E33889">
                    <w:pPr>
                      <w:pStyle w:val="10"/>
                    </w:pPr>
                    <w:r>
                      <w:fldChar w:fldCharType="begin"/>
                    </w:r>
                    <w:r>
                      <w:instrText xml:space="preserve"> PAGE  \* MERGEFORMAT </w:instrText>
                    </w:r>
                    <w:r>
                      <w:fldChar w:fldCharType="separate"/>
                    </w:r>
                    <w:r>
                      <w:t>180</w:t>
                    </w:r>
                    <w:r>
                      <w:fldChar w:fldCharType="end"/>
                    </w:r>
                  </w:p>
                </w:txbxContent>
              </v:textbox>
            </v:shape>
          </w:pict>
        </mc:Fallback>
      </mc:AlternateConten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1DA3E">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4" name="文本框 1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0DEAA65">
                          <w:pPr>
                            <w:pStyle w:val="10"/>
                          </w:pPr>
                          <w:r>
                            <w:fldChar w:fldCharType="begin"/>
                          </w:r>
                          <w:r>
                            <w:instrText xml:space="preserve"> PAGE  \* MERGEFORMAT </w:instrText>
                          </w:r>
                          <w:r>
                            <w:fldChar w:fldCharType="separate"/>
                          </w:r>
                          <w:r>
                            <w:t>181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3T9o6AgAAc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C590/aOgIAAHMEAAAOAAAAAAAAAAEAIAAAAB8BAABkcnMvZTJvRG9j&#10;LnhtbFBLBQYAAAAABgAGAFkBAADLBQAAAAA=&#10;">
              <v:fill on="f" focussize="0,0"/>
              <v:stroke on="f" weight="0.5pt"/>
              <v:imagedata o:title=""/>
              <o:lock v:ext="edit" aspectratio="f"/>
              <v:textbox inset="0mm,0mm,0mm,0mm" style="mso-fit-shape-to-text:t;">
                <w:txbxContent>
                  <w:p w14:paraId="50DEAA65">
                    <w:pPr>
                      <w:pStyle w:val="10"/>
                    </w:pPr>
                    <w:r>
                      <w:fldChar w:fldCharType="begin"/>
                    </w:r>
                    <w:r>
                      <w:instrText xml:space="preserve"> PAGE  \* MERGEFORMAT </w:instrText>
                    </w:r>
                    <w:r>
                      <w:fldChar w:fldCharType="separate"/>
                    </w:r>
                    <w:r>
                      <w:t>181</w:t>
                    </w:r>
                    <w:r>
                      <w:fldChar w:fldCharType="end"/>
                    </w:r>
                  </w:p>
                </w:txbxContent>
              </v:textbox>
            </v:shape>
          </w:pict>
        </mc:Fallback>
      </mc:AlternateConten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29F0F">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5E5EC42">
                          <w:pPr>
                            <w:pStyle w:val="10"/>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8A4HI6AgAAcwQAAA4AAABkcnMvZTJvRG9jLnhtbK1UzY7TMBC+I/EO&#10;lu80aWFX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AvAOByOgIAAHMEAAAOAAAAAAAAAAEAIAAAAB8BAABkcnMvZTJvRG9j&#10;LnhtbFBLBQYAAAAABgAGAFkBAADLBQAAAAA=&#10;">
              <v:fill on="f" focussize="0,0"/>
              <v:stroke on="f" weight="0.5pt"/>
              <v:imagedata o:title=""/>
              <o:lock v:ext="edit" aspectratio="f"/>
              <v:textbox inset="0mm,0mm,0mm,0mm" style="mso-fit-shape-to-text:t;">
                <w:txbxContent>
                  <w:p w14:paraId="15E5EC42">
                    <w:pPr>
                      <w:pStyle w:val="10"/>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6B826">
    <w:pPr>
      <w:pStyle w:val="1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 name="文本框 1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15D2D5">
                          <w:pPr>
                            <w:pStyle w:val="10"/>
                          </w:pPr>
                          <w:r>
                            <w:fldChar w:fldCharType="begin"/>
                          </w:r>
                          <w:r>
                            <w:instrText xml:space="preserve"> PAGE  \* MERGEFORMAT </w:instrText>
                          </w:r>
                          <w:r>
                            <w:fldChar w:fldCharType="separate"/>
                          </w:r>
                          <w:r>
                            <w:t>183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eYVA6AgAAcwQAAA4AAABkcnMvZTJvRG9jLnhtbK1UzY7TMBC+I/EO&#10;lu80bYGq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UHmFQOgIAAHMEAAAOAAAAAAAAAAEAIAAAAB8BAABkcnMvZTJvRG9j&#10;LnhtbFBLBQYAAAAABgAGAFkBAADLBQAAAAA=&#10;">
              <v:fill on="f" focussize="0,0"/>
              <v:stroke on="f" weight="0.5pt"/>
              <v:imagedata o:title=""/>
              <o:lock v:ext="edit" aspectratio="f"/>
              <v:textbox inset="0mm,0mm,0mm,0mm" style="mso-fit-shape-to-text:t;">
                <w:txbxContent>
                  <w:p w14:paraId="1E15D2D5">
                    <w:pPr>
                      <w:pStyle w:val="10"/>
                    </w:pPr>
                    <w:r>
                      <w:fldChar w:fldCharType="begin"/>
                    </w:r>
                    <w:r>
                      <w:instrText xml:space="preserve"> PAGE  \* MERGEFORMAT </w:instrText>
                    </w:r>
                    <w:r>
                      <w:fldChar w:fldCharType="separate"/>
                    </w:r>
                    <w:r>
                      <w:t>183</w:t>
                    </w:r>
                    <w:r>
                      <w:fldChar w:fldCharType="end"/>
                    </w:r>
                  </w:p>
                </w:txbxContent>
              </v:textbox>
            </v:shape>
          </w:pict>
        </mc:Fallback>
      </mc:AlternateConten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40B29">
    <w:pPr>
      <w:pStyle w:val="1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7" name="文本框 1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CE0E7F">
                          <w:pPr>
                            <w:pStyle w:val="10"/>
                          </w:pPr>
                          <w:r>
                            <w:fldChar w:fldCharType="begin"/>
                          </w:r>
                          <w:r>
                            <w:instrText xml:space="preserve"> PAGE  \* MERGEFORMAT </w:instrText>
                          </w:r>
                          <w:r>
                            <w:fldChar w:fldCharType="separate"/>
                          </w:r>
                          <w:r>
                            <w:t>184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Lpzvg6AgAAcw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C6c74OgIAAHMEAAAOAAAAAAAAAAEAIAAAAB8BAABkcnMvZTJvRG9j&#10;LnhtbFBLBQYAAAAABgAGAFkBAADLBQAAAAA=&#10;">
              <v:fill on="f" focussize="0,0"/>
              <v:stroke on="f" weight="0.5pt"/>
              <v:imagedata o:title=""/>
              <o:lock v:ext="edit" aspectratio="f"/>
              <v:textbox inset="0mm,0mm,0mm,0mm" style="mso-fit-shape-to-text:t;">
                <w:txbxContent>
                  <w:p w14:paraId="51CE0E7F">
                    <w:pPr>
                      <w:pStyle w:val="10"/>
                    </w:pPr>
                    <w:r>
                      <w:fldChar w:fldCharType="begin"/>
                    </w:r>
                    <w:r>
                      <w:instrText xml:space="preserve"> PAGE  \* MERGEFORMAT </w:instrText>
                    </w:r>
                    <w:r>
                      <w:fldChar w:fldCharType="separate"/>
                    </w:r>
                    <w:r>
                      <w:t>184</w:t>
                    </w:r>
                    <w:r>
                      <w:fldChar w:fldCharType="end"/>
                    </w:r>
                  </w:p>
                </w:txbxContent>
              </v:textbox>
            </v:shape>
          </w:pict>
        </mc:Fallback>
      </mc:AlternateConten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FE1BF">
    <w:pPr>
      <w:pStyle w:val="1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 name="文本框 1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312D145">
                          <w:pPr>
                            <w:pStyle w:val="10"/>
                          </w:pPr>
                          <w:r>
                            <w:fldChar w:fldCharType="begin"/>
                          </w:r>
                          <w:r>
                            <w:instrText xml:space="preserve"> PAGE  \* MERGEFORMAT </w:instrText>
                          </w:r>
                          <w:r>
                            <w:fldChar w:fldCharType="separate"/>
                          </w:r>
                          <w:r>
                            <w:t>185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MS1A5AgAAc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FWMS1A5AgAAcwQAAA4AAAAAAAAAAQAgAAAAHwEAAGRycy9lMm9Eb2Mu&#10;eG1sUEsFBgAAAAAGAAYAWQEAAMoFAAAAAA==&#10;">
              <v:fill on="f" focussize="0,0"/>
              <v:stroke on="f" weight="0.5pt"/>
              <v:imagedata o:title=""/>
              <o:lock v:ext="edit" aspectratio="f"/>
              <v:textbox inset="0mm,0mm,0mm,0mm" style="mso-fit-shape-to-text:t;">
                <w:txbxContent>
                  <w:p w14:paraId="0312D145">
                    <w:pPr>
                      <w:pStyle w:val="10"/>
                    </w:pPr>
                    <w:r>
                      <w:fldChar w:fldCharType="begin"/>
                    </w:r>
                    <w:r>
                      <w:instrText xml:space="preserve"> PAGE  \* MERGEFORMAT </w:instrText>
                    </w:r>
                    <w:r>
                      <w:fldChar w:fldCharType="separate"/>
                    </w:r>
                    <w:r>
                      <w:t>185</w:t>
                    </w:r>
                    <w:r>
                      <w:fldChar w:fldCharType="end"/>
                    </w:r>
                  </w:p>
                </w:txbxContent>
              </v:textbox>
            </v:shape>
          </w:pict>
        </mc:Fallback>
      </mc:AlternateConten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D391D">
    <w:pPr>
      <w:pStyle w:val="1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820D520">
                          <w:pPr>
                            <w:pStyle w:val="10"/>
                          </w:pPr>
                          <w:r>
                            <w:fldChar w:fldCharType="begin"/>
                          </w:r>
                          <w:r>
                            <w:instrText xml:space="preserve"> PAGE  \* MERGEFORMAT </w:instrText>
                          </w:r>
                          <w:r>
                            <w:fldChar w:fldCharType="separate"/>
                          </w:r>
                          <w:r>
                            <w:t>186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N75Pg6AgAAcwQAAA4AAABkcnMvZTJvRG9jLnhtbK1UzY7TMBC+I/EO&#10;lu80aYFVqZ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De+T4OgIAAHMEAAAOAAAAAAAAAAEAIAAAAB8BAABkcnMvZTJvRG9j&#10;LnhtbFBLBQYAAAAABgAGAFkBAADLBQAAAAA=&#10;">
              <v:fill on="f" focussize="0,0"/>
              <v:stroke on="f" weight="0.5pt"/>
              <v:imagedata o:title=""/>
              <o:lock v:ext="edit" aspectratio="f"/>
              <v:textbox inset="0mm,0mm,0mm,0mm" style="mso-fit-shape-to-text:t;">
                <w:txbxContent>
                  <w:p w14:paraId="2820D520">
                    <w:pPr>
                      <w:pStyle w:val="10"/>
                    </w:pPr>
                    <w:r>
                      <w:fldChar w:fldCharType="begin"/>
                    </w:r>
                    <w:r>
                      <w:instrText xml:space="preserve"> PAGE  \* MERGEFORMAT </w:instrText>
                    </w:r>
                    <w:r>
                      <w:fldChar w:fldCharType="separate"/>
                    </w:r>
                    <w:r>
                      <w:t>186</w:t>
                    </w:r>
                    <w:r>
                      <w:fldChar w:fldCharType="end"/>
                    </w:r>
                  </w:p>
                </w:txbxContent>
              </v:textbox>
            </v:shape>
          </w:pict>
        </mc:Fallback>
      </mc:AlternateConten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B83A5">
    <w:pPr>
      <w:pStyle w:val="1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FF2A8A">
                          <w:pPr>
                            <w:pStyle w:val="10"/>
                          </w:pPr>
                          <w:r>
                            <w:fldChar w:fldCharType="begin"/>
                          </w:r>
                          <w:r>
                            <w:instrText xml:space="preserve"> PAGE  \* MERGEFORMAT </w:instrText>
                          </w:r>
                          <w:r>
                            <w:fldChar w:fldCharType="separate"/>
                          </w:r>
                          <w:r>
                            <w:t>187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kuqcMNwIAAHMEAAAOAAAAAAAAAAEAIAAAAB8BAABkcnMvZTJvRG9jLnht&#10;bFBLBQYAAAAABgAGAFkBAADIBQAAAAA=&#10;">
              <v:fill on="f" focussize="0,0"/>
              <v:stroke on="f" weight="0.5pt"/>
              <v:imagedata o:title=""/>
              <o:lock v:ext="edit" aspectratio="f"/>
              <v:textbox inset="0mm,0mm,0mm,0mm" style="mso-fit-shape-to-text:t;">
                <w:txbxContent>
                  <w:p w14:paraId="1DFF2A8A">
                    <w:pPr>
                      <w:pStyle w:val="10"/>
                    </w:pPr>
                    <w:r>
                      <w:fldChar w:fldCharType="begin"/>
                    </w:r>
                    <w:r>
                      <w:instrText xml:space="preserve"> PAGE  \* MERGEFORMAT </w:instrText>
                    </w:r>
                    <w:r>
                      <w:fldChar w:fldCharType="separate"/>
                    </w:r>
                    <w:r>
                      <w:t>187</w:t>
                    </w:r>
                    <w:r>
                      <w:fldChar w:fldCharType="end"/>
                    </w:r>
                  </w:p>
                </w:txbxContent>
              </v:textbox>
            </v:shape>
          </w:pict>
        </mc:Fallback>
      </mc:AlternateConten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70E7B">
    <w:pPr>
      <w:pStyle w:val="1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1" name="文本框 1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793979">
                          <w:pPr>
                            <w:pStyle w:val="10"/>
                          </w:pPr>
                          <w:r>
                            <w:fldChar w:fldCharType="begin"/>
                          </w:r>
                          <w:r>
                            <w:instrText xml:space="preserve"> PAGE  \* MERGEFORMAT </w:instrText>
                          </w:r>
                          <w:r>
                            <w:fldChar w:fldCharType="separate"/>
                          </w:r>
                          <w:r>
                            <w:t>188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NCKQ5AgAAc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JNCKQ5AgAAcwQAAA4AAAAAAAAAAQAgAAAAHwEAAGRycy9lMm9Eb2Mu&#10;eG1sUEsFBgAAAAAGAAYAWQEAAMoFAAAAAA==&#10;">
              <v:fill on="f" focussize="0,0"/>
              <v:stroke on="f" weight="0.5pt"/>
              <v:imagedata o:title=""/>
              <o:lock v:ext="edit" aspectratio="f"/>
              <v:textbox inset="0mm,0mm,0mm,0mm" style="mso-fit-shape-to-text:t;">
                <w:txbxContent>
                  <w:p w14:paraId="3F793979">
                    <w:pPr>
                      <w:pStyle w:val="10"/>
                    </w:pPr>
                    <w:r>
                      <w:fldChar w:fldCharType="begin"/>
                    </w:r>
                    <w:r>
                      <w:instrText xml:space="preserve"> PAGE  \* MERGEFORMAT </w:instrText>
                    </w:r>
                    <w:r>
                      <w:fldChar w:fldCharType="separate"/>
                    </w:r>
                    <w:r>
                      <w:t>188</w:t>
                    </w:r>
                    <w:r>
                      <w:fldChar w:fldCharType="end"/>
                    </w:r>
                  </w:p>
                </w:txbxContent>
              </v:textbox>
            </v:shape>
          </w:pict>
        </mc:Fallback>
      </mc:AlternateConten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6A44D">
    <w:pPr>
      <w:pStyle w:val="1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2" name="文本框 1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6C6D60C">
                          <w:pPr>
                            <w:pStyle w:val="10"/>
                          </w:pPr>
                          <w:r>
                            <w:fldChar w:fldCharType="begin"/>
                          </w:r>
                          <w:r>
                            <w:instrText xml:space="preserve"> PAGE  \* MERGEFORMAT </w:instrText>
                          </w:r>
                          <w:r>
                            <w:fldChar w:fldCharType="separate"/>
                          </w:r>
                          <w:r>
                            <w:t>189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TiYY6AgAAcw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JU4mGOgIAAHMEAAAOAAAAAAAAAAEAIAAAAB8BAABkcnMvZTJvRG9j&#10;LnhtbFBLBQYAAAAABgAGAFkBAADLBQAAAAA=&#10;">
              <v:fill on="f" focussize="0,0"/>
              <v:stroke on="f" weight="0.5pt"/>
              <v:imagedata o:title=""/>
              <o:lock v:ext="edit" aspectratio="f"/>
              <v:textbox inset="0mm,0mm,0mm,0mm" style="mso-fit-shape-to-text:t;">
                <w:txbxContent>
                  <w:p w14:paraId="76C6D60C">
                    <w:pPr>
                      <w:pStyle w:val="10"/>
                    </w:pPr>
                    <w:r>
                      <w:fldChar w:fldCharType="begin"/>
                    </w:r>
                    <w:r>
                      <w:instrText xml:space="preserve"> PAGE  \* MERGEFORMAT </w:instrText>
                    </w:r>
                    <w:r>
                      <w:fldChar w:fldCharType="separate"/>
                    </w:r>
                    <w:r>
                      <w:t>189</w:t>
                    </w:r>
                    <w:r>
                      <w:fldChar w:fldCharType="end"/>
                    </w:r>
                  </w:p>
                </w:txbxContent>
              </v:textbox>
            </v:shape>
          </w:pict>
        </mc:Fallback>
      </mc:AlternateConten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81C1C">
    <w:pPr>
      <w:pStyle w:val="10"/>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5E579A">
                          <w:pPr>
                            <w:pStyle w:val="10"/>
                          </w:pPr>
                          <w:r>
                            <w:fldChar w:fldCharType="begin"/>
                          </w:r>
                          <w:r>
                            <w:instrText xml:space="preserve"> PAGE  \* MERGEFORMAT </w:instrText>
                          </w:r>
                          <w:r>
                            <w:fldChar w:fldCharType="separate"/>
                          </w:r>
                          <w:r>
                            <w:t>190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kJi46AgAAc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fpCYuOgIAAHMEAAAOAAAAAAAAAAEAIAAAAB8BAABkcnMvZTJvRG9j&#10;LnhtbFBLBQYAAAAABgAGAFkBAADLBQAAAAA=&#10;">
              <v:fill on="f" focussize="0,0"/>
              <v:stroke on="f" weight="0.5pt"/>
              <v:imagedata o:title=""/>
              <o:lock v:ext="edit" aspectratio="f"/>
              <v:textbox inset="0mm,0mm,0mm,0mm" style="mso-fit-shape-to-text:t;">
                <w:txbxContent>
                  <w:p w14:paraId="5B5E579A">
                    <w:pPr>
                      <w:pStyle w:val="10"/>
                    </w:pPr>
                    <w:r>
                      <w:fldChar w:fldCharType="begin"/>
                    </w:r>
                    <w:r>
                      <w:instrText xml:space="preserve"> PAGE  \* MERGEFORMAT </w:instrText>
                    </w:r>
                    <w:r>
                      <w:fldChar w:fldCharType="separate"/>
                    </w:r>
                    <w:r>
                      <w:t>190</w:t>
                    </w:r>
                    <w:r>
                      <w:fldChar w:fldCharType="end"/>
                    </w:r>
                  </w:p>
                </w:txbxContent>
              </v:textbox>
            </v:shape>
          </w:pict>
        </mc:Fallback>
      </mc:AlternateConten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51FF3">
    <w:pPr>
      <w:pStyle w:val="1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4" name="文本框 1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3646E6F">
                          <w:pPr>
                            <w:pStyle w:val="10"/>
                          </w:pPr>
                          <w:r>
                            <w:fldChar w:fldCharType="begin"/>
                          </w:r>
                          <w:r>
                            <w:instrText xml:space="preserve"> PAGE  \* MERGEFORMAT </w:instrText>
                          </w:r>
                          <w:r>
                            <w:fldChar w:fldCharType="separate"/>
                          </w:r>
                          <w:r>
                            <w:t>191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9ui8M6AgAAcwQAAA4AAABkcnMvZTJvRG9jLnhtbK1UzY7TMBC+I/EO&#10;lu80aWFX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A/bovDOgIAAHMEAAAOAAAAAAAAAAEAIAAAAB8BAABkcnMvZTJvRG9j&#10;LnhtbFBLBQYAAAAABgAGAFkBAADLBQAAAAA=&#10;">
              <v:fill on="f" focussize="0,0"/>
              <v:stroke on="f" weight="0.5pt"/>
              <v:imagedata o:title=""/>
              <o:lock v:ext="edit" aspectratio="f"/>
              <v:textbox inset="0mm,0mm,0mm,0mm" style="mso-fit-shape-to-text:t;">
                <w:txbxContent>
                  <w:p w14:paraId="03646E6F">
                    <w:pPr>
                      <w:pStyle w:val="10"/>
                    </w:pPr>
                    <w:r>
                      <w:fldChar w:fldCharType="begin"/>
                    </w:r>
                    <w:r>
                      <w:instrText xml:space="preserve"> PAGE  \* MERGEFORMAT </w:instrText>
                    </w:r>
                    <w:r>
                      <w:fldChar w:fldCharType="separate"/>
                    </w:r>
                    <w:r>
                      <w:t>191</w:t>
                    </w:r>
                    <w:r>
                      <w:fldChar w:fldCharType="end"/>
                    </w:r>
                  </w:p>
                </w:txbxContent>
              </v:textbox>
            </v:shape>
          </w:pict>
        </mc:Fallback>
      </mc:AlternateConten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CE2CF">
    <w:pPr>
      <w:pStyle w:val="1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5" name="文本框 1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1C350FF">
                          <w:pPr>
                            <w:pStyle w:val="10"/>
                          </w:pPr>
                          <w:r>
                            <w:fldChar w:fldCharType="begin"/>
                          </w:r>
                          <w:r>
                            <w:instrText xml:space="preserve"> PAGE  \* MERGEFORMAT </w:instrText>
                          </w:r>
                          <w:r>
                            <w:fldChar w:fldCharType="separate"/>
                          </w:r>
                          <w:r>
                            <w:t>192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ZJGs5AgAAc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KmZJGs5AgAAcwQAAA4AAAAAAAAAAQAgAAAAHwEAAGRycy9lMm9Eb2Mu&#10;eG1sUEsFBgAAAAAGAAYAWQEAAMoFAAAAAA==&#10;">
              <v:fill on="f" focussize="0,0"/>
              <v:stroke on="f" weight="0.5pt"/>
              <v:imagedata o:title=""/>
              <o:lock v:ext="edit" aspectratio="f"/>
              <v:textbox inset="0mm,0mm,0mm,0mm" style="mso-fit-shape-to-text:t;">
                <w:txbxContent>
                  <w:p w14:paraId="41C350FF">
                    <w:pPr>
                      <w:pStyle w:val="10"/>
                    </w:pPr>
                    <w:r>
                      <w:fldChar w:fldCharType="begin"/>
                    </w:r>
                    <w:r>
                      <w:instrText xml:space="preserve"> PAGE  \* MERGEFORMAT </w:instrText>
                    </w:r>
                    <w:r>
                      <w:fldChar w:fldCharType="separate"/>
                    </w:r>
                    <w:r>
                      <w:t>192</w:t>
                    </w:r>
                    <w:r>
                      <w:fldChar w:fldCharType="end"/>
                    </w:r>
                  </w:p>
                </w:txbxContent>
              </v:textbox>
            </v:shape>
          </w:pict>
        </mc:Fallback>
      </mc:AlternateConten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B4393">
    <w:pPr>
      <w:pStyle w:val="10"/>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6" name="文本框 1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7E8C445">
                          <w:pPr>
                            <w:pStyle w:val="10"/>
                          </w:pPr>
                          <w:r>
                            <w:fldChar w:fldCharType="begin"/>
                          </w:r>
                          <w:r>
                            <w:instrText xml:space="preserve"> PAGE  \* MERGEFORMAT </w:instrText>
                          </w:r>
                          <w:r>
                            <w:fldChar w:fldCharType="separate"/>
                          </w:r>
                          <w:r>
                            <w:t>193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FKHpUk5AgAAcwQAAA4AAAAAAAAAAQAgAAAAHwEAAGRycy9lMm9Eb2Mu&#10;eG1sUEsFBgAAAAAGAAYAWQEAAMoFAAAAAA==&#10;">
              <v:fill on="f" focussize="0,0"/>
              <v:stroke on="f" weight="0.5pt"/>
              <v:imagedata o:title=""/>
              <o:lock v:ext="edit" aspectratio="f"/>
              <v:textbox inset="0mm,0mm,0mm,0mm" style="mso-fit-shape-to-text:t;">
                <w:txbxContent>
                  <w:p w14:paraId="37E8C445">
                    <w:pPr>
                      <w:pStyle w:val="10"/>
                    </w:pPr>
                    <w:r>
                      <w:fldChar w:fldCharType="begin"/>
                    </w:r>
                    <w:r>
                      <w:instrText xml:space="preserve"> PAGE  \* MERGEFORMAT </w:instrText>
                    </w:r>
                    <w:r>
                      <w:fldChar w:fldCharType="separate"/>
                    </w:r>
                    <w:r>
                      <w:t>193</w:t>
                    </w:r>
                    <w:r>
                      <w:fldChar w:fldCharType="end"/>
                    </w:r>
                  </w:p>
                </w:txbxContent>
              </v:textbox>
            </v:shape>
          </w:pict>
        </mc:Fallback>
      </mc:AlternateConten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DDBFD">
    <w:pPr>
      <w:pStyle w:val="10"/>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7" name="文本框 1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8122593">
                          <w:pPr>
                            <w:pStyle w:val="10"/>
                          </w:pPr>
                          <w:r>
                            <w:fldChar w:fldCharType="begin"/>
                          </w:r>
                          <w:r>
                            <w:instrText xml:space="preserve"> PAGE  \* MERGEFORMAT </w:instrText>
                          </w:r>
                          <w:r>
                            <w:fldChar w:fldCharType="separate"/>
                          </w:r>
                          <w:r>
                            <w:t>194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wCuE6AgAAcw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EcArhOgIAAHMEAAAOAAAAAAAAAAEAIAAAAB8BAABkcnMvZTJvRG9j&#10;LnhtbFBLBQYAAAAABgAGAFkBAADLBQAAAAA=&#10;">
              <v:fill on="f" focussize="0,0"/>
              <v:stroke on="f" weight="0.5pt"/>
              <v:imagedata o:title=""/>
              <o:lock v:ext="edit" aspectratio="f"/>
              <v:textbox inset="0mm,0mm,0mm,0mm" style="mso-fit-shape-to-text:t;">
                <w:txbxContent>
                  <w:p w14:paraId="78122593">
                    <w:pPr>
                      <w:pStyle w:val="10"/>
                    </w:pPr>
                    <w:r>
                      <w:fldChar w:fldCharType="begin"/>
                    </w:r>
                    <w:r>
                      <w:instrText xml:space="preserve"> PAGE  \* MERGEFORMAT </w:instrText>
                    </w:r>
                    <w:r>
                      <w:fldChar w:fldCharType="separate"/>
                    </w:r>
                    <w:r>
                      <w:t>194</w:t>
                    </w:r>
                    <w:r>
                      <w:fldChar w:fldCharType="end"/>
                    </w:r>
                  </w:p>
                </w:txbxContent>
              </v:textbox>
            </v:shape>
          </w:pict>
        </mc:Fallback>
      </mc:AlternateConten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85AF6">
    <w:pPr>
      <w:pStyle w:val="10"/>
    </w:pPr>
    <w:r>
      <w:rPr>
        <w:sz w:val="18"/>
      </w:rPr>
      <mc:AlternateContent>
        <mc:Choice Requires="wps">
          <w:drawing>
            <wp:anchor distT="0" distB="0" distL="114300" distR="114300" simplePos="0" relativeHeight="2517800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F0C39">
                          <w:pPr>
                            <w:pStyle w:val="10"/>
                          </w:pPr>
                          <w:r>
                            <w:fldChar w:fldCharType="begin"/>
                          </w:r>
                          <w:r>
                            <w:instrText xml:space="preserve"> PAGE  \* MERGEFORMAT </w:instrText>
                          </w:r>
                          <w:r>
                            <w:fldChar w:fldCharType="separate"/>
                          </w:r>
                          <w:r>
                            <w:t>174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00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oMx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woMxMzAgAAZQQAAA4AAAAAAAAAAQAgAAAAHwEAAGRycy9lMm9Eb2MueG1sUEsF&#10;BgAAAAAGAAYAWQEAAMQFAAAAAA==&#10;">
              <v:fill on="f" focussize="0,0"/>
              <v:stroke on="f" weight="0.5pt"/>
              <v:imagedata o:title=""/>
              <o:lock v:ext="edit" aspectratio="f"/>
              <v:textbox inset="0mm,0mm,0mm,0mm" style="mso-fit-shape-to-text:t;">
                <w:txbxContent>
                  <w:p w14:paraId="011F0C39">
                    <w:pPr>
                      <w:pStyle w:val="10"/>
                    </w:pPr>
                    <w:r>
                      <w:fldChar w:fldCharType="begin"/>
                    </w:r>
                    <w:r>
                      <w:instrText xml:space="preserve"> PAGE  \* MERGEFORMAT </w:instrText>
                    </w:r>
                    <w:r>
                      <w:fldChar w:fldCharType="separate"/>
                    </w:r>
                    <w:r>
                      <w:t>174</w:t>
                    </w:r>
                    <w:r>
                      <w:fldChar w:fldCharType="end"/>
                    </w:r>
                  </w:p>
                </w:txbxContent>
              </v:textbox>
            </v:shape>
          </w:pict>
        </mc:Fallback>
      </mc:AlternateConten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3C5B0">
    <w:pPr>
      <w:pStyle w:val="10"/>
    </w:pPr>
    <w:r>
      <w:rPr>
        <w:sz w:val="18"/>
      </w:rPr>
      <mc:AlternateContent>
        <mc:Choice Requires="wps">
          <w:drawing>
            <wp:anchor distT="0" distB="0" distL="114300" distR="114300" simplePos="0" relativeHeight="2517811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DF16B7">
                          <w:pPr>
                            <w:pStyle w:val="10"/>
                          </w:pPr>
                          <w:r>
                            <w:fldChar w:fldCharType="begin"/>
                          </w:r>
                          <w:r>
                            <w:instrText xml:space="preserve"> PAGE  \* MERGEFORMAT </w:instrText>
                          </w:r>
                          <w:r>
                            <w:fldChar w:fldCharType="separate"/>
                          </w:r>
                          <w:r>
                            <w:t>175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11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UrY8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3lK2PNAIAAGUEAAAOAAAAAAAAAAEAIAAAAB8BAABkcnMvZTJvRG9jLnhtbFBL&#10;BQYAAAAABgAGAFkBAADFBQAAAAA=&#10;">
              <v:fill on="f" focussize="0,0"/>
              <v:stroke on="f" weight="0.5pt"/>
              <v:imagedata o:title=""/>
              <o:lock v:ext="edit" aspectratio="f"/>
              <v:textbox inset="0mm,0mm,0mm,0mm" style="mso-fit-shape-to-text:t;">
                <w:txbxContent>
                  <w:p w14:paraId="1EDF16B7">
                    <w:pPr>
                      <w:pStyle w:val="10"/>
                    </w:pPr>
                    <w:r>
                      <w:fldChar w:fldCharType="begin"/>
                    </w:r>
                    <w:r>
                      <w:instrText xml:space="preserve"> PAGE  \* MERGEFORMAT </w:instrText>
                    </w:r>
                    <w:r>
                      <w:fldChar w:fldCharType="separate"/>
                    </w:r>
                    <w:r>
                      <w:t>175</w:t>
                    </w:r>
                    <w:r>
                      <w:fldChar w:fldCharType="end"/>
                    </w:r>
                  </w:p>
                </w:txbxContent>
              </v:textbox>
            </v:shape>
          </w:pict>
        </mc:Fallback>
      </mc:AlternateConten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92481">
    <w:pPr>
      <w:pStyle w:val="10"/>
    </w:pPr>
    <w:r>
      <w:rPr>
        <w:sz w:val="18"/>
      </w:rPr>
      <mc:AlternateContent>
        <mc:Choice Requires="wps">
          <w:drawing>
            <wp:anchor distT="0" distB="0" distL="114300" distR="114300" simplePos="0" relativeHeight="251782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642885">
                          <w:pPr>
                            <w:pStyle w:val="10"/>
                          </w:pPr>
                          <w:r>
                            <w:fldChar w:fldCharType="begin"/>
                          </w:r>
                          <w:r>
                            <w:instrText xml:space="preserve"> PAGE  \* MERGEFORMAT </w:instrText>
                          </w:r>
                          <w:r>
                            <w:fldChar w:fldCharType="separate"/>
                          </w:r>
                          <w:r>
                            <w:t>176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21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4HPY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Bz2NAIAAGUEAAAOAAAAAAAAAAEAIAAAAB8BAABkcnMvZTJvRG9jLnhtbFBL&#10;BQYAAAAABgAGAFkBAADFBQAAAAA=&#10;">
              <v:fill on="f" focussize="0,0"/>
              <v:stroke on="f" weight="0.5pt"/>
              <v:imagedata o:title=""/>
              <o:lock v:ext="edit" aspectratio="f"/>
              <v:textbox inset="0mm,0mm,0mm,0mm" style="mso-fit-shape-to-text:t;">
                <w:txbxContent>
                  <w:p w14:paraId="27642885">
                    <w:pPr>
                      <w:pStyle w:val="10"/>
                    </w:pPr>
                    <w:r>
                      <w:fldChar w:fldCharType="begin"/>
                    </w:r>
                    <w:r>
                      <w:instrText xml:space="preserve"> PAGE  \* MERGEFORMAT </w:instrText>
                    </w:r>
                    <w:r>
                      <w:fldChar w:fldCharType="separate"/>
                    </w:r>
                    <w:r>
                      <w:t>176</w:t>
                    </w:r>
                    <w:r>
                      <w:fldChar w:fldCharType="end"/>
                    </w:r>
                  </w:p>
                </w:txbxContent>
              </v:textbox>
            </v:shape>
          </w:pict>
        </mc:Fallback>
      </mc:AlternateConten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02042">
    <w:pPr>
      <w:pStyle w:val="10"/>
    </w:pPr>
    <w:r>
      <w:rPr>
        <w:sz w:val="18"/>
      </w:rPr>
      <mc:AlternateContent>
        <mc:Choice Requires="wps">
          <w:drawing>
            <wp:anchor distT="0" distB="0" distL="114300" distR="114300" simplePos="0" relativeHeight="251783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1" name="文本框 2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9C9547">
                          <w:pPr>
                            <w:pStyle w:val="10"/>
                          </w:pPr>
                          <w:r>
                            <w:fldChar w:fldCharType="begin"/>
                          </w:r>
                          <w:r>
                            <w:instrText xml:space="preserve"> PAGE  \* MERGEFORMAT </w:instrText>
                          </w:r>
                          <w:r>
                            <w:fldChar w:fldCharType="separate"/>
                          </w:r>
                          <w:r>
                            <w:t>177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31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Egmo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dHo1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FRIJqNAIAAGUEAAAOAAAAAAAAAAEAIAAAAB8BAABkcnMvZTJvRG9jLnhtbFBL&#10;BQYAAAAABgAGAFkBAADFBQAAAAA=&#10;">
              <v:fill on="f" focussize="0,0"/>
              <v:stroke on="f" weight="0.5pt"/>
              <v:imagedata o:title=""/>
              <o:lock v:ext="edit" aspectratio="f"/>
              <v:textbox inset="0mm,0mm,0mm,0mm" style="mso-fit-shape-to-text:t;">
                <w:txbxContent>
                  <w:p w14:paraId="3B9C9547">
                    <w:pPr>
                      <w:pStyle w:val="10"/>
                    </w:pPr>
                    <w:r>
                      <w:fldChar w:fldCharType="begin"/>
                    </w:r>
                    <w:r>
                      <w:instrText xml:space="preserve"> PAGE  \* MERGEFORMAT </w:instrText>
                    </w:r>
                    <w:r>
                      <w:fldChar w:fldCharType="separate"/>
                    </w:r>
                    <w:r>
                      <w:t>177</w:t>
                    </w:r>
                    <w:r>
                      <w:fldChar w:fldCharType="end"/>
                    </w:r>
                  </w:p>
                </w:txbxContent>
              </v:textbox>
            </v:shape>
          </w:pict>
        </mc:Fallback>
      </mc:AlternateConten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BECB9">
    <w:pPr>
      <w:pStyle w:val="10"/>
    </w:pPr>
    <w:r>
      <w:rPr>
        <w:sz w:val="18"/>
      </w:rPr>
      <mc:AlternateContent>
        <mc:Choice Requires="wps">
          <w:drawing>
            <wp:anchor distT="0" distB="0" distL="114300" distR="114300" simplePos="0" relativeHeight="251784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99A64C">
                          <w:pPr>
                            <w:pStyle w:val="10"/>
                          </w:pPr>
                          <w:r>
                            <w:fldChar w:fldCharType="begin"/>
                          </w:r>
                          <w:r>
                            <w:instrText xml:space="preserve"> PAGE  \* MERGEFORMAT </w:instrText>
                          </w:r>
                          <w:r>
                            <w:fldChar w:fldCharType="separate"/>
                          </w:r>
                          <w:r>
                            <w:t>178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841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mGUBQ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OrK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5hlAUNAIAAGUEAAAOAAAAAAAAAAEAIAAAAB8BAABkcnMvZTJvRG9jLnhtbFBL&#10;BQYAAAAABgAGAFkBAADFBQAAAAA=&#10;">
              <v:fill on="f" focussize="0,0"/>
              <v:stroke on="f" weight="0.5pt"/>
              <v:imagedata o:title=""/>
              <o:lock v:ext="edit" aspectratio="f"/>
              <v:textbox inset="0mm,0mm,0mm,0mm" style="mso-fit-shape-to-text:t;">
                <w:txbxContent>
                  <w:p w14:paraId="7999A64C">
                    <w:pPr>
                      <w:pStyle w:val="10"/>
                    </w:pPr>
                    <w:r>
                      <w:fldChar w:fldCharType="begin"/>
                    </w:r>
                    <w:r>
                      <w:instrText xml:space="preserve"> PAGE  \* MERGEFORMAT </w:instrText>
                    </w:r>
                    <w:r>
                      <w:fldChar w:fldCharType="separate"/>
                    </w:r>
                    <w:r>
                      <w:t>178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5387F">
    <w:pPr>
      <w:spacing w:before="74" w:line="211" w:lineRule="auto"/>
      <w:ind w:left="5"/>
      <w:rPr>
        <w:rFonts w:ascii="宋体" w:hAnsi="宋体" w:eastAsia="宋体" w:cs="宋体"/>
        <w:strike/>
        <w:dstrike w:val="0"/>
        <w:sz w:val="25"/>
        <w:szCs w:val="25"/>
        <w:u w:val="none"/>
      </w:rPr>
    </w:pPr>
    <w:r>
      <w:rPr>
        <w:rFonts w:ascii="宋体" w:hAnsi="宋体" w:eastAsia="宋体" w:cs="宋体"/>
        <w:strike/>
        <w:dstrike w:val="0"/>
        <w:spacing w:val="-13"/>
        <w:sz w:val="24"/>
        <w:szCs w:val="24"/>
        <w:u w:val="none"/>
      </w:rPr>
      <w:t xml:space="preserve">则采用 </w:t>
    </w:r>
    <w:r>
      <w:rPr>
        <w:rFonts w:ascii="宋体" w:hAnsi="宋体" w:eastAsia="宋体" w:cs="宋体"/>
        <w:i/>
        <w:iCs/>
        <w:strike/>
        <w:dstrike w:val="0"/>
        <w:spacing w:val="-13"/>
        <w:sz w:val="25"/>
        <w:szCs w:val="25"/>
        <w:u w:val="none"/>
      </w:rPr>
      <w:t>□抽签抽取□报价低者（报价相同</w:t>
    </w:r>
    <w:r>
      <w:rPr>
        <w:rFonts w:ascii="宋体" w:hAnsi="宋体" w:eastAsia="宋体" w:cs="宋体"/>
        <w:i/>
        <w:iCs/>
        <w:strike/>
        <w:dstrike w:val="0"/>
        <w:spacing w:val="-14"/>
        <w:sz w:val="25"/>
        <w:szCs w:val="25"/>
        <w:u w:val="none"/>
      </w:rPr>
      <w:t>时抽签抽取</w:t>
    </w:r>
    <w:r>
      <w:rPr>
        <w:rFonts w:ascii="Times New Roman" w:hAnsi="Times New Roman" w:eastAsia="Times New Roman" w:cs="Times New Roman"/>
        <w:i/>
        <w:iCs/>
        <w:strike/>
        <w:dstrike w:val="0"/>
        <w:spacing w:val="-14"/>
        <w:sz w:val="24"/>
        <w:szCs w:val="24"/>
        <w:u w:val="none"/>
      </w:rPr>
      <w:t>1</w:t>
    </w:r>
    <w:r>
      <w:rPr>
        <w:rFonts w:ascii="宋体" w:hAnsi="宋体" w:eastAsia="宋体" w:cs="宋体"/>
        <w:i/>
        <w:iCs/>
        <w:strike/>
        <w:dstrike w:val="0"/>
        <w:spacing w:val="-14"/>
        <w:sz w:val="25"/>
        <w:szCs w:val="25"/>
        <w:u w:val="none"/>
      </w:rPr>
      <w:t>个中标候选人）</w:t>
    </w:r>
    <w:r>
      <w:rPr>
        <w:rFonts w:ascii="宋体" w:hAnsi="宋体" w:eastAsia="宋体" w:cs="宋体"/>
        <w:strike/>
        <w:dstrike w:val="0"/>
        <w:spacing w:val="-14"/>
        <w:sz w:val="25"/>
        <w:szCs w:val="25"/>
        <w:u w:val="none"/>
      </w:rPr>
      <w:t xml:space="preserve"> </w:t>
    </w:r>
    <w:r>
      <w:rPr>
        <w:rFonts w:ascii="宋体" w:hAnsi="宋体" w:eastAsia="宋体" w:cs="宋体"/>
        <w:i/>
        <w:iCs/>
        <w:strike/>
        <w:dstrike w:val="0"/>
        <w:spacing w:val="-14"/>
        <w:sz w:val="25"/>
        <w:szCs w:val="25"/>
        <w:u w:val="none"/>
      </w:rPr>
      <w:t>□由招标人法</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C1AF4">
    <w:pPr>
      <w:pStyle w:val="1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DB6DB">
    <w:pPr>
      <w:spacing w:before="74" w:line="211" w:lineRule="auto"/>
      <w:ind w:left="5"/>
      <w:rPr>
        <w:rFonts w:ascii="宋体" w:hAnsi="宋体" w:eastAsia="宋体" w:cs="宋体"/>
        <w:sz w:val="25"/>
        <w:szCs w:val="25"/>
      </w:rPr>
    </w:pPr>
    <w:r>
      <w:rPr>
        <w:rFonts w:ascii="宋体" w:hAnsi="宋体" w:eastAsia="宋体" w:cs="宋体"/>
        <w:spacing w:val="-13"/>
        <w:sz w:val="24"/>
        <w:szCs w:val="24"/>
      </w:rPr>
      <w:t xml:space="preserve">则采用 </w:t>
    </w:r>
    <w:r>
      <w:rPr>
        <w:rFonts w:ascii="宋体" w:hAnsi="宋体" w:eastAsia="宋体" w:cs="宋体"/>
        <w:i/>
        <w:iCs/>
        <w:spacing w:val="-13"/>
        <w:sz w:val="25"/>
        <w:szCs w:val="25"/>
      </w:rPr>
      <w:t>□抽签抽取□报价低者（报价相同</w:t>
    </w:r>
    <w:r>
      <w:rPr>
        <w:rFonts w:ascii="宋体" w:hAnsi="宋体" w:eastAsia="宋体" w:cs="宋体"/>
        <w:i/>
        <w:iCs/>
        <w:spacing w:val="-14"/>
        <w:sz w:val="25"/>
        <w:szCs w:val="25"/>
      </w:rPr>
      <w:t>时抽签抽取</w:t>
    </w:r>
    <w:r>
      <w:rPr>
        <w:rFonts w:ascii="Times New Roman" w:hAnsi="Times New Roman" w:eastAsia="Times New Roman" w:cs="Times New Roman"/>
        <w:i/>
        <w:iCs/>
        <w:spacing w:val="-14"/>
        <w:sz w:val="24"/>
        <w:szCs w:val="24"/>
      </w:rPr>
      <w:t>1</w:t>
    </w:r>
    <w:r>
      <w:rPr>
        <w:rFonts w:ascii="宋体" w:hAnsi="宋体" w:eastAsia="宋体" w:cs="宋体"/>
        <w:i/>
        <w:iCs/>
        <w:spacing w:val="-14"/>
        <w:sz w:val="25"/>
        <w:szCs w:val="25"/>
      </w:rPr>
      <w:t>个中标候选人）</w:t>
    </w:r>
    <w:r>
      <w:rPr>
        <w:rFonts w:ascii="宋体" w:hAnsi="宋体" w:eastAsia="宋体" w:cs="宋体"/>
        <w:spacing w:val="-14"/>
        <w:sz w:val="25"/>
        <w:szCs w:val="25"/>
      </w:rPr>
      <w:t xml:space="preserve"> </w:t>
    </w:r>
    <w:r>
      <w:rPr>
        <w:rFonts w:ascii="宋体" w:hAnsi="宋体" w:eastAsia="宋体" w:cs="宋体"/>
        <w:i/>
        <w:iCs/>
        <w:spacing w:val="-14"/>
        <w:sz w:val="25"/>
        <w:szCs w:val="25"/>
      </w:rPr>
      <w:t>□由招标人法</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A6F90">
    <w:pPr>
      <w:pStyle w:val="1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B992F">
    <w:pPr>
      <w:pStyle w:val="11"/>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72198">
    <w:pPr>
      <w:pStyle w:val="11"/>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8CAAD">
    <w:pPr>
      <w:pStyle w:val="11"/>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C1067">
    <w:pPr>
      <w:pStyle w:val="11"/>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8F3F8">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408733"/>
    <w:multiLevelType w:val="singleLevel"/>
    <w:tmpl w:val="A8408733"/>
    <w:lvl w:ilvl="0" w:tentative="0">
      <w:start w:val="2"/>
      <w:numFmt w:val="decimal"/>
      <w:suff w:val="nothing"/>
      <w:lvlText w:val="%1）"/>
      <w:lvlJc w:val="left"/>
    </w:lvl>
  </w:abstractNum>
  <w:abstractNum w:abstractNumId="1">
    <w:nsid w:val="F7FAEE2A"/>
    <w:multiLevelType w:val="singleLevel"/>
    <w:tmpl w:val="F7FAEE2A"/>
    <w:lvl w:ilvl="0" w:tentative="0">
      <w:start w:val="2"/>
      <w:numFmt w:val="decimal"/>
      <w:suff w:val="nothing"/>
      <w:lvlText w:val="（%1）"/>
      <w:lvlJc w:val="left"/>
    </w:lvl>
  </w:abstractNum>
  <w:abstractNum w:abstractNumId="2">
    <w:nsid w:val="FD7F0B3C"/>
    <w:multiLevelType w:val="singleLevel"/>
    <w:tmpl w:val="FD7F0B3C"/>
    <w:lvl w:ilvl="0" w:tentative="0">
      <w:start w:val="1"/>
      <w:numFmt w:val="decimal"/>
      <w:suff w:val="space"/>
      <w:lvlText w:val="%1."/>
      <w:lvlJc w:val="left"/>
    </w:lvl>
  </w:abstractNum>
  <w:abstractNum w:abstractNumId="3">
    <w:nsid w:val="0E08FA5C"/>
    <w:multiLevelType w:val="singleLevel"/>
    <w:tmpl w:val="0E08FA5C"/>
    <w:lvl w:ilvl="0" w:tentative="0">
      <w:start w:val="1"/>
      <w:numFmt w:val="decimal"/>
      <w:lvlText w:val="(%1)"/>
      <w:lvlJc w:val="left"/>
      <w:pPr>
        <w:ind w:left="425" w:hanging="425"/>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6F131F4"/>
    <w:rsid w:val="074107DA"/>
    <w:rsid w:val="077B0190"/>
    <w:rsid w:val="08043A95"/>
    <w:rsid w:val="09336F61"/>
    <w:rsid w:val="0B8D0CEB"/>
    <w:rsid w:val="0D4B4306"/>
    <w:rsid w:val="0DB20DDC"/>
    <w:rsid w:val="153208D9"/>
    <w:rsid w:val="168F7E12"/>
    <w:rsid w:val="16B0772A"/>
    <w:rsid w:val="183A68DF"/>
    <w:rsid w:val="18790C37"/>
    <w:rsid w:val="191C7400"/>
    <w:rsid w:val="196071E6"/>
    <w:rsid w:val="19E85E48"/>
    <w:rsid w:val="1A0E1FB2"/>
    <w:rsid w:val="1C7A5F2C"/>
    <w:rsid w:val="1E3C6E79"/>
    <w:rsid w:val="1F1F3C4D"/>
    <w:rsid w:val="24050A06"/>
    <w:rsid w:val="26AF3626"/>
    <w:rsid w:val="27532DB6"/>
    <w:rsid w:val="288A1B89"/>
    <w:rsid w:val="2C6E6774"/>
    <w:rsid w:val="2FE7286F"/>
    <w:rsid w:val="320D55D9"/>
    <w:rsid w:val="35747290"/>
    <w:rsid w:val="386B671F"/>
    <w:rsid w:val="3B695DBA"/>
    <w:rsid w:val="3C8623C3"/>
    <w:rsid w:val="3EDB1EAC"/>
    <w:rsid w:val="48C42D87"/>
    <w:rsid w:val="4CAE1A3B"/>
    <w:rsid w:val="52C61273"/>
    <w:rsid w:val="537D55F2"/>
    <w:rsid w:val="54D264E2"/>
    <w:rsid w:val="55545149"/>
    <w:rsid w:val="55F81F79"/>
    <w:rsid w:val="56A45C5C"/>
    <w:rsid w:val="5776389C"/>
    <w:rsid w:val="57DC79E0"/>
    <w:rsid w:val="58AE2DC2"/>
    <w:rsid w:val="59DB67B6"/>
    <w:rsid w:val="5C8833E1"/>
    <w:rsid w:val="5CB02046"/>
    <w:rsid w:val="5FF612D7"/>
    <w:rsid w:val="62145A44"/>
    <w:rsid w:val="62A414BE"/>
    <w:rsid w:val="644A5103"/>
    <w:rsid w:val="65FD7222"/>
    <w:rsid w:val="6B296AAC"/>
    <w:rsid w:val="6BCC614C"/>
    <w:rsid w:val="6D627B71"/>
    <w:rsid w:val="6E182D60"/>
    <w:rsid w:val="6F225EB8"/>
    <w:rsid w:val="6FE44609"/>
    <w:rsid w:val="71873E12"/>
    <w:rsid w:val="729A0E95"/>
    <w:rsid w:val="75FD4F93"/>
    <w:rsid w:val="7919228F"/>
    <w:rsid w:val="7FFFA6A6"/>
    <w:rsid w:val="FFBF8C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tabs>
        <w:tab w:val="left" w:pos="360"/>
      </w:tabs>
      <w:adjustRightInd w:val="0"/>
      <w:snapToGrid w:val="0"/>
      <w:ind w:firstLine="420"/>
    </w:pPr>
    <w:rPr>
      <w:rFonts w:hAnsi="宋体" w:eastAsia="宋体" w:cs="Times New Roman"/>
    </w:rPr>
  </w:style>
  <w:style w:type="paragraph" w:styleId="3">
    <w:name w:val="Body Text Indent"/>
    <w:basedOn w:val="1"/>
    <w:next w:val="4"/>
    <w:qFormat/>
    <w:uiPriority w:val="0"/>
    <w:pPr>
      <w:spacing w:line="360" w:lineRule="auto"/>
      <w:ind w:firstLine="480"/>
    </w:pPr>
    <w:rPr>
      <w:rFonts w:ascii="宋体"/>
      <w:sz w:val="24"/>
    </w:rPr>
  </w:style>
  <w:style w:type="paragraph" w:styleId="4">
    <w:name w:val="envelope return"/>
    <w:basedOn w:val="1"/>
    <w:qFormat/>
    <w:uiPriority w:val="99"/>
    <w:rPr>
      <w:rFonts w:ascii="Arial" w:hAnsi="Arial"/>
    </w:rPr>
  </w:style>
  <w:style w:type="paragraph" w:styleId="5">
    <w:name w:val="Body Text Indent 2"/>
    <w:basedOn w:val="1"/>
    <w:next w:val="6"/>
    <w:unhideWhenUsed/>
    <w:qFormat/>
    <w:uiPriority w:val="99"/>
    <w:pPr>
      <w:spacing w:after="120" w:line="480" w:lineRule="auto"/>
      <w:ind w:left="420" w:leftChars="200"/>
    </w:pPr>
  </w:style>
  <w:style w:type="paragraph" w:styleId="6">
    <w:name w:val="index 9"/>
    <w:basedOn w:val="1"/>
    <w:next w:val="1"/>
    <w:semiHidden/>
    <w:qFormat/>
    <w:uiPriority w:val="0"/>
    <w:pPr>
      <w:ind w:left="1600" w:leftChars="1600"/>
    </w:pPr>
  </w:style>
  <w:style w:type="paragraph" w:styleId="7">
    <w:name w:val="Normal Indent"/>
    <w:basedOn w:val="1"/>
    <w:qFormat/>
    <w:uiPriority w:val="0"/>
    <w:pPr>
      <w:ind w:firstLine="488"/>
    </w:pPr>
  </w:style>
  <w:style w:type="paragraph" w:styleId="8">
    <w:name w:val="Body Text"/>
    <w:basedOn w:val="1"/>
    <w:semiHidden/>
    <w:qFormat/>
    <w:uiPriority w:val="0"/>
    <w:rPr>
      <w:rFonts w:ascii="Arial" w:hAnsi="Arial" w:eastAsia="Arial" w:cs="Arial"/>
      <w:sz w:val="21"/>
      <w:szCs w:val="21"/>
      <w:lang w:val="en-US" w:eastAsia="en-US" w:bidi="ar-SA"/>
    </w:rPr>
  </w:style>
  <w:style w:type="paragraph" w:styleId="9">
    <w:name w:val="Plain Text"/>
    <w:basedOn w:val="1"/>
    <w:unhideWhenUsed/>
    <w:qFormat/>
    <w:uiPriority w:val="99"/>
    <w:pPr>
      <w:autoSpaceDN/>
      <w:adjustRightInd/>
      <w:jc w:val="both"/>
    </w:pPr>
    <w:rPr>
      <w:rFonts w:ascii="宋体" w:hAnsi="Courier New"/>
      <w:sz w:val="20"/>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2"/>
    <w:basedOn w:val="1"/>
    <w:qFormat/>
    <w:uiPriority w:val="0"/>
    <w:pPr>
      <w:spacing w:line="360" w:lineRule="auto"/>
      <w:jc w:val="center"/>
    </w:pPr>
    <w:rPr>
      <w:rFonts w:ascii="宋体"/>
      <w:szCs w:val="20"/>
    </w:rPr>
  </w:style>
  <w:style w:type="paragraph" w:styleId="13">
    <w:name w:val="Normal (Web)"/>
    <w:basedOn w:val="1"/>
    <w:qFormat/>
    <w:uiPriority w:val="99"/>
    <w:pPr>
      <w:widowControl/>
      <w:autoSpaceDE/>
      <w:autoSpaceDN/>
      <w:adjustRightInd/>
      <w:spacing w:before="100" w:beforeAutospacing="1" w:after="100" w:afterAutospacing="1"/>
    </w:pPr>
    <w:rPr>
      <w:rFonts w:hint="eastAsia" w:ascii="宋体" w:hAnsi="宋体"/>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宋体" w:hAnsi="宋体" w:eastAsia="宋体" w:cs="宋体"/>
      <w:sz w:val="18"/>
      <w:szCs w:val="18"/>
      <w:lang w:val="en-US" w:eastAsia="en-US" w:bidi="ar-SA"/>
    </w:rPr>
  </w:style>
  <w:style w:type="paragraph" w:customStyle="1" w:styleId="18">
    <w:name w:val="Table Paragraph"/>
    <w:basedOn w:val="1"/>
    <w:qFormat/>
    <w:uiPriority w:val="0"/>
  </w:style>
  <w:style w:type="character" w:customStyle="1" w:styleId="19">
    <w:name w:val="19"/>
    <w:qFormat/>
    <w:uiPriority w:val="0"/>
    <w:rPr>
      <w:rFonts w:hint="default" w:ascii="Times New Roman" w:hAnsi="Times New Roman" w:cs="Times New Roman"/>
      <w:sz w:val="21"/>
      <w:szCs w:val="21"/>
    </w:rPr>
  </w:style>
  <w:style w:type="paragraph" w:customStyle="1" w:styleId="20">
    <w:name w:val="正文_0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paragraph" w:customStyle="1" w:styleId="22">
    <w:name w:val="WPSOffice手动目录 2"/>
    <w:qFormat/>
    <w:uiPriority w:val="0"/>
    <w:pPr>
      <w:ind w:leftChars="200"/>
    </w:pPr>
    <w:rPr>
      <w:rFonts w:ascii="Times New Roman" w:hAnsi="Times New Roman" w:eastAsia="宋体" w:cs="Times New Roman"/>
      <w:sz w:val="20"/>
      <w:szCs w:val="20"/>
    </w:rPr>
  </w:style>
  <w:style w:type="paragraph" w:customStyle="1" w:styleId="23">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9" Type="http://schemas.openxmlformats.org/officeDocument/2006/relationships/footer" Target="footer90.xml"/><Relationship Id="rId98" Type="http://schemas.openxmlformats.org/officeDocument/2006/relationships/header" Target="header5.xml"/><Relationship Id="rId97" Type="http://schemas.openxmlformats.org/officeDocument/2006/relationships/footer" Target="footer89.xml"/><Relationship Id="rId96" Type="http://schemas.openxmlformats.org/officeDocument/2006/relationships/footer" Target="footer88.xml"/><Relationship Id="rId95" Type="http://schemas.openxmlformats.org/officeDocument/2006/relationships/footer" Target="footer87.xml"/><Relationship Id="rId94" Type="http://schemas.openxmlformats.org/officeDocument/2006/relationships/footer" Target="footer86.xml"/><Relationship Id="rId93" Type="http://schemas.openxmlformats.org/officeDocument/2006/relationships/footer" Target="footer85.xml"/><Relationship Id="rId92" Type="http://schemas.openxmlformats.org/officeDocument/2006/relationships/footer" Target="footer84.xml"/><Relationship Id="rId91" Type="http://schemas.openxmlformats.org/officeDocument/2006/relationships/footer" Target="footer83.xml"/><Relationship Id="rId90" Type="http://schemas.openxmlformats.org/officeDocument/2006/relationships/footer" Target="footer82.xml"/><Relationship Id="rId9" Type="http://schemas.openxmlformats.org/officeDocument/2006/relationships/footer" Target="footer5.xml"/><Relationship Id="rId89" Type="http://schemas.openxmlformats.org/officeDocument/2006/relationships/footer" Target="footer81.xml"/><Relationship Id="rId88" Type="http://schemas.openxmlformats.org/officeDocument/2006/relationships/footer" Target="footer80.xml"/><Relationship Id="rId87" Type="http://schemas.openxmlformats.org/officeDocument/2006/relationships/footer" Target="footer79.xml"/><Relationship Id="rId86" Type="http://schemas.openxmlformats.org/officeDocument/2006/relationships/footer" Target="footer78.xml"/><Relationship Id="rId85" Type="http://schemas.openxmlformats.org/officeDocument/2006/relationships/footer" Target="footer77.xml"/><Relationship Id="rId84" Type="http://schemas.openxmlformats.org/officeDocument/2006/relationships/footer" Target="footer76.xml"/><Relationship Id="rId83" Type="http://schemas.openxmlformats.org/officeDocument/2006/relationships/footer" Target="footer75.xml"/><Relationship Id="rId82" Type="http://schemas.openxmlformats.org/officeDocument/2006/relationships/footer" Target="footer74.xml"/><Relationship Id="rId81" Type="http://schemas.openxmlformats.org/officeDocument/2006/relationships/footer" Target="footer73.xml"/><Relationship Id="rId80" Type="http://schemas.openxmlformats.org/officeDocument/2006/relationships/footer" Target="footer72.xml"/><Relationship Id="rId8" Type="http://schemas.openxmlformats.org/officeDocument/2006/relationships/footer" Target="footer4.xml"/><Relationship Id="rId79" Type="http://schemas.openxmlformats.org/officeDocument/2006/relationships/footer" Target="footer71.xml"/><Relationship Id="rId78" Type="http://schemas.openxmlformats.org/officeDocument/2006/relationships/footer" Target="footer70.xml"/><Relationship Id="rId77" Type="http://schemas.openxmlformats.org/officeDocument/2006/relationships/footer" Target="footer69.xml"/><Relationship Id="rId76" Type="http://schemas.openxmlformats.org/officeDocument/2006/relationships/header" Target="header4.xml"/><Relationship Id="rId75" Type="http://schemas.openxmlformats.org/officeDocument/2006/relationships/footer" Target="footer68.xml"/><Relationship Id="rId74" Type="http://schemas.openxmlformats.org/officeDocument/2006/relationships/header" Target="header3.xml"/><Relationship Id="rId73" Type="http://schemas.openxmlformats.org/officeDocument/2006/relationships/footer" Target="footer67.xml"/><Relationship Id="rId72" Type="http://schemas.openxmlformats.org/officeDocument/2006/relationships/footer" Target="footer66.xml"/><Relationship Id="rId71" Type="http://schemas.openxmlformats.org/officeDocument/2006/relationships/footer" Target="footer65.xml"/><Relationship Id="rId70" Type="http://schemas.openxmlformats.org/officeDocument/2006/relationships/footer" Target="footer64.xml"/><Relationship Id="rId7" Type="http://schemas.openxmlformats.org/officeDocument/2006/relationships/footer" Target="footer3.xml"/><Relationship Id="rId69" Type="http://schemas.openxmlformats.org/officeDocument/2006/relationships/footer" Target="footer63.xml"/><Relationship Id="rId68" Type="http://schemas.openxmlformats.org/officeDocument/2006/relationships/footer" Target="footer62.xml"/><Relationship Id="rId67" Type="http://schemas.openxmlformats.org/officeDocument/2006/relationships/footer" Target="footer61.xml"/><Relationship Id="rId66" Type="http://schemas.openxmlformats.org/officeDocument/2006/relationships/footer" Target="footer60.xml"/><Relationship Id="rId65" Type="http://schemas.openxmlformats.org/officeDocument/2006/relationships/footer" Target="footer59.xml"/><Relationship Id="rId64" Type="http://schemas.openxmlformats.org/officeDocument/2006/relationships/footer" Target="footer58.xml"/><Relationship Id="rId63" Type="http://schemas.openxmlformats.org/officeDocument/2006/relationships/header" Target="header2.xml"/><Relationship Id="rId62" Type="http://schemas.openxmlformats.org/officeDocument/2006/relationships/footer" Target="footer57.xml"/><Relationship Id="rId61" Type="http://schemas.openxmlformats.org/officeDocument/2006/relationships/header" Target="header1.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2" Type="http://schemas.openxmlformats.org/officeDocument/2006/relationships/fontTable" Target="fontTable.xml"/><Relationship Id="rId141" Type="http://schemas.openxmlformats.org/officeDocument/2006/relationships/numbering" Target="numbering.xml"/><Relationship Id="rId140" Type="http://schemas.openxmlformats.org/officeDocument/2006/relationships/customXml" Target="../customXml/item1.xml"/><Relationship Id="rId14" Type="http://schemas.openxmlformats.org/officeDocument/2006/relationships/footer" Target="footer10.xml"/><Relationship Id="rId139" Type="http://schemas.openxmlformats.org/officeDocument/2006/relationships/theme" Target="theme/theme1.xml"/><Relationship Id="rId138" Type="http://schemas.openxmlformats.org/officeDocument/2006/relationships/footer" Target="footer125.xml"/><Relationship Id="rId137" Type="http://schemas.openxmlformats.org/officeDocument/2006/relationships/footer" Target="footer124.xml"/><Relationship Id="rId136" Type="http://schemas.openxmlformats.org/officeDocument/2006/relationships/footer" Target="footer123.xml"/><Relationship Id="rId135" Type="http://schemas.openxmlformats.org/officeDocument/2006/relationships/footer" Target="footer122.xml"/><Relationship Id="rId134" Type="http://schemas.openxmlformats.org/officeDocument/2006/relationships/footer" Target="footer121.xml"/><Relationship Id="rId133" Type="http://schemas.openxmlformats.org/officeDocument/2006/relationships/footer" Target="footer120.xml"/><Relationship Id="rId132" Type="http://schemas.openxmlformats.org/officeDocument/2006/relationships/footer" Target="footer119.xml"/><Relationship Id="rId131" Type="http://schemas.openxmlformats.org/officeDocument/2006/relationships/footer" Target="footer118.xml"/><Relationship Id="rId130" Type="http://schemas.openxmlformats.org/officeDocument/2006/relationships/footer" Target="footer117.xml"/><Relationship Id="rId13" Type="http://schemas.openxmlformats.org/officeDocument/2006/relationships/footer" Target="footer9.xml"/><Relationship Id="rId129" Type="http://schemas.openxmlformats.org/officeDocument/2006/relationships/footer" Target="footer116.xml"/><Relationship Id="rId128" Type="http://schemas.openxmlformats.org/officeDocument/2006/relationships/footer" Target="footer115.xml"/><Relationship Id="rId127" Type="http://schemas.openxmlformats.org/officeDocument/2006/relationships/footer" Target="footer114.xml"/><Relationship Id="rId126" Type="http://schemas.openxmlformats.org/officeDocument/2006/relationships/footer" Target="footer113.xml"/><Relationship Id="rId125" Type="http://schemas.openxmlformats.org/officeDocument/2006/relationships/footer" Target="footer112.xml"/><Relationship Id="rId124" Type="http://schemas.openxmlformats.org/officeDocument/2006/relationships/footer" Target="footer111.xml"/><Relationship Id="rId123" Type="http://schemas.openxmlformats.org/officeDocument/2006/relationships/footer" Target="footer110.xml"/><Relationship Id="rId122" Type="http://schemas.openxmlformats.org/officeDocument/2006/relationships/footer" Target="footer109.xml"/><Relationship Id="rId121" Type="http://schemas.openxmlformats.org/officeDocument/2006/relationships/footer" Target="footer108.xml"/><Relationship Id="rId120" Type="http://schemas.openxmlformats.org/officeDocument/2006/relationships/footer" Target="footer107.xml"/><Relationship Id="rId12" Type="http://schemas.openxmlformats.org/officeDocument/2006/relationships/footer" Target="footer8.xml"/><Relationship Id="rId119" Type="http://schemas.openxmlformats.org/officeDocument/2006/relationships/footer" Target="footer106.xml"/><Relationship Id="rId118" Type="http://schemas.openxmlformats.org/officeDocument/2006/relationships/footer" Target="footer105.xml"/><Relationship Id="rId117" Type="http://schemas.openxmlformats.org/officeDocument/2006/relationships/footer" Target="footer104.xml"/><Relationship Id="rId116" Type="http://schemas.openxmlformats.org/officeDocument/2006/relationships/footer" Target="footer103.xml"/><Relationship Id="rId115" Type="http://schemas.openxmlformats.org/officeDocument/2006/relationships/footer" Target="footer102.xml"/><Relationship Id="rId114" Type="http://schemas.openxmlformats.org/officeDocument/2006/relationships/footer" Target="footer101.xml"/><Relationship Id="rId113" Type="http://schemas.openxmlformats.org/officeDocument/2006/relationships/footer" Target="footer100.xml"/><Relationship Id="rId112" Type="http://schemas.openxmlformats.org/officeDocument/2006/relationships/footer" Target="footer99.xml"/><Relationship Id="rId111" Type="http://schemas.openxmlformats.org/officeDocument/2006/relationships/footer" Target="footer98.xml"/><Relationship Id="rId110" Type="http://schemas.openxmlformats.org/officeDocument/2006/relationships/footer" Target="footer97.xml"/><Relationship Id="rId11" Type="http://schemas.openxmlformats.org/officeDocument/2006/relationships/footer" Target="footer7.xml"/><Relationship Id="rId109" Type="http://schemas.openxmlformats.org/officeDocument/2006/relationships/footer" Target="footer96.xml"/><Relationship Id="rId108" Type="http://schemas.openxmlformats.org/officeDocument/2006/relationships/header" Target="header9.xml"/><Relationship Id="rId107" Type="http://schemas.openxmlformats.org/officeDocument/2006/relationships/footer" Target="footer95.xml"/><Relationship Id="rId106" Type="http://schemas.openxmlformats.org/officeDocument/2006/relationships/header" Target="header8.xml"/><Relationship Id="rId105" Type="http://schemas.openxmlformats.org/officeDocument/2006/relationships/footer" Target="footer94.xml"/><Relationship Id="rId104" Type="http://schemas.openxmlformats.org/officeDocument/2006/relationships/header" Target="header7.xml"/><Relationship Id="rId103" Type="http://schemas.openxmlformats.org/officeDocument/2006/relationships/footer" Target="footer93.xml"/><Relationship Id="rId102" Type="http://schemas.openxmlformats.org/officeDocument/2006/relationships/header" Target="header6.xml"/><Relationship Id="rId101" Type="http://schemas.openxmlformats.org/officeDocument/2006/relationships/footer" Target="footer92.xml"/><Relationship Id="rId100" Type="http://schemas.openxmlformats.org/officeDocument/2006/relationships/footer" Target="footer9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182</Pages>
  <Words>4511</Words>
  <Characters>4974</Characters>
  <TotalTime>42</TotalTime>
  <ScaleCrop>false</ScaleCrop>
  <LinksUpToDate>false</LinksUpToDate>
  <CharactersWithSpaces>5627</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2024-03-29T00:31:00Z</dcterms:created>
  <dc:creator>oneca</dc:creator>
  <cp:lastModifiedBy>Style</cp:lastModifiedBy>
  <cp:lastPrinted>2025-08-28T07:45:00Z</cp:lastPrinted>
  <dcterms:modified xsi:type="dcterms:W3CDTF">2025-08-29T02:05:29Z</dcterms:modified>
  <dc:title>&lt;4D6963726F736F667420576F7264202D20B8BDBCFE31A3BAD5E3BDADCAA1CBAEC0FBCBAEB5E7B9A4B3CCCAA9B9A4D5D0B1EACEC4BCFECABEB7B6CEC4B1BEA3A832303233C4EAA3A9323032342E332E3238&gt;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2025-08-04T14:29:55Z</vt:filetime>
  </property>
  <property fmtid="{D5CDD505-2E9C-101B-9397-08002B2CF9AE}" pid="4" name="KSOTemplateDocerSaveRecord">
    <vt:lpwstr>eyJoZGlkIjoiZTZmY2E5NGYxYjBhYTMxZTAwMzE1MmYzMzFhMWU2YmYiLCJ1c2VySWQiOiIxMDA4ODU0MDcwIn0=</vt:lpwstr>
  </property>
  <property fmtid="{D5CDD505-2E9C-101B-9397-08002B2CF9AE}" pid="5" name="KSOProductBuildVer">
    <vt:lpwstr>2052-12.1.0.22529</vt:lpwstr>
  </property>
  <property fmtid="{D5CDD505-2E9C-101B-9397-08002B2CF9AE}" pid="6" name="ICV">
    <vt:lpwstr>EA3746559B90CAE1830DAF6838A7AD64_43</vt:lpwstr>
  </property>
</Properties>
</file>